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1"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128"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18" w:lineRule="exact"/>
        <w:rPr>
          <w:sz w:val="24"/>
          <w:szCs w:val="24"/>
          <w:color w:val="auto"/>
        </w:rPr>
      </w:pPr>
    </w:p>
    <w:p>
      <w:pPr>
        <w:ind w:left="3220" w:right="920" w:hanging="2292"/>
        <w:spacing w:after="0" w:line="245" w:lineRule="auto"/>
        <w:tabs>
          <w:tab w:leader="none" w:pos="1245"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400"/>
        <w:spacing w:after="0"/>
        <w:rPr>
          <w:sz w:val="20"/>
          <w:szCs w:val="20"/>
          <w:color w:val="auto"/>
        </w:rPr>
      </w:pPr>
      <w:r>
        <w:rPr>
          <w:rFonts w:ascii="Arial" w:cs="Arial" w:eastAsia="Arial" w:hAnsi="Arial"/>
          <w:sz w:val="20"/>
          <w:szCs w:val="20"/>
          <w:b w:val="1"/>
          <w:bCs w:val="1"/>
          <w:color w:val="auto"/>
        </w:rPr>
        <w:t>or</w:t>
      </w:r>
    </w:p>
    <w:p>
      <w:pPr>
        <w:spacing w:after="0" w:line="33" w:lineRule="exact"/>
        <w:rPr>
          <w:sz w:val="24"/>
          <w:szCs w:val="24"/>
          <w:color w:val="auto"/>
        </w:rPr>
      </w:pPr>
    </w:p>
    <w:p>
      <w:pPr>
        <w:ind w:left="1280" w:hanging="392"/>
        <w:spacing w:after="0"/>
        <w:tabs>
          <w:tab w:leader="none" w:pos="12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ind w:left="3560"/>
              <w:spacing w:after="0"/>
              <w:rPr>
                <w:sz w:val="20"/>
                <w:szCs w:val="20"/>
                <w:color w:val="auto"/>
              </w:rPr>
            </w:pPr>
            <w:r>
              <w:rPr>
                <w:rFonts w:ascii="Arial" w:cs="Arial" w:eastAsia="Arial" w:hAnsi="Arial"/>
                <w:sz w:val="18"/>
                <w:szCs w:val="18"/>
                <w:b w:val="1"/>
                <w:bCs w:val="1"/>
                <w:color w:val="auto"/>
              </w:rPr>
              <w:t>FOR THE TRANSITION PERIOD FROM</w:t>
            </w:r>
          </w:p>
        </w:tc>
        <w:tc>
          <w:tcPr>
            <w:tcW w:w="314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260" w:type="dxa"/>
            <w:vAlign w:val="bottom"/>
          </w:tcPr>
          <w:p>
            <w:pPr>
              <w:jc w:val="center"/>
              <w:ind w:left="3881"/>
              <w:spacing w:after="0"/>
              <w:rPr>
                <w:sz w:val="20"/>
                <w:szCs w:val="20"/>
                <w:color w:val="auto"/>
              </w:rPr>
            </w:pPr>
            <w:r>
              <w:rPr>
                <w:rFonts w:ascii="Arial" w:cs="Arial" w:eastAsia="Arial" w:hAnsi="Arial"/>
                <w:sz w:val="20"/>
                <w:szCs w:val="20"/>
                <w:b w:val="1"/>
                <w:bCs w:val="1"/>
                <w:color w:val="auto"/>
                <w:w w:val="88"/>
              </w:rPr>
              <w:t>Commission File Number: 001-36326</w:t>
            </w:r>
          </w:p>
        </w:tc>
        <w:tc>
          <w:tcPr>
            <w:tcW w:w="3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7260" w:type="dxa"/>
            <w:vAlign w:val="bottom"/>
          </w:tcPr>
          <w:p>
            <w:pPr>
              <w:jc w:val="center"/>
              <w:ind w:left="3881"/>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7260" w:type="dxa"/>
            <w:vAlign w:val="bottom"/>
          </w:tcPr>
          <w:p>
            <w:pPr>
              <w:jc w:val="center"/>
              <w:ind w:left="3861"/>
              <w:spacing w:after="0"/>
              <w:rPr>
                <w:sz w:val="20"/>
                <w:szCs w:val="20"/>
                <w:color w:val="auto"/>
              </w:rPr>
            </w:pPr>
            <w:r>
              <w:rPr>
                <w:rFonts w:ascii="Arial" w:cs="Arial" w:eastAsia="Arial" w:hAnsi="Arial"/>
                <w:sz w:val="28"/>
                <w:szCs w:val="28"/>
                <w:b w:val="1"/>
                <w:bCs w:val="1"/>
                <w:color w:val="auto"/>
                <w:w w:val="93"/>
              </w:rPr>
              <w:t>Endo International plc</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0" w:type="dxa"/>
            <w:vAlign w:val="bottom"/>
            <w:gridSpan w:val="2"/>
          </w:tcPr>
          <w:p>
            <w:pPr>
              <w:jc w:val="center"/>
              <w:ind w:left="721"/>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7260" w:type="dxa"/>
            <w:vAlign w:val="bottom"/>
          </w:tcPr>
          <w:p>
            <w:pPr>
              <w:jc w:val="center"/>
              <w:ind w:left="3881"/>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7260" w:type="dxa"/>
            <w:vAlign w:val="bottom"/>
          </w:tcPr>
          <w:p>
            <w:pPr>
              <w:jc w:val="center"/>
              <w:ind w:right="1341"/>
              <w:spacing w:after="0"/>
              <w:rPr>
                <w:sz w:val="20"/>
                <w:szCs w:val="20"/>
                <w:color w:val="auto"/>
              </w:rPr>
            </w:pPr>
            <w:r>
              <w:rPr>
                <w:rFonts w:ascii="Arial" w:cs="Arial" w:eastAsia="Arial" w:hAnsi="Arial"/>
                <w:sz w:val="14"/>
                <w:szCs w:val="14"/>
                <w:b w:val="1"/>
                <w:bCs w:val="1"/>
                <w:color w:val="auto"/>
                <w:w w:val="95"/>
              </w:rPr>
              <w:t>Ireland</w:t>
            </w:r>
          </w:p>
        </w:tc>
        <w:tc>
          <w:tcPr>
            <w:tcW w:w="3140" w:type="dxa"/>
            <w:vAlign w:val="bottom"/>
          </w:tcPr>
          <w:p>
            <w:pPr>
              <w:jc w:val="center"/>
              <w:ind w:right="505"/>
              <w:spacing w:after="0"/>
              <w:rPr>
                <w:sz w:val="20"/>
                <w:szCs w:val="20"/>
                <w:color w:val="auto"/>
              </w:rPr>
            </w:pPr>
            <w:r>
              <w:rPr>
                <w:rFonts w:ascii="Arial" w:cs="Arial" w:eastAsia="Arial" w:hAnsi="Arial"/>
                <w:sz w:val="14"/>
                <w:szCs w:val="14"/>
                <w:b w:val="1"/>
                <w:bCs w:val="1"/>
                <w:color w:val="auto"/>
                <w:w w:val="90"/>
              </w:rPr>
              <w:t>68-0683755</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260" w:type="dxa"/>
            <w:vAlign w:val="bottom"/>
          </w:tcPr>
          <w:p>
            <w:pPr>
              <w:jc w:val="center"/>
              <w:ind w:right="1341"/>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3140" w:type="dxa"/>
            <w:vAlign w:val="bottom"/>
          </w:tcPr>
          <w:p>
            <w:pPr>
              <w:jc w:val="center"/>
              <w:ind w:right="525"/>
              <w:spacing w:after="0"/>
              <w:rPr>
                <w:sz w:val="20"/>
                <w:szCs w:val="20"/>
                <w:color w:val="auto"/>
              </w:rPr>
            </w:pPr>
            <w:r>
              <w:rPr>
                <w:rFonts w:ascii="Arial" w:cs="Arial" w:eastAsia="Arial" w:hAnsi="Arial"/>
                <w:sz w:val="14"/>
                <w:szCs w:val="14"/>
                <w:color w:val="auto"/>
                <w:w w:val="95"/>
              </w:rPr>
              <w:t>(I.R.S. Employer Identification No.)</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260" w:type="dxa"/>
            <w:vAlign w:val="bottom"/>
          </w:tcPr>
          <w:p>
            <w:pPr>
              <w:jc w:val="center"/>
              <w:ind w:right="1341"/>
              <w:spacing w:after="0"/>
              <w:rPr>
                <w:sz w:val="20"/>
                <w:szCs w:val="20"/>
                <w:color w:val="auto"/>
              </w:rPr>
            </w:pPr>
            <w:r>
              <w:rPr>
                <w:rFonts w:ascii="Arial" w:cs="Arial" w:eastAsia="Arial" w:hAnsi="Arial"/>
                <w:sz w:val="14"/>
                <w:szCs w:val="14"/>
                <w:b w:val="1"/>
                <w:bCs w:val="1"/>
                <w:color w:val="auto"/>
                <w:w w:val="92"/>
              </w:rPr>
              <w:t>First Floor, Minerva House, Simmonscourt Road</w:t>
            </w:r>
          </w:p>
        </w:tc>
        <w:tc>
          <w:tcPr>
            <w:tcW w:w="3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260" w:type="dxa"/>
            <w:vAlign w:val="bottom"/>
          </w:tcPr>
          <w:p>
            <w:pPr>
              <w:ind w:left="1540"/>
              <w:spacing w:after="0"/>
              <w:rPr>
                <w:sz w:val="20"/>
                <w:szCs w:val="20"/>
                <w:color w:val="auto"/>
              </w:rPr>
            </w:pPr>
            <w:r>
              <w:rPr>
                <w:rFonts w:ascii="Arial" w:cs="Arial" w:eastAsia="Arial" w:hAnsi="Arial"/>
                <w:sz w:val="14"/>
                <w:szCs w:val="14"/>
                <w:b w:val="1"/>
                <w:bCs w:val="1"/>
                <w:color w:val="auto"/>
              </w:rPr>
              <w:t>Ballsbridge, Dublin 4,  Ireland</w:t>
            </w:r>
          </w:p>
        </w:tc>
        <w:tc>
          <w:tcPr>
            <w:tcW w:w="3140" w:type="dxa"/>
            <w:vAlign w:val="bottom"/>
          </w:tcPr>
          <w:p>
            <w:pPr>
              <w:jc w:val="center"/>
              <w:ind w:right="505"/>
              <w:spacing w:after="0"/>
              <w:rPr>
                <w:sz w:val="20"/>
                <w:szCs w:val="20"/>
                <w:color w:val="auto"/>
              </w:rPr>
            </w:pPr>
            <w:r>
              <w:rPr>
                <w:rFonts w:ascii="Arial" w:cs="Arial" w:eastAsia="Arial" w:hAnsi="Arial"/>
                <w:sz w:val="14"/>
                <w:szCs w:val="14"/>
                <w:b w:val="1"/>
                <w:bCs w:val="1"/>
                <w:color w:val="auto"/>
                <w:w w:val="93"/>
              </w:rPr>
              <w:t>Not Applicable</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60" w:type="dxa"/>
            <w:vAlign w:val="bottom"/>
          </w:tcPr>
          <w:p>
            <w:pPr>
              <w:jc w:val="center"/>
              <w:ind w:right="1341"/>
              <w:spacing w:after="0"/>
              <w:rPr>
                <w:sz w:val="20"/>
                <w:szCs w:val="20"/>
                <w:color w:val="auto"/>
              </w:rPr>
            </w:pPr>
            <w:r>
              <w:rPr>
                <w:rFonts w:ascii="Arial" w:cs="Arial" w:eastAsia="Arial" w:hAnsi="Arial"/>
                <w:sz w:val="14"/>
                <w:szCs w:val="14"/>
                <w:color w:val="auto"/>
                <w:w w:val="94"/>
              </w:rPr>
              <w:t>(Address of Principal Executive Offices)</w:t>
            </w:r>
          </w:p>
        </w:tc>
        <w:tc>
          <w:tcPr>
            <w:tcW w:w="3140" w:type="dxa"/>
            <w:vAlign w:val="bottom"/>
          </w:tcPr>
          <w:p>
            <w:pPr>
              <w:jc w:val="center"/>
              <w:ind w:right="525"/>
              <w:spacing w:after="0"/>
              <w:rPr>
                <w:sz w:val="20"/>
                <w:szCs w:val="20"/>
                <w:color w:val="auto"/>
              </w:rPr>
            </w:pPr>
            <w:r>
              <w:rPr>
                <w:rFonts w:ascii="Arial" w:cs="Arial" w:eastAsia="Arial" w:hAnsi="Arial"/>
                <w:sz w:val="14"/>
                <w:szCs w:val="14"/>
                <w:color w:val="auto"/>
                <w:w w:val="93"/>
              </w:rPr>
              <w:t>(Zip Code)</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7260" w:type="dxa"/>
            <w:vAlign w:val="bottom"/>
          </w:tcPr>
          <w:p>
            <w:pPr>
              <w:jc w:val="center"/>
              <w:ind w:left="3861"/>
              <w:spacing w:after="0"/>
              <w:rPr>
                <w:sz w:val="20"/>
                <w:szCs w:val="20"/>
                <w:color w:val="auto"/>
              </w:rPr>
            </w:pPr>
            <w:r>
              <w:rPr>
                <w:rFonts w:ascii="Arial" w:cs="Arial" w:eastAsia="Arial" w:hAnsi="Arial"/>
                <w:sz w:val="18"/>
                <w:szCs w:val="18"/>
                <w:b w:val="1"/>
                <w:bCs w:val="1"/>
                <w:color w:val="auto"/>
                <w:w w:val="90"/>
              </w:rPr>
              <w:t>011-353-1-268-2000</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260" w:type="dxa"/>
            <w:vAlign w:val="bottom"/>
          </w:tcPr>
          <w:p>
            <w:pPr>
              <w:jc w:val="center"/>
              <w:ind w:left="3861"/>
              <w:spacing w:after="0"/>
              <w:rPr>
                <w:sz w:val="20"/>
                <w:szCs w:val="20"/>
                <w:color w:val="auto"/>
              </w:rPr>
            </w:pPr>
            <w:r>
              <w:rPr>
                <w:rFonts w:ascii="Arial" w:cs="Arial" w:eastAsia="Arial" w:hAnsi="Arial"/>
                <w:sz w:val="14"/>
                <w:szCs w:val="14"/>
                <w:color w:val="auto"/>
                <w:w w:val="91"/>
              </w:rPr>
              <w:t>(Registrant’s telephone number, including area code)</w:t>
            </w:r>
          </w:p>
        </w:tc>
        <w:tc>
          <w:tcPr>
            <w:tcW w:w="3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0400" w:type="dxa"/>
            <w:vAlign w:val="bottom"/>
            <w:gridSpan w:val="2"/>
          </w:tcPr>
          <w:p>
            <w:pPr>
              <w:spacing w:after="0"/>
              <w:rPr>
                <w:sz w:val="20"/>
                <w:szCs w:val="20"/>
                <w:color w:val="auto"/>
              </w:rPr>
            </w:pPr>
            <w:r>
              <w:rPr>
                <w:rFonts w:ascii="Arial" w:cs="Arial" w:eastAsia="Arial" w:hAnsi="Arial"/>
                <w:sz w:val="17"/>
                <w:szCs w:val="17"/>
                <w:color w:val="auto"/>
                <w:w w:val="91"/>
              </w:rPr>
              <w:t>Indicate by check mark whether the registrant (1) has filed all reports required to be filed by Section 13 or 15(d) of the Securities Exchange Act of 1934</w:t>
            </w:r>
          </w:p>
        </w:tc>
        <w:tc>
          <w:tcPr>
            <w:tcW w:w="520" w:type="dxa"/>
            <w:vAlign w:val="bottom"/>
          </w:tcPr>
          <w:p>
            <w:pPr>
              <w:jc w:val="right"/>
              <w:ind w:right="56"/>
              <w:spacing w:after="0"/>
              <w:rPr>
                <w:sz w:val="20"/>
                <w:szCs w:val="20"/>
                <w:color w:val="auto"/>
              </w:rPr>
            </w:pPr>
            <w:r>
              <w:rPr>
                <w:rFonts w:ascii="Arial" w:cs="Arial" w:eastAsia="Arial" w:hAnsi="Arial"/>
                <w:sz w:val="17"/>
                <w:szCs w:val="17"/>
                <w:color w:val="auto"/>
              </w:rPr>
              <w:t>Yes</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0"/>
        </w:trPr>
        <w:tc>
          <w:tcPr>
            <w:tcW w:w="10400" w:type="dxa"/>
            <w:vAlign w:val="bottom"/>
            <w:gridSpan w:val="2"/>
          </w:tcPr>
          <w:p>
            <w:pPr>
              <w:spacing w:after="0" w:line="160" w:lineRule="exact"/>
              <w:rPr>
                <w:sz w:val="20"/>
                <w:szCs w:val="20"/>
                <w:color w:val="auto"/>
              </w:rPr>
            </w:pPr>
            <w:r>
              <w:rPr>
                <w:rFonts w:ascii="Arial" w:cs="Arial" w:eastAsia="Arial" w:hAnsi="Arial"/>
                <w:sz w:val="17"/>
                <w:szCs w:val="17"/>
                <w:color w:val="auto"/>
                <w:w w:val="92"/>
              </w:rPr>
              <w:t>during the preceding 12 months (or for such shorter period that the registrant was required to file such reports), and (2) has been subject to such filing</w:t>
            </w:r>
          </w:p>
        </w:tc>
        <w:tc>
          <w:tcPr>
            <w:tcW w:w="520" w:type="dxa"/>
            <w:vAlign w:val="bottom"/>
            <w:vMerge w:val="restart"/>
          </w:tcPr>
          <w:p>
            <w:pPr>
              <w:jc w:val="right"/>
              <w:ind w:right="56"/>
              <w:spacing w:after="0"/>
              <w:rPr>
                <w:sz w:val="20"/>
                <w:szCs w:val="20"/>
                <w:color w:val="auto"/>
              </w:rPr>
            </w:pPr>
            <w:r>
              <w:rPr>
                <w:rFonts w:ascii="Arial" w:cs="Arial" w:eastAsia="Arial" w:hAnsi="Arial"/>
                <w:sz w:val="17"/>
                <w:szCs w:val="17"/>
                <w:color w:val="auto"/>
              </w:rPr>
              <w:t>No</w:t>
            </w:r>
          </w:p>
        </w:tc>
        <w:tc>
          <w:tcPr>
            <w:tcW w:w="28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8"/>
        </w:trPr>
        <w:tc>
          <w:tcPr>
            <w:tcW w:w="7260" w:type="dxa"/>
            <w:vAlign w:val="bottom"/>
          </w:tcPr>
          <w:p>
            <w:pPr>
              <w:spacing w:after="0"/>
              <w:rPr>
                <w:sz w:val="20"/>
                <w:szCs w:val="20"/>
                <w:color w:val="auto"/>
              </w:rPr>
            </w:pPr>
            <w:r>
              <w:rPr>
                <w:rFonts w:ascii="Arial" w:cs="Arial" w:eastAsia="Arial" w:hAnsi="Arial"/>
                <w:sz w:val="17"/>
                <w:szCs w:val="17"/>
                <w:color w:val="auto"/>
              </w:rPr>
              <w:t>requirements for the past 90 days.</w:t>
            </w:r>
          </w:p>
        </w:tc>
        <w:tc>
          <w:tcPr>
            <w:tcW w:w="3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0400" w:type="dxa"/>
            <w:vAlign w:val="bottom"/>
            <w:gridSpan w:val="2"/>
          </w:tcPr>
          <w:p>
            <w:pPr>
              <w:spacing w:after="0"/>
              <w:rPr>
                <w:sz w:val="20"/>
                <w:szCs w:val="20"/>
                <w:color w:val="auto"/>
              </w:rPr>
            </w:pPr>
            <w:r>
              <w:rPr>
                <w:rFonts w:ascii="Arial" w:cs="Arial" w:eastAsia="Arial" w:hAnsi="Arial"/>
                <w:sz w:val="17"/>
                <w:szCs w:val="17"/>
                <w:color w:val="auto"/>
                <w:w w:val="92"/>
              </w:rPr>
              <w:t>Indicate by check mark whether the registrant has submitted electronically every Interactive Data File required to be submitted pursuant to Rule 405 of</w:t>
            </w:r>
          </w:p>
        </w:tc>
        <w:tc>
          <w:tcPr>
            <w:tcW w:w="520" w:type="dxa"/>
            <w:vAlign w:val="bottom"/>
          </w:tcPr>
          <w:p>
            <w:pPr>
              <w:jc w:val="right"/>
              <w:ind w:right="56"/>
              <w:spacing w:after="0"/>
              <w:rPr>
                <w:sz w:val="20"/>
                <w:szCs w:val="20"/>
                <w:color w:val="auto"/>
              </w:rPr>
            </w:pPr>
            <w:r>
              <w:rPr>
                <w:rFonts w:ascii="Arial" w:cs="Arial" w:eastAsia="Arial" w:hAnsi="Arial"/>
                <w:sz w:val="17"/>
                <w:szCs w:val="17"/>
                <w:color w:val="auto"/>
              </w:rPr>
              <w:t>Yes</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0"/>
        </w:trPr>
        <w:tc>
          <w:tcPr>
            <w:tcW w:w="10400" w:type="dxa"/>
            <w:vAlign w:val="bottom"/>
            <w:gridSpan w:val="2"/>
          </w:tcPr>
          <w:p>
            <w:pPr>
              <w:spacing w:after="0" w:line="160" w:lineRule="exact"/>
              <w:rPr>
                <w:sz w:val="20"/>
                <w:szCs w:val="20"/>
                <w:color w:val="auto"/>
              </w:rPr>
            </w:pPr>
            <w:r>
              <w:rPr>
                <w:rFonts w:ascii="Arial" w:cs="Arial" w:eastAsia="Arial" w:hAnsi="Arial"/>
                <w:sz w:val="17"/>
                <w:szCs w:val="17"/>
                <w:color w:val="auto"/>
                <w:w w:val="93"/>
              </w:rPr>
              <w:t>Regulation S-T (§232.405 of this chapter) during the preceding 12 months (or for such shorter period that the registrant was required to submit such</w:t>
            </w:r>
          </w:p>
        </w:tc>
        <w:tc>
          <w:tcPr>
            <w:tcW w:w="520" w:type="dxa"/>
            <w:vAlign w:val="bottom"/>
            <w:vMerge w:val="restart"/>
          </w:tcPr>
          <w:p>
            <w:pPr>
              <w:jc w:val="right"/>
              <w:ind w:right="56"/>
              <w:spacing w:after="0"/>
              <w:rPr>
                <w:sz w:val="20"/>
                <w:szCs w:val="20"/>
                <w:color w:val="auto"/>
              </w:rPr>
            </w:pPr>
            <w:r>
              <w:rPr>
                <w:rFonts w:ascii="Arial" w:cs="Arial" w:eastAsia="Arial" w:hAnsi="Arial"/>
                <w:sz w:val="17"/>
                <w:szCs w:val="17"/>
                <w:color w:val="auto"/>
              </w:rPr>
              <w:t>No</w:t>
            </w:r>
          </w:p>
        </w:tc>
        <w:tc>
          <w:tcPr>
            <w:tcW w:w="28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8"/>
        </w:trPr>
        <w:tc>
          <w:tcPr>
            <w:tcW w:w="7260" w:type="dxa"/>
            <w:vAlign w:val="bottom"/>
          </w:tcPr>
          <w:p>
            <w:pPr>
              <w:spacing w:after="0"/>
              <w:rPr>
                <w:sz w:val="20"/>
                <w:szCs w:val="20"/>
                <w:color w:val="auto"/>
              </w:rPr>
            </w:pPr>
            <w:r>
              <w:rPr>
                <w:rFonts w:ascii="Arial" w:cs="Arial" w:eastAsia="Arial" w:hAnsi="Arial"/>
                <w:sz w:val="17"/>
                <w:szCs w:val="17"/>
                <w:color w:val="auto"/>
              </w:rPr>
              <w:t>files).</w:t>
            </w:r>
          </w:p>
        </w:tc>
        <w:tc>
          <w:tcPr>
            <w:tcW w:w="3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ind w:right="140"/>
        <w:spacing w:after="0" w:line="21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2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580"/>
              <w:spacing w:after="0"/>
              <w:rPr>
                <w:sz w:val="20"/>
                <w:szCs w:val="20"/>
                <w:color w:val="auto"/>
              </w:rPr>
            </w:pPr>
            <w:r>
              <w:rPr>
                <w:rFonts w:ascii="Arial" w:cs="Arial" w:eastAsia="Arial" w:hAnsi="Arial"/>
                <w:sz w:val="17"/>
                <w:szCs w:val="17"/>
                <w:color w:val="auto"/>
              </w:rPr>
              <w:t>Accelerated filer</w:t>
            </w:r>
          </w:p>
        </w:tc>
        <w:tc>
          <w:tcPr>
            <w:tcW w:w="940" w:type="dxa"/>
            <w:vAlign w:val="bottom"/>
          </w:tcPr>
          <w:p>
            <w:pPr>
              <w:spacing w:after="0"/>
              <w:rPr>
                <w:sz w:val="23"/>
                <w:szCs w:val="23"/>
                <w:color w:val="auto"/>
              </w:rPr>
            </w:pP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0"/>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2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580"/>
              <w:spacing w:after="0"/>
              <w:rPr>
                <w:sz w:val="20"/>
                <w:szCs w:val="20"/>
                <w:color w:val="auto"/>
              </w:rPr>
            </w:pPr>
            <w:r>
              <w:rPr>
                <w:rFonts w:ascii="Arial" w:cs="Arial" w:eastAsia="Arial" w:hAnsi="Arial"/>
                <w:sz w:val="17"/>
                <w:szCs w:val="17"/>
                <w:color w:val="auto"/>
              </w:rPr>
              <w:t>Smaller reporting company</w:t>
            </w:r>
          </w:p>
        </w:tc>
        <w:tc>
          <w:tcPr>
            <w:tcW w:w="940" w:type="dxa"/>
            <w:vAlign w:val="bottom"/>
          </w:tcPr>
          <w:p>
            <w:pPr>
              <w:spacing w:after="0"/>
              <w:rPr>
                <w:sz w:val="24"/>
                <w:szCs w:val="24"/>
                <w:color w:val="auto"/>
              </w:rPr>
            </w:pP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0"/>
        </w:trPr>
        <w:tc>
          <w:tcPr>
            <w:tcW w:w="2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7"/>
                <w:szCs w:val="17"/>
                <w:color w:val="auto"/>
              </w:rPr>
              <w:t>Emerging growth company</w:t>
            </w:r>
          </w:p>
        </w:tc>
        <w:tc>
          <w:tcPr>
            <w:tcW w:w="940" w:type="dxa"/>
            <w:vAlign w:val="bottom"/>
          </w:tcPr>
          <w:p>
            <w:pPr>
              <w:spacing w:after="0"/>
              <w:rPr>
                <w:sz w:val="24"/>
                <w:szCs w:val="24"/>
                <w:color w:val="auto"/>
              </w:rPr>
            </w:pP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5"/>
        </w:trPr>
        <w:tc>
          <w:tcPr>
            <w:tcW w:w="10920" w:type="dxa"/>
            <w:vAlign w:val="bottom"/>
            <w:gridSpan w:val="4"/>
          </w:tcPr>
          <w:p>
            <w:pPr>
              <w:spacing w:after="0"/>
              <w:rPr>
                <w:sz w:val="20"/>
                <w:szCs w:val="20"/>
                <w:color w:val="auto"/>
              </w:rPr>
            </w:pPr>
            <w:r>
              <w:rPr>
                <w:rFonts w:ascii="Arial" w:cs="Arial" w:eastAsia="Arial" w:hAnsi="Arial"/>
                <w:sz w:val="17"/>
                <w:szCs w:val="17"/>
                <w:color w:val="auto"/>
                <w:w w:val="93"/>
              </w:rPr>
              <w:t>If an emerging growth company, indicate by check mark if the registrant has elected not to use the extended transition period for complying with any new or</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4"/>
        </w:trPr>
        <w:tc>
          <w:tcPr>
            <w:tcW w:w="7000" w:type="dxa"/>
            <w:vAlign w:val="bottom"/>
            <w:gridSpan w:val="2"/>
          </w:tcPr>
          <w:p>
            <w:pPr>
              <w:spacing w:after="0"/>
              <w:rPr>
                <w:sz w:val="20"/>
                <w:szCs w:val="20"/>
                <w:color w:val="auto"/>
              </w:rPr>
            </w:pPr>
            <w:r>
              <w:rPr>
                <w:rFonts w:ascii="Arial" w:cs="Arial" w:eastAsia="Arial" w:hAnsi="Arial"/>
                <w:sz w:val="17"/>
                <w:szCs w:val="17"/>
                <w:color w:val="auto"/>
                <w:w w:val="97"/>
              </w:rPr>
              <w:t>revised financial accounting standards provided pursuant to Section 13(a) of the Exchange Act.</w:t>
            </w: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3"/>
        </w:trPr>
        <w:tc>
          <w:tcPr>
            <w:tcW w:w="9980" w:type="dxa"/>
            <w:vAlign w:val="bottom"/>
            <w:gridSpan w:val="3"/>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c>
          <w:tcPr>
            <w:tcW w:w="940" w:type="dxa"/>
            <w:vAlign w:val="bottom"/>
          </w:tcPr>
          <w:p>
            <w:pPr>
              <w:jc w:val="right"/>
              <w:ind w:right="56"/>
              <w:spacing w:after="0"/>
              <w:rPr>
                <w:sz w:val="20"/>
                <w:szCs w:val="20"/>
                <w:color w:val="auto"/>
              </w:rPr>
            </w:pPr>
            <w:r>
              <w:rPr>
                <w:rFonts w:ascii="Arial" w:cs="Arial" w:eastAsia="Arial" w:hAnsi="Arial"/>
                <w:sz w:val="17"/>
                <w:szCs w:val="17"/>
                <w:color w:val="auto"/>
              </w:rPr>
              <w:t>Yes</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0"/>
        </w:trPr>
        <w:tc>
          <w:tcPr>
            <w:tcW w:w="2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40" w:type="dxa"/>
            <w:vAlign w:val="bottom"/>
          </w:tcPr>
          <w:p>
            <w:pPr>
              <w:jc w:val="right"/>
              <w:ind w:right="56"/>
              <w:spacing w:after="0"/>
              <w:rPr>
                <w:sz w:val="20"/>
                <w:szCs w:val="20"/>
                <w:color w:val="auto"/>
              </w:rPr>
            </w:pPr>
            <w:r>
              <w:rPr>
                <w:rFonts w:ascii="Arial" w:cs="Arial" w:eastAsia="Arial" w:hAnsi="Arial"/>
                <w:sz w:val="17"/>
                <w:szCs w:val="17"/>
                <w:color w:val="auto"/>
              </w:rPr>
              <w:t>No</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53" w:lineRule="exact"/>
        <w:rPr>
          <w:sz w:val="24"/>
          <w:szCs w:val="24"/>
          <w:color w:val="auto"/>
        </w:rPr>
      </w:pPr>
    </w:p>
    <w:tbl>
      <w:tblPr>
        <w:tblLayout w:type="fixed"/>
        <w:tblInd w:w="62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3280" w:type="dxa"/>
            <w:vAlign w:val="bottom"/>
            <w:gridSpan w:val="2"/>
          </w:tcPr>
          <w:p>
            <w:pPr>
              <w:jc w:val="center"/>
              <w:ind w:right="2020"/>
              <w:spacing w:after="0"/>
              <w:rPr>
                <w:sz w:val="20"/>
                <w:szCs w:val="20"/>
                <w:color w:val="auto"/>
              </w:rPr>
            </w:pPr>
            <w:r>
              <w:rPr>
                <w:rFonts w:ascii="Arial" w:cs="Arial" w:eastAsia="Arial" w:hAnsi="Arial"/>
                <w:sz w:val="17"/>
                <w:szCs w:val="17"/>
                <w:b w:val="1"/>
                <w:bCs w:val="1"/>
                <w:color w:val="auto"/>
                <w:w w:val="85"/>
              </w:rPr>
              <w:t>Title of each class</w:t>
            </w:r>
          </w:p>
        </w:tc>
        <w:tc>
          <w:tcPr>
            <w:tcW w:w="2400" w:type="dxa"/>
            <w:vAlign w:val="bottom"/>
            <w:gridSpan w:val="2"/>
          </w:tcPr>
          <w:p>
            <w:pPr>
              <w:jc w:val="center"/>
              <w:ind w:right="1080"/>
              <w:spacing w:after="0"/>
              <w:rPr>
                <w:sz w:val="20"/>
                <w:szCs w:val="20"/>
                <w:color w:val="auto"/>
              </w:rPr>
            </w:pPr>
            <w:r>
              <w:rPr>
                <w:rFonts w:ascii="Arial" w:cs="Arial" w:eastAsia="Arial" w:hAnsi="Arial"/>
                <w:sz w:val="17"/>
                <w:szCs w:val="17"/>
                <w:b w:val="1"/>
                <w:bCs w:val="1"/>
                <w:color w:val="auto"/>
                <w:w w:val="89"/>
              </w:rPr>
              <w:t>Trading symbol(s)</w:t>
            </w:r>
          </w:p>
        </w:tc>
        <w:tc>
          <w:tcPr>
            <w:tcW w:w="3140" w:type="dxa"/>
            <w:vAlign w:val="bottom"/>
          </w:tcPr>
          <w:p>
            <w:pPr>
              <w:jc w:val="center"/>
              <w:spacing w:after="0"/>
              <w:rPr>
                <w:sz w:val="20"/>
                <w:szCs w:val="20"/>
                <w:color w:val="auto"/>
              </w:rPr>
            </w:pPr>
            <w:r>
              <w:rPr>
                <w:rFonts w:ascii="Arial" w:cs="Arial" w:eastAsia="Arial" w:hAnsi="Arial"/>
                <w:sz w:val="17"/>
                <w:szCs w:val="17"/>
                <w:b w:val="1"/>
                <w:bCs w:val="1"/>
                <w:color w:val="auto"/>
                <w:w w:val="87"/>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30"/>
        </w:trPr>
        <w:tc>
          <w:tcPr>
            <w:tcW w:w="4320" w:type="dxa"/>
            <w:vAlign w:val="bottom"/>
            <w:gridSpan w:val="3"/>
          </w:tcPr>
          <w:p>
            <w:pPr>
              <w:jc w:val="center"/>
              <w:ind w:right="960"/>
              <w:spacing w:after="0"/>
              <w:rPr>
                <w:sz w:val="20"/>
                <w:szCs w:val="20"/>
                <w:color w:val="auto"/>
              </w:rPr>
            </w:pPr>
            <w:r>
              <w:rPr>
                <w:rFonts w:ascii="Arial" w:cs="Arial" w:eastAsia="Arial" w:hAnsi="Arial"/>
                <w:sz w:val="17"/>
                <w:szCs w:val="17"/>
                <w:color w:val="auto"/>
                <w:w w:val="88"/>
              </w:rPr>
              <w:t>Ordinary shares, nominal value $0.0001 per share</w:t>
            </w:r>
          </w:p>
        </w:tc>
        <w:tc>
          <w:tcPr>
            <w:tcW w:w="2400" w:type="dxa"/>
            <w:vAlign w:val="bottom"/>
            <w:gridSpan w:val="2"/>
          </w:tcPr>
          <w:p>
            <w:pPr>
              <w:jc w:val="center"/>
              <w:ind w:right="1080"/>
              <w:spacing w:after="0"/>
              <w:rPr>
                <w:sz w:val="20"/>
                <w:szCs w:val="20"/>
                <w:color w:val="auto"/>
              </w:rPr>
            </w:pPr>
            <w:r>
              <w:rPr>
                <w:rFonts w:ascii="Arial" w:cs="Arial" w:eastAsia="Arial" w:hAnsi="Arial"/>
                <w:sz w:val="17"/>
                <w:szCs w:val="17"/>
                <w:color w:val="auto"/>
                <w:w w:val="93"/>
              </w:rPr>
              <w:t>ENDP</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The NASDAQ Global Select Market</w:t>
            </w:r>
          </w:p>
        </w:tc>
      </w:tr>
    </w:tbl>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ordinary shares, nominal value $0.0001 per share outstanding as of April 29, 2021 was 233,305,326.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525780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854"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gridSpan w:val="10"/>
          </w:tcPr>
          <w:p>
            <w:pPr>
              <w:jc w:val="center"/>
              <w:ind w:right="1380"/>
              <w:spacing w:after="0"/>
              <w:rPr>
                <w:sz w:val="20"/>
                <w:szCs w:val="20"/>
                <w:color w:val="auto"/>
              </w:rPr>
            </w:pPr>
            <w:r>
              <w:rPr>
                <w:rFonts w:ascii="Arial" w:cs="Arial" w:eastAsia="Arial" w:hAnsi="Arial"/>
                <w:sz w:val="18"/>
                <w:szCs w:val="18"/>
                <w:b w:val="1"/>
                <w:bCs w:val="1"/>
                <w:color w:val="auto"/>
              </w:rPr>
              <w:t>ENDO INTERNATIONAL PLC</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rPr>
              <w:t>INDEX</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080" w:type="dxa"/>
            <w:vAlign w:val="bottom"/>
            <w:gridSpan w:val="2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Forward-Looking Statements</w:t>
              </w:r>
            </w:hyperlink>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473"/>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68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2440" w:type="dxa"/>
            <w:vAlign w:val="bottom"/>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3020" w:type="dxa"/>
            <w:vAlign w:val="bottom"/>
            <w:tcBorders>
              <w:top w:val="single" w:sz="8" w:color="0000FF"/>
            </w:tcBorders>
            <w:gridSpan w:val="9"/>
          </w:tcPr>
          <w:p>
            <w:pPr>
              <w:spacing w:after="0"/>
              <w:rPr>
                <w:sz w:val="17"/>
                <w:szCs w:val="17"/>
                <w:color w:val="auto"/>
              </w:rPr>
            </w:pPr>
          </w:p>
        </w:tc>
        <w:tc>
          <w:tcPr>
            <w:tcW w:w="2680" w:type="dxa"/>
            <w:vAlign w:val="bottom"/>
            <w:gridSpan w:val="2"/>
          </w:tcPr>
          <w:p>
            <w:pPr>
              <w:spacing w:after="0"/>
              <w:rPr>
                <w:sz w:val="17"/>
                <w:szCs w:val="17"/>
                <w:color w:val="auto"/>
              </w:rPr>
            </w:pPr>
          </w:p>
        </w:tc>
        <w:tc>
          <w:tcPr>
            <w:tcW w:w="21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gridSpan w:val="10"/>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 (Unaudited)</w:t>
              </w:r>
            </w:hyperlink>
          </w:p>
        </w:tc>
        <w:tc>
          <w:tcPr>
            <w:tcW w:w="4340" w:type="dxa"/>
            <w:vAlign w:val="bottom"/>
            <w:gridSpan w:val="9"/>
          </w:tcPr>
          <w:p>
            <w:pPr>
              <w:spacing w:after="0"/>
              <w:rPr>
                <w:sz w:val="17"/>
                <w:szCs w:val="17"/>
                <w:color w:val="auto"/>
              </w:rPr>
            </w:pPr>
          </w:p>
        </w:tc>
        <w:tc>
          <w:tcPr>
            <w:tcW w:w="21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20" w:type="dxa"/>
            <w:vAlign w:val="bottom"/>
            <w:gridSpan w:val="1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Operations (Unaudited)</w:t>
              </w:r>
            </w:hyperlink>
          </w:p>
        </w:tc>
        <w:tc>
          <w:tcPr>
            <w:tcW w:w="3620" w:type="dxa"/>
            <w:vAlign w:val="bottom"/>
            <w:gridSpan w:val="7"/>
          </w:tcPr>
          <w:p>
            <w:pPr>
              <w:spacing w:after="0"/>
              <w:rPr>
                <w:sz w:val="17"/>
                <w:szCs w:val="17"/>
                <w:color w:val="auto"/>
              </w:rPr>
            </w:pPr>
          </w:p>
        </w:tc>
        <w:tc>
          <w:tcPr>
            <w:tcW w:w="21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8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 (Unaudited)</w:t>
              </w:r>
            </w:hyperlink>
          </w:p>
        </w:tc>
        <w:tc>
          <w:tcPr>
            <w:tcW w:w="1760" w:type="dxa"/>
            <w:vAlign w:val="bottom"/>
          </w:tcPr>
          <w:p>
            <w:pPr>
              <w:spacing w:after="0"/>
              <w:rPr>
                <w:sz w:val="17"/>
                <w:szCs w:val="17"/>
                <w:color w:val="auto"/>
              </w:rPr>
            </w:pPr>
          </w:p>
        </w:tc>
        <w:tc>
          <w:tcPr>
            <w:tcW w:w="21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8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1760" w:type="dxa"/>
            <w:vAlign w:val="bottom"/>
          </w:tcPr>
          <w:p>
            <w:pPr>
              <w:spacing w:after="0"/>
              <w:rPr>
                <w:sz w:val="17"/>
                <w:szCs w:val="17"/>
                <w:color w:val="auto"/>
              </w:rPr>
            </w:pPr>
          </w:p>
        </w:tc>
        <w:tc>
          <w:tcPr>
            <w:tcW w:w="21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4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21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814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212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w:t>
              </w:r>
            </w:hyperlink>
          </w:p>
        </w:tc>
        <w:tc>
          <w:tcPr>
            <w:tcW w:w="814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21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4"/>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814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21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20" w:type="dxa"/>
            <w:vAlign w:val="bottom"/>
          </w:tcPr>
          <w:p>
            <w:pPr>
              <w:spacing w:after="0"/>
              <w:rPr>
                <w:sz w:val="17"/>
                <w:szCs w:val="17"/>
                <w:color w:val="auto"/>
              </w:rPr>
            </w:pPr>
          </w:p>
        </w:tc>
      </w:tr>
      <w:tr>
        <w:trPr>
          <w:trHeight w:val="473"/>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Borders>
              <w:bottom w:val="single" w:sz="8" w:color="0000FF"/>
            </w:tcBorders>
            <w:gridSpan w:val="6"/>
          </w:tcPr>
          <w:p>
            <w:pPr>
              <w:jc w:val="cente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 OTHER INFORMATION</w:t>
              </w:r>
            </w:hyperlink>
          </w:p>
        </w:tc>
        <w:tc>
          <w:tcPr>
            <w:tcW w:w="2820" w:type="dxa"/>
            <w:vAlign w:val="bottom"/>
            <w:gridSpan w:val="4"/>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1.</w:t>
              </w:r>
            </w:hyperlink>
          </w:p>
        </w:tc>
        <w:tc>
          <w:tcPr>
            <w:tcW w:w="814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212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Item 1A.</w:t>
              </w:r>
            </w:hyperlink>
          </w:p>
        </w:tc>
        <w:tc>
          <w:tcPr>
            <w:tcW w:w="300" w:type="dxa"/>
            <w:vAlign w:val="bottom"/>
            <w:gridSpan w:val="2"/>
          </w:tcPr>
          <w:p>
            <w:pPr>
              <w:spacing w:after="0"/>
              <w:rPr>
                <w:sz w:val="17"/>
                <w:szCs w:val="17"/>
                <w:color w:val="auto"/>
              </w:rPr>
            </w:pPr>
          </w:p>
        </w:tc>
        <w:tc>
          <w:tcPr>
            <w:tcW w:w="90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Risk Factors</w:t>
              </w:r>
            </w:hyperlink>
          </w:p>
        </w:tc>
        <w:tc>
          <w:tcPr>
            <w:tcW w:w="7240" w:type="dxa"/>
            <w:vAlign w:val="bottom"/>
            <w:gridSpan w:val="17"/>
          </w:tcPr>
          <w:p>
            <w:pPr>
              <w:spacing w:after="0"/>
              <w:rPr>
                <w:sz w:val="17"/>
                <w:szCs w:val="17"/>
                <w:color w:val="auto"/>
              </w:rPr>
            </w:pPr>
          </w:p>
        </w:tc>
        <w:tc>
          <w:tcPr>
            <w:tcW w:w="194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45</w:t>
              </w:r>
            </w:hyperlink>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2.</w:t>
              </w:r>
            </w:hyperlink>
          </w:p>
        </w:tc>
        <w:tc>
          <w:tcPr>
            <w:tcW w:w="8140" w:type="dxa"/>
            <w:vAlign w:val="bottom"/>
            <w:gridSpan w:val="1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Unregistered Sales of Equity Securities and Use of Proceeds</w:t>
              </w:r>
            </w:hyperlink>
          </w:p>
        </w:tc>
        <w:tc>
          <w:tcPr>
            <w:tcW w:w="21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3.</w:t>
              </w:r>
            </w:hyperlink>
          </w:p>
        </w:tc>
        <w:tc>
          <w:tcPr>
            <w:tcW w:w="8140" w:type="dxa"/>
            <w:vAlign w:val="bottom"/>
            <w:gridSpan w:val="1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Defaults Upon Senior Securities</w:t>
              </w:r>
            </w:hyperlink>
          </w:p>
        </w:tc>
        <w:tc>
          <w:tcPr>
            <w:tcW w:w="21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4.</w:t>
              </w:r>
            </w:hyperlink>
          </w:p>
        </w:tc>
        <w:tc>
          <w:tcPr>
            <w:tcW w:w="8140" w:type="dxa"/>
            <w:vAlign w:val="bottom"/>
            <w:gridSpan w:val="1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Mine Safety Disclosures</w:t>
              </w:r>
            </w:hyperlink>
          </w:p>
        </w:tc>
        <w:tc>
          <w:tcPr>
            <w:tcW w:w="21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5.</w:t>
              </w:r>
            </w:hyperlink>
          </w:p>
        </w:tc>
        <w:tc>
          <w:tcPr>
            <w:tcW w:w="8140" w:type="dxa"/>
            <w:vAlign w:val="bottom"/>
            <w:gridSpan w:val="1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Other Information</w:t>
              </w:r>
            </w:hyperlink>
          </w:p>
        </w:tc>
        <w:tc>
          <w:tcPr>
            <w:tcW w:w="21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40" w:type="dxa"/>
            <w:vAlign w:val="bottom"/>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6.</w:t>
              </w:r>
            </w:hyperlink>
          </w:p>
        </w:tc>
        <w:tc>
          <w:tcPr>
            <w:tcW w:w="8140" w:type="dxa"/>
            <w:vAlign w:val="bottom"/>
            <w:gridSpan w:val="1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21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940" w:type="dxa"/>
            <w:vAlign w:val="bottom"/>
            <w:gridSpan w:val="4"/>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Signatures</w:t>
              </w:r>
            </w:hyperlink>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2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c>
          <w:tcPr>
            <w:tcW w:w="20" w:type="dxa"/>
            <w:vAlign w:val="bottom"/>
          </w:tcPr>
          <w:p>
            <w:pPr>
              <w:spacing w:after="0"/>
              <w:rPr>
                <w:sz w:val="24"/>
                <w:szCs w:val="24"/>
                <w:color w:val="auto"/>
              </w:rPr>
            </w:pPr>
          </w:p>
        </w:tc>
      </w:tr>
      <w:tr>
        <w:trPr>
          <w:trHeight w:val="1106"/>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ind w:firstLine="480"/>
        <w:spacing w:after="0" w:line="277"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future financial results, cost savings, revenues, expenses, net income and income per share, as well as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and any other statements that refer to Endo’s expected, estimated or anticipated future results. We have tried, whenever possible, to identify such statements by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our business as a result of COVID-19); the timing or results of any pending or future litigation, investigations or claims or actual or contingent liabilities, settlement discussions, negotiations or other adverse proceedings, including proceedings involving opioid-related matters, tax matters with the United States (U.S.) Internal Revenue Service (IRS) and key products such as VASOSTRICT</w:t>
      </w:r>
      <w:r>
        <w:rPr>
          <w:rFonts w:ascii="Arial" w:cs="Arial" w:eastAsia="Arial" w:hAnsi="Arial"/>
          <w:sz w:val="21"/>
          <w:szCs w:val="21"/>
          <w:color w:val="auto"/>
          <w:vertAlign w:val="superscript"/>
        </w:rPr>
        <w:t>®</w:t>
      </w:r>
      <w:r>
        <w:rPr>
          <w:rFonts w:ascii="Arial" w:cs="Arial" w:eastAsia="Arial" w:hAnsi="Arial"/>
          <w:sz w:val="16"/>
          <w:szCs w:val="16"/>
          <w:color w:val="auto"/>
        </w:rPr>
        <w:t>; unfavorable publicity regarding the misuse of opioids; changing competitive, market and regulatory conditions; changes in legislation;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the Annual Report on Form 10-K for the year ended December 31, 2020 filed with the Securities and Exchange Commission (SEC) on February 26, 2021 (the Annual Report), in Part II, Item 1A of this report and in other reports that we file with the SEC.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Additionally, the prolonged impact of COVID-19 could heighten the impact of one or more of such risk factors.</w:t>
      </w:r>
    </w:p>
    <w:p>
      <w:pPr>
        <w:spacing w:after="0" w:line="68" w:lineRule="exact"/>
        <w:rPr>
          <w:sz w:val="20"/>
          <w:szCs w:val="20"/>
          <w:color w:val="auto"/>
        </w:rPr>
      </w:pPr>
    </w:p>
    <w:p>
      <w:pPr>
        <w:ind w:right="80" w:firstLine="480"/>
        <w:spacing w:after="0" w:line="285" w:lineRule="auto"/>
        <w:rPr>
          <w:sz w:val="20"/>
          <w:szCs w:val="20"/>
          <w:color w:val="auto"/>
        </w:rPr>
      </w:pPr>
      <w:r>
        <w:rPr>
          <w:rFonts w:ascii="Arial" w:cs="Arial" w:eastAsia="Arial" w:hAnsi="Arial"/>
          <w:sz w:val="16"/>
          <w:szCs w:val="16"/>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and in Part II, Item 1A of this report,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12"/>
        </w:trPr>
        <w:tc>
          <w:tcPr>
            <w:tcW w:w="8420" w:type="dxa"/>
            <w:vAlign w:val="bottom"/>
            <w:tcBorders>
              <w:top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1,213,437</w:t>
            </w:r>
          </w:p>
        </w:tc>
        <w:tc>
          <w:tcPr>
            <w:tcW w:w="0" w:type="dxa"/>
            <w:vAlign w:val="bottom"/>
          </w:tcPr>
          <w:p>
            <w:pPr>
              <w:spacing w:after="0"/>
              <w:rPr>
                <w:sz w:val="1"/>
                <w:szCs w:val="1"/>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137,066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171,563</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511,262</w:t>
            </w:r>
          </w:p>
        </w:tc>
        <w:tc>
          <w:tcPr>
            <w:tcW w:w="0" w:type="dxa"/>
            <w:vAlign w:val="bottom"/>
          </w:tcPr>
          <w:p>
            <w:pPr>
              <w:spacing w:after="0"/>
              <w:rPr>
                <w:sz w:val="1"/>
                <w:szCs w:val="1"/>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352,260</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100,899</w:t>
            </w:r>
          </w:p>
        </w:tc>
        <w:tc>
          <w:tcPr>
            <w:tcW w:w="0" w:type="dxa"/>
            <w:vAlign w:val="bottom"/>
          </w:tcPr>
          <w:p>
            <w:pPr>
              <w:spacing w:after="0"/>
              <w:rPr>
                <w:sz w:val="1"/>
                <w:szCs w:val="1"/>
                <w:color w:val="auto"/>
              </w:rPr>
            </w:pP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63,837</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2,495,231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2,413,258</w:t>
            </w:r>
          </w:p>
        </w:tc>
        <w:tc>
          <w:tcPr>
            <w:tcW w:w="0" w:type="dxa"/>
            <w:vAlign w:val="bottom"/>
          </w:tcPr>
          <w:p>
            <w:pPr>
              <w:spacing w:after="0"/>
              <w:rPr>
                <w:sz w:val="1"/>
                <w:szCs w:val="1"/>
                <w:color w:val="auto"/>
              </w:rPr>
            </w:pPr>
          </w:p>
        </w:tc>
      </w:tr>
      <w:tr>
        <w:trPr>
          <w:trHeight w:val="219"/>
        </w:trPr>
        <w:tc>
          <w:tcPr>
            <w:tcW w:w="84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452,172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458,471</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3,560,011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2,740,808</w:t>
            </w: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53,235</w:t>
            </w:r>
          </w:p>
        </w:tc>
        <w:tc>
          <w:tcPr>
            <w:tcW w:w="0" w:type="dxa"/>
            <w:vAlign w:val="bottom"/>
          </w:tcPr>
          <w:p>
            <w:pPr>
              <w:spacing w:after="0"/>
              <w:rPr>
                <w:sz w:val="1"/>
                <w:szCs w:val="1"/>
                <w:color w:val="auto"/>
              </w:rPr>
            </w:pPr>
          </w:p>
        </w:tc>
      </w:tr>
      <w:tr>
        <w:trPr>
          <w:trHeight w:val="221"/>
        </w:trPr>
        <w:tc>
          <w:tcPr>
            <w:tcW w:w="8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9,234,171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9,264,637</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20" w:type="dxa"/>
            <w:vAlign w:val="bottom"/>
            <w:shd w:val="clear" w:color="auto" w:fill="CCEEFF"/>
          </w:tcPr>
          <w:p>
            <w:pPr>
              <w:ind w:left="2260"/>
              <w:spacing w:after="0" w:line="194" w:lineRule="exact"/>
              <w:rPr>
                <w:sz w:val="20"/>
                <w:szCs w:val="20"/>
                <w:color w:val="auto"/>
              </w:rPr>
            </w:pPr>
            <w:r>
              <w:rPr>
                <w:rFonts w:ascii="Arial" w:cs="Arial" w:eastAsia="Arial" w:hAnsi="Arial"/>
                <w:sz w:val="18"/>
                <w:szCs w:val="18"/>
                <w:b w:val="1"/>
                <w:bCs w:val="1"/>
                <w:color w:val="auto"/>
              </w:rPr>
              <w:t>LIABILITIES AND SHAREHOLDERS' DEFICIT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835,940</w:t>
            </w:r>
          </w:p>
        </w:tc>
        <w:tc>
          <w:tcPr>
            <w:tcW w:w="0" w:type="dxa"/>
            <w:vAlign w:val="bottom"/>
          </w:tcPr>
          <w:p>
            <w:pPr>
              <w:spacing w:after="0"/>
              <w:rPr>
                <w:sz w:val="1"/>
                <w:szCs w:val="1"/>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Current portion of legal settlement accrual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327,896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372,121</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200,342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1,253,824</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26,066</w:t>
            </w: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LONG-TERM DEBT, LESS CURRENT PORTION,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8,077,622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8,280,578</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299,940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313,976</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SHAREHOLDERS' DEFICIT: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6"/>
              </w:rPr>
              <w:t>Euro deferred shares, $0.01 par value; 4,000,000 shares authorized and issued at both March 31, 2021 and</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20" w:type="dxa"/>
            <w:vAlign w:val="bottom"/>
          </w:tcPr>
          <w:p>
            <w:pPr>
              <w:ind w:left="140"/>
              <w:spacing w:after="0" w:line="175" w:lineRule="exact"/>
              <w:rPr>
                <w:sz w:val="20"/>
                <w:szCs w:val="20"/>
                <w:color w:val="auto"/>
              </w:rPr>
            </w:pPr>
            <w:r>
              <w:rPr>
                <w:rFonts w:ascii="Arial" w:cs="Arial" w:eastAsia="Arial" w:hAnsi="Arial"/>
                <w:sz w:val="18"/>
                <w:szCs w:val="18"/>
                <w:color w:val="auto"/>
                <w:w w:val="89"/>
              </w:rPr>
              <w:t>Ordinary shares, $0.0001 par value; 1,000,000,000 shares authorized; 231,459,092 and 230,315,768 shares issued</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8420" w:type="dxa"/>
            <w:vAlign w:val="bottom"/>
          </w:tcPr>
          <w:p>
            <w:pPr>
              <w:ind w:left="140"/>
              <w:spacing w:after="0"/>
              <w:rPr>
                <w:sz w:val="20"/>
                <w:szCs w:val="20"/>
                <w:color w:val="auto"/>
              </w:rPr>
            </w:pPr>
            <w:r>
              <w:rPr>
                <w:rFonts w:ascii="Arial" w:cs="Arial" w:eastAsia="Arial" w:hAnsi="Arial"/>
                <w:sz w:val="18"/>
                <w:szCs w:val="18"/>
                <w:color w:val="auto"/>
              </w:rPr>
              <w:t>and outstanding at March 31, 2021 and December 31, 2020, respectively</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8,943,764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8,938,012</w:t>
            </w:r>
          </w:p>
        </w:tc>
        <w:tc>
          <w:tcPr>
            <w:tcW w:w="0" w:type="dxa"/>
            <w:vAlign w:val="bottom"/>
          </w:tcPr>
          <w:p>
            <w:pPr>
              <w:spacing w:after="0"/>
              <w:rPr>
                <w:sz w:val="1"/>
                <w:szCs w:val="1"/>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(9,326,746)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(9,368,270)</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(216,061)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(217,753)</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(598,973)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(647,939)</w:t>
            </w:r>
          </w:p>
        </w:tc>
        <w:tc>
          <w:tcPr>
            <w:tcW w:w="0" w:type="dxa"/>
            <w:vAlign w:val="bottom"/>
          </w:tcPr>
          <w:p>
            <w:pPr>
              <w:spacing w:after="0"/>
              <w:rPr>
                <w:sz w:val="1"/>
                <w:szCs w:val="1"/>
                <w:color w:val="auto"/>
              </w:rPr>
            </w:pPr>
          </w:p>
        </w:tc>
      </w:tr>
      <w:tr>
        <w:trPr>
          <w:trHeight w:val="24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9,234,171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9,264,637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94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0"/>
        </w:trPr>
        <w:tc>
          <w:tcPr>
            <w:tcW w:w="8420" w:type="dxa"/>
            <w:vAlign w:val="bottom"/>
          </w:tcPr>
          <w:p>
            <w:pPr>
              <w:ind w:left="55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820,405</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388,799</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166,768</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31,615</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Litigation-related and other contingencies,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(17,176)</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charges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97,785</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Acquisition-related and integration items,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12,462</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132,877</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r>
      <w:tr>
        <w:trPr>
          <w:trHeight w:val="21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CONTINUING OPERATIONS BEFORE INCOME TAX</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(136,332)</w:t>
            </w:r>
          </w:p>
        </w:tc>
      </w:tr>
      <w:tr>
        <w:trPr>
          <w:trHeight w:val="21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157,581</w:t>
            </w:r>
          </w:p>
        </w:tc>
      </w:tr>
      <w:tr>
        <w:trPr>
          <w:trHeight w:val="22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NET OF TAX (NOTE 3)</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(27,651)</w:t>
            </w:r>
          </w:p>
        </w:tc>
      </w:tr>
      <w:tr>
        <w:trPr>
          <w:trHeight w:val="221"/>
        </w:trPr>
        <w:tc>
          <w:tcPr>
            <w:tcW w:w="8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129,930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3"/>
        </w:trPr>
        <w:tc>
          <w:tcPr>
            <w:tcW w:w="84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NET INCOME (LOSS) PER SHARE—BASIC:</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1"/>
        </w:trPr>
        <w:tc>
          <w:tcPr>
            <w:tcW w:w="842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3"/>
        </w:trPr>
        <w:tc>
          <w:tcPr>
            <w:tcW w:w="84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NET INCOME (LOSS) PER SHARE—DILUTED:</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1"/>
        </w:trPr>
        <w:tc>
          <w:tcPr>
            <w:tcW w:w="8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3"/>
        </w:trPr>
        <w:tc>
          <w:tcPr>
            <w:tcW w:w="84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WEIGHTED AVERAGE SHARES: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227,198</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233,014</w:t>
            </w:r>
          </w:p>
        </w:tc>
      </w:tr>
    </w:tbl>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129,930</w:t>
            </w:r>
          </w:p>
        </w:tc>
        <w:tc>
          <w:tcPr>
            <w:tcW w:w="0" w:type="dxa"/>
            <w:vAlign w:val="bottom"/>
          </w:tcPr>
          <w:p>
            <w:pPr>
              <w:spacing w:after="0"/>
              <w:rPr>
                <w:sz w:val="1"/>
                <w:szCs w:val="1"/>
                <w:color w:val="auto"/>
              </w:rPr>
            </w:pP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 (loss) on foreign currency</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(14,437)</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2"/>
              </w:rPr>
              <w:t>(14,437)</w:t>
            </w:r>
          </w:p>
        </w:tc>
        <w:tc>
          <w:tcPr>
            <w:tcW w:w="0" w:type="dxa"/>
            <w:vAlign w:val="bottom"/>
          </w:tcPr>
          <w:p>
            <w:pPr>
              <w:spacing w:after="0"/>
              <w:rPr>
                <w:sz w:val="1"/>
                <w:szCs w:val="1"/>
                <w:color w:val="auto"/>
              </w:rPr>
            </w:pPr>
          </w:p>
        </w:tc>
      </w:tr>
      <w:tr>
        <w:trPr>
          <w:trHeight w:val="24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115,493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jc w:val="center"/>
              <w:ind w:left="2731"/>
              <w:spacing w:after="0"/>
              <w:rPr>
                <w:sz w:val="20"/>
                <w:szCs w:val="20"/>
                <w:color w:val="auto"/>
              </w:rPr>
            </w:pPr>
            <w:r>
              <w:rPr>
                <w:rFonts w:ascii="Arial" w:cs="Arial" w:eastAsia="Arial" w:hAnsi="Arial"/>
                <w:sz w:val="18"/>
                <w:szCs w:val="18"/>
                <w:color w:val="auto"/>
                <w:w w:val="87"/>
              </w:rPr>
              <w:t>See accompanying Notes to Condensed Consolidated Financial Statements.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0"/>
        </w:trPr>
        <w:tc>
          <w:tcPr>
            <w:tcW w:w="8420" w:type="dxa"/>
            <w:vAlign w:val="bottom"/>
          </w:tcPr>
          <w:p>
            <w:pPr>
              <w:jc w:val="right"/>
              <w:ind w:right="267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129,930</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84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141,588</w:t>
            </w:r>
          </w:p>
        </w:tc>
      </w:tr>
      <w:tr>
        <w:trPr>
          <w:trHeight w:val="227"/>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17,645</w:t>
            </w:r>
          </w:p>
        </w:tc>
      </w:tr>
      <w:tr>
        <w:trPr>
          <w:trHeight w:val="226"/>
        </w:trPr>
        <w:tc>
          <w:tcPr>
            <w:tcW w:w="842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4,339</w:t>
            </w:r>
          </w:p>
        </w:tc>
      </w:tr>
      <w:tr>
        <w:trPr>
          <w:trHeight w:val="227"/>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6"/>
        </w:trPr>
        <w:tc>
          <w:tcPr>
            <w:tcW w:w="842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12,462</w:t>
            </w:r>
          </w:p>
        </w:tc>
      </w:tr>
      <w:tr>
        <w:trPr>
          <w:trHeight w:val="227"/>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20" w:type="dxa"/>
            <w:vAlign w:val="bottom"/>
          </w:tcPr>
          <w:p>
            <w:pPr>
              <w:ind w:left="220"/>
              <w:spacing w:after="0"/>
              <w:rPr>
                <w:sz w:val="20"/>
                <w:szCs w:val="20"/>
                <w:color w:val="auto"/>
              </w:rPr>
            </w:pPr>
            <w:r>
              <w:rPr>
                <w:rFonts w:ascii="Arial" w:cs="Arial" w:eastAsia="Arial" w:hAnsi="Arial"/>
                <w:sz w:val="18"/>
                <w:szCs w:val="18"/>
                <w:color w:val="auto"/>
              </w:rPr>
              <w:t>Asset impairment charges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97,785</w:t>
            </w:r>
          </w:p>
        </w:tc>
      </w:tr>
      <w:tr>
        <w:trPr>
          <w:trHeight w:val="227"/>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sale of business and 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Changes in assets and liabilities which provided (used) cash:</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w:t>
            </w:r>
          </w:p>
        </w:tc>
      </w:tr>
      <w:tr>
        <w:trPr>
          <w:trHeight w:val="226"/>
        </w:trPr>
        <w:tc>
          <w:tcPr>
            <w:tcW w:w="84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7"/>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r>
      <w:tr>
        <w:trPr>
          <w:trHeight w:val="226"/>
        </w:trPr>
        <w:tc>
          <w:tcPr>
            <w:tcW w:w="842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(112,625)</w:t>
            </w:r>
          </w:p>
        </w:tc>
      </w:tr>
      <w:tr>
        <w:trPr>
          <w:trHeight w:val="227"/>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payable/receivable,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(142,727)</w:t>
            </w:r>
          </w:p>
        </w:tc>
      </w:tr>
      <w:tr>
        <w:trPr>
          <w:trHeight w:val="21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62,556</w:t>
            </w:r>
          </w:p>
        </w:tc>
      </w:tr>
      <w:tr>
        <w:trPr>
          <w:trHeight w:val="207"/>
        </w:trPr>
        <w:tc>
          <w:tcPr>
            <w:tcW w:w="84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Capital expenditures, excluding capitalized interest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(19,638)</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interest payments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sale of business and other assets, net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r>
      <w:tr>
        <w:trPr>
          <w:trHeight w:val="221"/>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(15,963)</w:t>
            </w:r>
          </w:p>
        </w:tc>
      </w:tr>
      <w:tr>
        <w:trPr>
          <w:trHeight w:val="712"/>
        </w:trPr>
        <w:tc>
          <w:tcPr>
            <w:tcW w:w="8420" w:type="dxa"/>
            <w:vAlign w:val="bottom"/>
          </w:tcPr>
          <w:p>
            <w:pPr>
              <w:ind w:left="55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2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7"/>
        </w:trPr>
        <w:tc>
          <w:tcPr>
            <w:tcW w:w="1080" w:type="dxa"/>
            <w:vAlign w:val="bottom"/>
            <w:tcBorders>
              <w:top w:val="single" w:sz="8" w:color="0000FF"/>
            </w:tcBorders>
          </w:tcPr>
          <w:p>
            <w:pPr>
              <w:spacing w:after="0"/>
              <w:rPr>
                <w:sz w:val="24"/>
                <w:szCs w:val="24"/>
                <w:color w:val="auto"/>
              </w:rPr>
            </w:pPr>
          </w:p>
        </w:tc>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8"/>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notes,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term loans,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term loans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26"/>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Repayments of other indebtedness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7"/>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for debt issuance and extinguishment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Payments for contingent consideration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7"/>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of tax withholding for restricted shares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26"/>
        </w:trPr>
        <w:tc>
          <w:tcPr>
            <w:tcW w:w="8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Proceeds from exercise of options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foreign exchange rate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155"/>
        </w:trPr>
        <w:tc>
          <w:tcPr>
            <w:tcW w:w="84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7"/>
                <w:szCs w:val="17"/>
                <w:color w:val="auto"/>
              </w:rPr>
              <w:t>NET INCREASE IN CASH, CASH EQUIVALENTS, RESTRICTED CASH AND RESTRICTED CASH</w:t>
            </w:r>
          </w:p>
        </w:tc>
        <w:tc>
          <w:tcPr>
            <w:tcW w:w="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179,841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0" w:type="dxa"/>
            <w:vAlign w:val="bottom"/>
          </w:tcPr>
          <w:p>
            <w:pPr>
              <w:spacing w:after="0"/>
              <w:rPr>
                <w:sz w:val="1"/>
                <w:szCs w:val="1"/>
                <w:color w:val="auto"/>
              </w:rPr>
            </w:pPr>
          </w:p>
        </w:tc>
      </w:tr>
      <w:tr>
        <w:trPr>
          <w:trHeight w:val="231"/>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8420" w:type="dxa"/>
            <w:vAlign w:val="bottom"/>
            <w:gridSpan w:val="2"/>
          </w:tcPr>
          <w:p>
            <w:pPr>
              <w:ind w:left="20"/>
              <w:spacing w:after="0" w:line="154" w:lineRule="exact"/>
              <w:rPr>
                <w:sz w:val="20"/>
                <w:szCs w:val="20"/>
                <w:color w:val="auto"/>
              </w:rPr>
            </w:pPr>
            <w:r>
              <w:rPr>
                <w:rFonts w:ascii="Arial" w:cs="Arial" w:eastAsia="Arial" w:hAnsi="Arial"/>
                <w:sz w:val="17"/>
                <w:szCs w:val="17"/>
                <w:color w:val="auto"/>
              </w:rPr>
              <w:t>CASH, CASH EQUIVALENTS, RESTRICTED CASH AND RESTRICTED CASH EQUIVALENTS, BEGINNING</w:t>
            </w:r>
          </w:p>
        </w:tc>
        <w:tc>
          <w:tcPr>
            <w:tcW w:w="2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1,385,000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1,720,388</w:t>
            </w: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 PERIOD</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7"/>
                <w:szCs w:val="17"/>
                <w:color w:val="auto"/>
              </w:rPr>
              <w:t>CASH, CASH EQUIVALENTS, RESTRICTED CASH AND RESTRICTED CASH EQUIVALENTS, END OF</w:t>
            </w:r>
          </w:p>
        </w:tc>
        <w:tc>
          <w:tcPr>
            <w:tcW w:w="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1,564,841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1,750,604</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CCEEFF"/>
            </w:tcBorders>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17,853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47,801</w:t>
            </w:r>
          </w:p>
        </w:tc>
        <w:tc>
          <w:tcPr>
            <w:tcW w:w="0" w:type="dxa"/>
            <w:vAlign w:val="bottom"/>
          </w:tcPr>
          <w:p>
            <w:pPr>
              <w:spacing w:after="0"/>
              <w:rPr>
                <w:sz w:val="1"/>
                <w:szCs w:val="1"/>
                <w:color w:val="auto"/>
              </w:rPr>
            </w:pPr>
          </w:p>
        </w:tc>
      </w:tr>
      <w:tr>
        <w:trPr>
          <w:trHeight w:val="227"/>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cash distributions for mesh legal settlements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17,819</w:t>
            </w:r>
          </w:p>
        </w:tc>
        <w:tc>
          <w:tcPr>
            <w:tcW w:w="0" w:type="dxa"/>
            <w:vAlign w:val="bottom"/>
          </w:tcPr>
          <w:p>
            <w:pPr>
              <w:spacing w:after="0"/>
              <w:rPr>
                <w:sz w:val="1"/>
                <w:szCs w:val="1"/>
                <w:color w:val="auto"/>
              </w:rPr>
            </w:pPr>
          </w:p>
        </w:tc>
      </w:tr>
    </w:tbl>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19" w:lineRule="exact"/>
        <w:rPr>
          <w:sz w:val="20"/>
          <w:szCs w:val="20"/>
          <w:color w:val="auto"/>
        </w:rPr>
      </w:pPr>
    </w:p>
    <w:p>
      <w:pPr>
        <w:ind w:right="180" w:firstLine="480"/>
        <w:spacing w:after="0" w:line="257"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81"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March 31, 2021 and the results of its operations and its cash flows for the periods presented. Operating results for the three months ended March 31, 2021 are not necessarily indicative of the results that may be expected for the year ending December 31, 2021. The year-end Condensed Consolidated Balance Sheet data as of December 31, 2020 was derived from audited financial statements but does not include all disclosures required by U.S. GAAP.</w:t>
      </w:r>
    </w:p>
    <w:p>
      <w:pPr>
        <w:spacing w:after="0" w:line="76" w:lineRule="exact"/>
        <w:rPr>
          <w:sz w:val="20"/>
          <w:szCs w:val="20"/>
          <w:color w:val="auto"/>
        </w:rPr>
      </w:pPr>
    </w:p>
    <w:p>
      <w:pPr>
        <w:ind w:right="540" w:firstLine="480"/>
        <w:spacing w:after="0" w:line="26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19" w:lineRule="exact"/>
        <w:rPr>
          <w:sz w:val="20"/>
          <w:szCs w:val="20"/>
          <w:color w:val="auto"/>
        </w:rPr>
      </w:pPr>
    </w:p>
    <w:p>
      <w:pPr>
        <w:ind w:firstLine="480"/>
        <w:spacing w:after="0" w:line="283" w:lineRule="auto"/>
        <w:rPr>
          <w:sz w:val="20"/>
          <w:szCs w:val="20"/>
          <w:color w:val="auto"/>
        </w:rPr>
      </w:pPr>
      <w:r>
        <w:rPr>
          <w:rFonts w:ascii="Arial" w:cs="Arial" w:eastAsia="Arial" w:hAnsi="Arial"/>
          <w:sz w:val="16"/>
          <w:szCs w:val="16"/>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COVID-19.</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Added or Updated since December 31, 2020</w:t>
      </w:r>
    </w:p>
    <w:p>
      <w:pPr>
        <w:spacing w:after="0" w:line="119" w:lineRule="exact"/>
        <w:rPr>
          <w:sz w:val="20"/>
          <w:szCs w:val="20"/>
          <w:color w:val="auto"/>
        </w:rPr>
      </w:pPr>
    </w:p>
    <w:p>
      <w:pPr>
        <w:jc w:val="both"/>
        <w:ind w:right="200" w:firstLine="480"/>
        <w:spacing w:after="0" w:line="257" w:lineRule="auto"/>
        <w:rPr>
          <w:sz w:val="20"/>
          <w:szCs w:val="20"/>
          <w:color w:val="auto"/>
        </w:rPr>
      </w:pPr>
      <w:r>
        <w:rPr>
          <w:rFonts w:ascii="Arial" w:cs="Arial" w:eastAsia="Arial" w:hAnsi="Arial"/>
          <w:sz w:val="18"/>
          <w:szCs w:val="18"/>
          <w:color w:val="auto"/>
        </w:rPr>
        <w:t>There have been no significant changes to our significant accounting policies since December 31, 2020. For additional discussion of the Company’s significant accounting policies, see Note 2. Summary of Significant Accounting Policies in the Consolidated Financial Statements included in Part IV, Item 15 of the Annual Report.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Astora</w:t>
      </w:r>
    </w:p>
    <w:p>
      <w:pPr>
        <w:spacing w:after="0" w:line="119" w:lineRule="exact"/>
        <w:rPr>
          <w:sz w:val="20"/>
          <w:szCs w:val="20"/>
          <w:color w:val="auto"/>
        </w:rPr>
      </w:pPr>
    </w:p>
    <w:p>
      <w:pPr>
        <w:jc w:val="both"/>
        <w:ind w:right="440" w:firstLine="480"/>
        <w:spacing w:after="0" w:line="304" w:lineRule="auto"/>
        <w:rPr>
          <w:sz w:val="20"/>
          <w:szCs w:val="20"/>
          <w:color w:val="auto"/>
        </w:rPr>
      </w:pPr>
      <w:r>
        <w:rPr>
          <w:rFonts w:ascii="Arial" w:cs="Arial" w:eastAsia="Arial" w:hAnsi="Arial"/>
          <w:sz w:val="16"/>
          <w:szCs w:val="16"/>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months ended March 31, 2021 and 2020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(33,517)</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(27,651)</w:t>
            </w:r>
          </w:p>
        </w:tc>
      </w:tr>
    </w:tbl>
    <w:p>
      <w:pPr>
        <w:spacing w:after="0" w:line="96" w:lineRule="exact"/>
        <w:rPr>
          <w:sz w:val="20"/>
          <w:szCs w:val="20"/>
          <w:color w:val="auto"/>
        </w:rPr>
      </w:pPr>
    </w:p>
    <w:p>
      <w:pPr>
        <w:ind w:right="180" w:firstLine="480"/>
        <w:spacing w:after="0" w:line="26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73"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$5.5 million and $27.7 million for the three months ended March 31, 2021 and 2020,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19" w:lineRule="exact"/>
        <w:rPr>
          <w:sz w:val="20"/>
          <w:szCs w:val="20"/>
          <w:color w:val="auto"/>
        </w:rPr>
      </w:pPr>
    </w:p>
    <w:p>
      <w:pPr>
        <w:ind w:right="500" w:firstLine="480"/>
        <w:spacing w:after="0" w:line="297" w:lineRule="auto"/>
        <w:rPr>
          <w:sz w:val="20"/>
          <w:szCs w:val="20"/>
          <w:color w:val="auto"/>
        </w:rPr>
      </w:pPr>
      <w:r>
        <w:rPr>
          <w:rFonts w:ascii="Arial" w:cs="Arial" w:eastAsia="Arial" w:hAnsi="Arial"/>
          <w:sz w:val="17"/>
          <w:szCs w:val="17"/>
          <w:color w:val="auto"/>
        </w:rPr>
        <w:t>Set forth below are disclosures relating to restructuring initiatives that resulted in material expenses or cash expenditures during the three-month periods ended March 31, 2021 or 2020 or had material restructuring liabilities at either March 31, 2021 or December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119" w:lineRule="exact"/>
        <w:rPr>
          <w:sz w:val="20"/>
          <w:szCs w:val="20"/>
          <w:color w:val="auto"/>
        </w:rPr>
      </w:pPr>
    </w:p>
    <w:p>
      <w:pPr>
        <w:ind w:right="220" w:firstLine="480"/>
        <w:spacing w:after="0" w:line="282" w:lineRule="auto"/>
        <w:rPr>
          <w:sz w:val="20"/>
          <w:szCs w:val="20"/>
          <w:color w:val="auto"/>
        </w:rPr>
      </w:pPr>
      <w:r>
        <w:rPr>
          <w:rFonts w:ascii="Arial" w:cs="Arial" w:eastAsia="Arial" w:hAnsi="Arial"/>
          <w:sz w:val="16"/>
          <w:szCs w:val="16"/>
          <w:color w:val="auto"/>
        </w:rPr>
        <w:t>On November 5, 2020, the Company announced the initiation of several strategic actions to further optimize the Company’s operations and increase overall efficiency (the 2020 Restructuring Initiative). These actions are expected to generate significant cost savings that will be reinvested, among other things, to support the Company’s key strategic priority to expand and enhance its product portfolio. These actions include the following:</w:t>
      </w:r>
    </w:p>
    <w:p>
      <w:pPr>
        <w:spacing w:after="0" w:line="2" w:lineRule="exact"/>
        <w:rPr>
          <w:sz w:val="20"/>
          <w:szCs w:val="20"/>
          <w:color w:val="auto"/>
        </w:rPr>
      </w:pPr>
    </w:p>
    <w:p>
      <w:pPr>
        <w:ind w:left="880" w:right="160" w:hanging="234"/>
        <w:spacing w:after="0" w:line="278" w:lineRule="auto"/>
        <w:tabs>
          <w:tab w:leader="none" w:pos="875"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Optimizing the Company’s generic retail business cost structure by exiting manufacturing sites in Irvine, California and Chestnut Ridge, New York, as well as active pharmaceutical ingredient manufacturing and bioequivalence study sites in India. The sites will be exited in a phased approach that is expected to be completed in the second half of 2022. Certain products currently manufactured at the Irvine and Chestnut Ridge sites are expected to be transferred to other internal and external sites within the Company’s manufacturing network.</w:t>
      </w:r>
    </w:p>
    <w:p>
      <w:pPr>
        <w:ind w:left="880" w:right="300" w:hanging="234"/>
        <w:spacing w:after="0" w:line="247" w:lineRule="auto"/>
        <w:tabs>
          <w:tab w:leader="none" w:pos="8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operating flexibility and reducing general and administrative costs by transferring certain transaction processing activities to third-party global business process service providers.</w:t>
      </w:r>
    </w:p>
    <w:p>
      <w:pPr>
        <w:ind w:left="880" w:right="260" w:hanging="234"/>
        <w:spacing w:after="0" w:line="254" w:lineRule="auto"/>
        <w:tabs>
          <w:tab w:leader="none" w:pos="8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84" w:lineRule="exact"/>
        <w:rPr>
          <w:sz w:val="20"/>
          <w:szCs w:val="20"/>
          <w:color w:val="auto"/>
        </w:rPr>
      </w:pPr>
    </w:p>
    <w:p>
      <w:pPr>
        <w:ind w:right="80" w:firstLine="480"/>
        <w:spacing w:after="0" w:line="273" w:lineRule="auto"/>
        <w:rPr>
          <w:sz w:val="20"/>
          <w:szCs w:val="20"/>
          <w:color w:val="auto"/>
        </w:rPr>
      </w:pPr>
      <w:r>
        <w:rPr>
          <w:rFonts w:ascii="Arial" w:cs="Arial" w:eastAsia="Arial" w:hAnsi="Arial"/>
          <w:sz w:val="17"/>
          <w:szCs w:val="17"/>
          <w:color w:val="auto"/>
        </w:rPr>
        <w:t>As a result of the 2020 Restructuring Initiative, the Company’s global workforce is expected to be reduced by approximately 525 net full-time positions. The Company expects to realize annualized pre-tax cash savings (without giving effect to the costs described below) of approximately $85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a result of the 2020 Restructuring Initiative, the Company expects to incur total pre-tax restructuring-related expenses of approximately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$163 million to $183 million, of which approximately $135 million to $150 million relates to the Generic Pharmaceuticals segment, with the remaining</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amounts relating to our other segments and certain corporate unallocated costs. These estimated restructuring charges consist of accelerated depreciation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charges of approximately $56 million to $66 million, asset impairment charges of approximately $7 million, employee separation, continuity and other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benefit-related costs of approximately $85 million to $90 million and certain other restructuring costs of approximately $15 million to $20 million. Cash</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outlays associated with the 2020 Restructuring Initiative are expected to be approximately $100 million and consist primarily of employee separation,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continuity and other benefit-related costs and certain other restructuring costs. The Company anticipates these actions will be substantially completed by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end of 2022, with substantially all cash payments made by then.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64" w:lineRule="auto"/>
        <w:rPr>
          <w:sz w:val="20"/>
          <w:szCs w:val="20"/>
          <w:color w:val="auto"/>
        </w:rPr>
      </w:pPr>
      <w:r>
        <w:rPr>
          <w:rFonts w:ascii="Arial" w:cs="Arial" w:eastAsia="Arial" w:hAnsi="Arial"/>
          <w:sz w:val="18"/>
          <w:szCs w:val="18"/>
          <w:color w:val="auto"/>
        </w:rPr>
        <w:t>As a result of the 2020 Restructuring Initiative, the Company incurred the following pre-tax net charges during the three months ended March 31, 2021 (in thousands):</w:t>
      </w:r>
    </w:p>
    <w:tbl>
      <w:tblPr>
        <w:tblLayout w:type="fixed"/>
        <w:tblInd w:w="0" w:type="dxa"/>
        <w:tblCellMar>
          <w:top w:w="0" w:type="dxa"/>
          <w:left w:w="0" w:type="dxa"/>
          <w:bottom w:w="0" w:type="dxa"/>
          <w:right w:w="0" w:type="dxa"/>
        </w:tblCellMar>
      </w:tblPr>
      <w:tr>
        <w:trPr>
          <w:trHeight w:val="143"/>
        </w:trPr>
        <w:tc>
          <w:tcPr>
            <w:tcW w:w="9880" w:type="dxa"/>
            <w:vAlign w:val="bottom"/>
          </w:tcPr>
          <w:p>
            <w:pPr>
              <w:spacing w:after="0"/>
              <w:rPr>
                <w:sz w:val="12"/>
                <w:szCs w:val="12"/>
                <w:color w:val="auto"/>
              </w:rPr>
            </w:pPr>
          </w:p>
        </w:tc>
        <w:tc>
          <w:tcPr>
            <w:tcW w:w="13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9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March 31, 2021</w:t>
            </w:r>
          </w:p>
        </w:tc>
      </w:tr>
      <w:tr>
        <w:trPr>
          <w:trHeight w:val="221"/>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depreciation charges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r>
      <w:tr>
        <w:trPr>
          <w:trHeight w:val="226"/>
        </w:trPr>
        <w:tc>
          <w:tcPr>
            <w:tcW w:w="9880" w:type="dxa"/>
            <w:vAlign w:val="bottom"/>
          </w:tcPr>
          <w:p>
            <w:pPr>
              <w:ind w:left="20"/>
              <w:spacing w:after="0"/>
              <w:rPr>
                <w:sz w:val="20"/>
                <w:szCs w:val="20"/>
                <w:color w:val="auto"/>
              </w:rPr>
            </w:pPr>
            <w:r>
              <w:rPr>
                <w:rFonts w:ascii="Arial" w:cs="Arial" w:eastAsia="Arial" w:hAnsi="Arial"/>
                <w:sz w:val="18"/>
                <w:szCs w:val="18"/>
                <w:color w:val="auto"/>
              </w:rPr>
              <w:t>Charges to increase excess inventory reserves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5,049</w:t>
            </w:r>
          </w:p>
        </w:tc>
      </w:tr>
      <w:tr>
        <w:trPr>
          <w:trHeight w:val="227"/>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separation, continuity and other benefit-related costs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r>
      <w:tr>
        <w:trPr>
          <w:trHeight w:val="226"/>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other restructuring costs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46"/>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80"/>
        <w:spacing w:after="0" w:line="330" w:lineRule="auto"/>
        <w:rPr>
          <w:sz w:val="20"/>
          <w:szCs w:val="20"/>
          <w:color w:val="auto"/>
        </w:rPr>
      </w:pPr>
      <w:r>
        <w:rPr>
          <w:rFonts w:ascii="Arial" w:cs="Arial" w:eastAsia="Arial" w:hAnsi="Arial"/>
          <w:sz w:val="16"/>
          <w:szCs w:val="16"/>
          <w:color w:val="auto"/>
        </w:rPr>
        <w:t>During the three months ended March 31, 2021, these pre-tax net charges were primarily attributable to our Generic Pharmaceuticals segment, which incurred $14.9 million of these pre-tax net charges. The remaining amounts related to our other segments and certain corporate unallocated costs.</w:t>
      </w:r>
    </w:p>
    <w:p>
      <w:pPr>
        <w:spacing w:after="0" w:line="27" w:lineRule="exact"/>
        <w:rPr>
          <w:sz w:val="20"/>
          <w:szCs w:val="20"/>
          <w:color w:val="auto"/>
        </w:rPr>
      </w:pPr>
    </w:p>
    <w:p>
      <w:pPr>
        <w:ind w:right="20" w:firstLine="480"/>
        <w:spacing w:after="0" w:line="270" w:lineRule="auto"/>
        <w:rPr>
          <w:sz w:val="20"/>
          <w:szCs w:val="20"/>
          <w:color w:val="auto"/>
        </w:rPr>
      </w:pPr>
      <w:r>
        <w:rPr>
          <w:rFonts w:ascii="Arial" w:cs="Arial" w:eastAsia="Arial" w:hAnsi="Arial"/>
          <w:sz w:val="17"/>
          <w:szCs w:val="17"/>
          <w:color w:val="auto"/>
        </w:rPr>
        <w:t>As of March 31, 2021, cumulative amounts incurred to date include accelerated depreciation charges of approximately $29.4 million, asset impairment charges related to identifiable intangible assets and certain operating lease assets of approximately $7.4 million, charges to increase excess inventory reserves of approximately $8.1 million, employee separation, continuity and other benefit-related costs of approximately $66.6 million and certain other restructuring costs of approximately $1.5 million. Of these amounts, approximately $93.8 million were attributable to the Generic Pharmaceuticals segment, with the remaining amounts relating to our other segments and certain corporate unallocated costs.</w:t>
      </w:r>
    </w:p>
    <w:p>
      <w:pPr>
        <w:spacing w:after="0" w:line="73" w:lineRule="exact"/>
        <w:rPr>
          <w:sz w:val="20"/>
          <w:szCs w:val="20"/>
          <w:color w:val="auto"/>
        </w:rPr>
      </w:pPr>
    </w:p>
    <w:p>
      <w:pPr>
        <w:ind w:right="280" w:firstLine="480"/>
        <w:spacing w:after="0" w:line="264" w:lineRule="auto"/>
        <w:rPr>
          <w:sz w:val="20"/>
          <w:szCs w:val="20"/>
          <w:color w:val="auto"/>
        </w:rPr>
      </w:pPr>
      <w:r>
        <w:rPr>
          <w:rFonts w:ascii="Arial" w:cs="Arial" w:eastAsia="Arial" w:hAnsi="Arial"/>
          <w:sz w:val="18"/>
          <w:szCs w:val="18"/>
          <w:color w:val="auto"/>
        </w:rPr>
        <w:t>During the three months ended March 31, 2021, the pre-tax net charges related to the 2020 Restructuring Initiative were included in our Condensed Consolidated Statements of Operations as follows (in thousands):</w:t>
      </w:r>
    </w:p>
    <w:tbl>
      <w:tblPr>
        <w:tblLayout w:type="fixed"/>
        <w:tblInd w:w="0" w:type="dxa"/>
        <w:tblCellMar>
          <w:top w:w="0" w:type="dxa"/>
          <w:left w:w="0" w:type="dxa"/>
          <w:bottom w:w="0" w:type="dxa"/>
          <w:right w:w="0" w:type="dxa"/>
        </w:tblCellMar>
      </w:tblPr>
      <w:tr>
        <w:trPr>
          <w:trHeight w:val="143"/>
        </w:trPr>
        <w:tc>
          <w:tcPr>
            <w:tcW w:w="9880" w:type="dxa"/>
            <w:vAlign w:val="bottom"/>
          </w:tcPr>
          <w:p>
            <w:pPr>
              <w:spacing w:after="0"/>
              <w:rPr>
                <w:sz w:val="12"/>
                <w:szCs w:val="12"/>
                <w:color w:val="auto"/>
              </w:rPr>
            </w:pPr>
          </w:p>
        </w:tc>
        <w:tc>
          <w:tcPr>
            <w:tcW w:w="13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9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March 31, 2021</w:t>
            </w:r>
          </w:p>
        </w:tc>
      </w:tr>
      <w:tr>
        <w:trPr>
          <w:trHeight w:val="221"/>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r>
      <w:tr>
        <w:trPr>
          <w:trHeight w:val="226"/>
        </w:trPr>
        <w:tc>
          <w:tcPr>
            <w:tcW w:w="98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27"/>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21"/>
        </w:trPr>
        <w:tc>
          <w:tcPr>
            <w:tcW w:w="988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19,424</w:t>
            </w:r>
          </w:p>
        </w:tc>
      </w:tr>
      <w:tr>
        <w:trPr>
          <w:trHeight w:val="20"/>
        </w:trPr>
        <w:tc>
          <w:tcPr>
            <w:tcW w:w="9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Changes to the liability for the 2020 Restructuring Initiative during the three months ended March 31, 2021 were as follows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Separation,</w:t>
            </w:r>
          </w:p>
        </w:tc>
        <w:tc>
          <w:tcPr>
            <w:tcW w:w="18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Certain Other</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960" w:type="dxa"/>
            <w:vAlign w:val="bottom"/>
          </w:tcPr>
          <w:p>
            <w:pPr>
              <w:spacing w:after="0"/>
              <w:rPr>
                <w:sz w:val="11"/>
                <w:szCs w:val="11"/>
                <w:color w:val="auto"/>
              </w:rPr>
            </w:pPr>
          </w:p>
        </w:tc>
        <w:tc>
          <w:tcPr>
            <w:tcW w:w="14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Continuity and Other</w:t>
            </w: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Benefit-Related Costs</w:t>
            </w: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2020</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59,002</w:t>
            </w:r>
          </w:p>
        </w:tc>
        <w:tc>
          <w:tcPr>
            <w:tcW w:w="0" w:type="dxa"/>
            <w:vAlign w:val="bottom"/>
          </w:tcPr>
          <w:p>
            <w:pPr>
              <w:spacing w:after="0"/>
              <w:rPr>
                <w:sz w:val="1"/>
                <w:szCs w:val="1"/>
                <w:color w:val="auto"/>
              </w:rPr>
            </w:pPr>
          </w:p>
        </w:tc>
      </w:tr>
      <w:tr>
        <w:trPr>
          <w:trHeight w:val="226"/>
        </w:trPr>
        <w:tc>
          <w:tcPr>
            <w:tcW w:w="6960" w:type="dxa"/>
            <w:vAlign w:val="bottom"/>
          </w:tcPr>
          <w:p>
            <w:pPr>
              <w:ind w:left="20"/>
              <w:spacing w:after="0"/>
              <w:rPr>
                <w:sz w:val="20"/>
                <w:szCs w:val="20"/>
                <w:color w:val="auto"/>
              </w:rPr>
            </w:pPr>
            <w:r>
              <w:rPr>
                <w:rFonts w:ascii="Arial" w:cs="Arial" w:eastAsia="Arial" w:hAnsi="Arial"/>
                <w:sz w:val="18"/>
                <w:szCs w:val="18"/>
                <w:color w:val="auto"/>
              </w:rPr>
              <w:t>Net charges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21"/>
        </w:trPr>
        <w:tc>
          <w:tcPr>
            <w:tcW w:w="6960" w:type="dxa"/>
            <w:vAlign w:val="bottom"/>
          </w:tcPr>
          <w:p>
            <w:pPr>
              <w:ind w:left="20"/>
              <w:spacing w:after="0"/>
              <w:rPr>
                <w:sz w:val="20"/>
                <w:szCs w:val="20"/>
                <w:color w:val="auto"/>
              </w:rPr>
            </w:pPr>
            <w:r>
              <w:rPr>
                <w:rFonts w:ascii="Arial" w:cs="Arial" w:eastAsia="Arial" w:hAnsi="Arial"/>
                <w:sz w:val="18"/>
                <w:szCs w:val="18"/>
                <w:color w:val="auto"/>
              </w:rPr>
              <w:t>Liability balance as of March 31, 2021</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80"/>
        <w:spacing w:after="0" w:line="267" w:lineRule="auto"/>
        <w:rPr>
          <w:sz w:val="20"/>
          <w:szCs w:val="20"/>
          <w:color w:val="auto"/>
        </w:rPr>
      </w:pPr>
      <w:r>
        <w:rPr>
          <w:rFonts w:ascii="Arial" w:cs="Arial" w:eastAsia="Arial" w:hAnsi="Arial"/>
          <w:sz w:val="18"/>
          <w:szCs w:val="18"/>
          <w:color w:val="auto"/>
        </w:rPr>
        <w:t>Of the liability at March 31, 2021, $41.9 million is classified as current and is included in Accounts payable and accrued expenses in the Condensed Consolidated Balance Sheets, with the remaining amount classified as noncurrent and included in Other liabilities.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RESULTS</w:t>
      </w:r>
    </w:p>
    <w:p>
      <w:pPr>
        <w:spacing w:after="0" w:line="119"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40" w:firstLine="480"/>
        <w:spacing w:after="0" w:line="267" w:lineRule="auto"/>
        <w:rPr>
          <w:sz w:val="20"/>
          <w:szCs w:val="20"/>
          <w:color w:val="auto"/>
        </w:rPr>
      </w:pPr>
      <w:r>
        <w:rPr>
          <w:rFonts w:ascii="Arial" w:cs="Arial" w:eastAsia="Arial" w:hAnsi="Arial"/>
          <w:sz w:val="17"/>
          <w:szCs w:val="17"/>
          <w:color w:val="auto"/>
        </w:rPr>
        <w:t>We evaluate segment performance based on Segment adjusted income from continuing operations before income tax, which we define as Income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w:t>
      </w:r>
    </w:p>
    <w:p>
      <w:pPr>
        <w:spacing w:after="0" w:line="77"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Pharmaceuticals</w:t>
      </w:r>
    </w:p>
    <w:p>
      <w:pPr>
        <w:spacing w:after="0" w:line="119" w:lineRule="exact"/>
        <w:rPr>
          <w:sz w:val="20"/>
          <w:szCs w:val="20"/>
          <w:color w:val="auto"/>
        </w:rPr>
      </w:pPr>
    </w:p>
    <w:p>
      <w:pPr>
        <w:jc w:val="both"/>
        <w:ind w:right="340" w:firstLine="480"/>
        <w:spacing w:after="0" w:line="234" w:lineRule="auto"/>
        <w:rPr>
          <w:sz w:val="20"/>
          <w:szCs w:val="20"/>
          <w:color w:val="auto"/>
        </w:rPr>
      </w:pPr>
      <w:r>
        <w:rPr>
          <w:rFonts w:ascii="Arial" w:cs="Arial" w:eastAsia="Arial" w:hAnsi="Arial"/>
          <w:sz w:val="18"/>
          <w:szCs w:val="18"/>
          <w:color w:val="auto"/>
        </w:rPr>
        <w:t>Our Branded Pharmaceuticals segment includes a variety of branded products to treat and manage conditions in the areas of urology, orthopedics, endocrinology and bariatrics, among others. The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3"/>
          <w:szCs w:val="23"/>
          <w:color w:val="auto"/>
          <w:vertAlign w:val="superscript"/>
        </w:rPr>
        <w:t>®</w:t>
      </w:r>
      <w:r>
        <w:rPr>
          <w:rFonts w:ascii="Arial" w:cs="Arial" w:eastAsia="Arial" w:hAnsi="Arial"/>
          <w:sz w:val="18"/>
          <w:szCs w:val="18"/>
          <w:color w:val="auto"/>
        </w:rPr>
        <w:t>,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EDEX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LIDODERM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among others.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Sterile Injectables</w:t>
      </w:r>
    </w:p>
    <w:p>
      <w:pPr>
        <w:spacing w:after="0" w:line="112" w:lineRule="exact"/>
        <w:rPr>
          <w:sz w:val="20"/>
          <w:szCs w:val="20"/>
          <w:color w:val="auto"/>
        </w:rPr>
      </w:pPr>
    </w:p>
    <w:p>
      <w:pPr>
        <w:jc w:val="both"/>
        <w:ind w:right="340" w:firstLine="480"/>
        <w:spacing w:after="0" w:line="220"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3"/>
          <w:szCs w:val="23"/>
          <w:color w:val="auto"/>
          <w:vertAlign w:val="superscript"/>
        </w:rPr>
        <w:t>®</w:t>
      </w:r>
      <w:r>
        <w:rPr>
          <w:rFonts w:ascii="Arial" w:cs="Arial" w:eastAsia="Arial" w:hAnsi="Arial"/>
          <w:sz w:val="18"/>
          <w:szCs w:val="18"/>
          <w:color w:val="auto"/>
        </w:rPr>
        <w:t>,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 Sharp &amp; Dohme Corp.’s (Merck) Invanz</w:t>
      </w:r>
      <w:r>
        <w:rPr>
          <w:rFonts w:ascii="Arial" w:cs="Arial" w:eastAsia="Arial" w:hAnsi="Arial"/>
          <w:sz w:val="23"/>
          <w:szCs w:val="23"/>
          <w:color w:val="auto"/>
          <w:vertAlign w:val="superscript"/>
        </w:rPr>
        <w:t>®</w:t>
      </w:r>
      <w:r>
        <w:rPr>
          <w:rFonts w:ascii="Arial" w:cs="Arial" w:eastAsia="Arial" w:hAnsi="Arial"/>
          <w:sz w:val="18"/>
          <w:szCs w:val="18"/>
          <w:color w:val="auto"/>
        </w:rPr>
        <w:t>) and ephedrine sulfate injection, among others.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19" w:lineRule="exact"/>
        <w:rPr>
          <w:sz w:val="20"/>
          <w:szCs w:val="20"/>
          <w:color w:val="auto"/>
        </w:rPr>
      </w:pPr>
    </w:p>
    <w:p>
      <w:pPr>
        <w:jc w:val="both"/>
        <w:ind w:right="40" w:firstLine="480"/>
        <w:spacing w:after="0" w:line="297" w:lineRule="auto"/>
        <w:rPr>
          <w:sz w:val="20"/>
          <w:szCs w:val="20"/>
          <w:color w:val="auto"/>
        </w:rPr>
      </w:pPr>
      <w:r>
        <w:rPr>
          <w:rFonts w:ascii="Arial" w:cs="Arial" w:eastAsia="Arial" w:hAnsi="Arial"/>
          <w:sz w:val="17"/>
          <w:szCs w:val="17"/>
          <w:color w:val="auto"/>
        </w:rPr>
        <w:t>Our Generic Pharmaceuticals segment consists of a product portfolio including solid oral extended-release, solid oral immediate-release, liquids, semi-solids, patches, powders, ophthalmics and sprays and includes products that treat and manage a wide of medical conditions.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Pharmaceuticals</w:t>
      </w:r>
    </w:p>
    <w:p>
      <w:pPr>
        <w:spacing w:after="0" w:line="119" w:lineRule="exact"/>
        <w:rPr>
          <w:sz w:val="20"/>
          <w:szCs w:val="20"/>
          <w:color w:val="auto"/>
        </w:rPr>
      </w:pPr>
    </w:p>
    <w:p>
      <w:pPr>
        <w:jc w:val="both"/>
        <w:ind w:right="20" w:firstLine="480"/>
        <w:spacing w:after="0" w:line="257"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pacing w:after="0" w:line="81" w:lineRule="exact"/>
        <w:rPr>
          <w:sz w:val="20"/>
          <w:szCs w:val="20"/>
          <w:color w:val="auto"/>
        </w:rPr>
      </w:pPr>
    </w:p>
    <w:p>
      <w:pPr>
        <w:ind w:right="580" w:firstLine="480"/>
        <w:spacing w:after="0" w:line="267" w:lineRule="auto"/>
        <w:rPr>
          <w:sz w:val="20"/>
          <w:szCs w:val="20"/>
          <w:color w:val="auto"/>
        </w:rPr>
      </w:pPr>
      <w:r>
        <w:rPr>
          <w:rFonts w:ascii="Arial" w:cs="Arial" w:eastAsia="Arial" w:hAnsi="Arial"/>
          <w:sz w:val="18"/>
          <w:szCs w:val="18"/>
          <w:color w:val="auto"/>
        </w:rPr>
        <w:t>The following represents selected information for the Company’s reportable segments for the three months ended March 31, 2021 and 2020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206,635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204,073</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336,390</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251,283</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 (1)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w:t>
            </w:r>
          </w:p>
        </w:tc>
      </w:tr>
      <w:tr>
        <w:trPr>
          <w:trHeight w:val="221"/>
        </w:trPr>
        <w:tc>
          <w:tcPr>
            <w:tcW w:w="842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820,405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3"/>
        </w:trPr>
        <w:tc>
          <w:tcPr>
            <w:tcW w:w="84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Segment adjusted income from continuing operations before income tax:</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93,769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98,422</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263,896</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57,327</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14,197</w:t>
            </w:r>
          </w:p>
        </w:tc>
      </w:tr>
      <w:tr>
        <w:trPr>
          <w:trHeight w:val="221"/>
        </w:trPr>
        <w:tc>
          <w:tcPr>
            <w:tcW w:w="8420" w:type="dxa"/>
            <w:vAlign w:val="bottom"/>
          </w:tcPr>
          <w:p>
            <w:pPr>
              <w:ind w:left="2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433,842</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560" w:hanging="313"/>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20" w:firstLine="480"/>
        <w:spacing w:after="0" w:line="257" w:lineRule="auto"/>
        <w:rPr>
          <w:sz w:val="20"/>
          <w:szCs w:val="20"/>
          <w:color w:val="auto"/>
        </w:rPr>
      </w:pPr>
      <w:r>
        <w:rPr>
          <w:rFonts w:ascii="Arial" w:cs="Arial" w:eastAsia="Arial" w:hAnsi="Arial"/>
          <w:sz w:val="18"/>
          <w:szCs w:val="18"/>
          <w:color w:val="auto"/>
        </w:rPr>
        <w:t>The table below provides reconciliations of our Total consolidated income from continuing operations before income tax, which is determined in accordance with U.S. GAAP, to our Total segment adjusted income from continuing operations before income tax for the three months ended March 31, 2021 and 2020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consolidated income from continuing operations before income tax</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w:t>
            </w:r>
          </w:p>
        </w:tc>
      </w:tr>
      <w:tr>
        <w:trPr>
          <w:trHeight w:val="226"/>
        </w:trPr>
        <w:tc>
          <w:tcPr>
            <w:tcW w:w="84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132,877</w:t>
            </w:r>
          </w:p>
        </w:tc>
      </w:tr>
      <w:tr>
        <w:trPr>
          <w:trHeight w:val="227"/>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unallocated costs (1)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43,322</w:t>
            </w:r>
          </w:p>
        </w:tc>
      </w:tr>
      <w:tr>
        <w:trPr>
          <w:trHeight w:val="226"/>
        </w:trPr>
        <w:tc>
          <w:tcPr>
            <w:tcW w:w="84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117,237</w:t>
            </w:r>
          </w:p>
        </w:tc>
      </w:tr>
      <w:tr>
        <w:trPr>
          <w:trHeight w:val="227"/>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Upfront and milestone payments to partners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6"/>
        </w:trPr>
        <w:tc>
          <w:tcPr>
            <w:tcW w:w="8420" w:type="dxa"/>
            <w:vAlign w:val="bottom"/>
          </w:tcPr>
          <w:p>
            <w:pPr>
              <w:ind w:left="40"/>
              <w:spacing w:after="0"/>
              <w:rPr>
                <w:sz w:val="20"/>
                <w:szCs w:val="20"/>
                <w:color w:val="auto"/>
              </w:rPr>
            </w:pPr>
            <w:r>
              <w:rPr>
                <w:rFonts w:ascii="Arial" w:cs="Arial" w:eastAsia="Arial" w:hAnsi="Arial"/>
                <w:sz w:val="18"/>
                <w:szCs w:val="18"/>
                <w:color w:val="auto"/>
              </w:rPr>
              <w:t>Continuity and separation benefits and other cost reduction initiatives (2)</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23,220</w:t>
            </w:r>
          </w:p>
        </w:tc>
      </w:tr>
      <w:tr>
        <w:trPr>
          <w:trHeight w:val="227"/>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litigation-related and other contingencies, net (3)</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w:t>
            </w:r>
          </w:p>
        </w:tc>
      </w:tr>
      <w:tr>
        <w:trPr>
          <w:trHeight w:val="226"/>
        </w:trPr>
        <w:tc>
          <w:tcPr>
            <w:tcW w:w="8420" w:type="dxa"/>
            <w:vAlign w:val="bottom"/>
          </w:tcPr>
          <w:p>
            <w:pPr>
              <w:ind w:left="40"/>
              <w:spacing w:after="0"/>
              <w:rPr>
                <w:sz w:val="20"/>
                <w:szCs w:val="20"/>
                <w:color w:val="auto"/>
              </w:rPr>
            </w:pPr>
            <w:r>
              <w:rPr>
                <w:rFonts w:ascii="Arial" w:cs="Arial" w:eastAsia="Arial" w:hAnsi="Arial"/>
                <w:sz w:val="18"/>
                <w:szCs w:val="18"/>
                <w:color w:val="auto"/>
              </w:rPr>
              <w:t>Certain legal costs (4)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15,536</w:t>
            </w:r>
          </w:p>
        </w:tc>
      </w:tr>
      <w:tr>
        <w:trPr>
          <w:trHeight w:val="227"/>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charges (5)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97,785</w:t>
            </w:r>
          </w:p>
        </w:tc>
      </w:tr>
      <w:tr>
        <w:trPr>
          <w:trHeight w:val="226"/>
        </w:trPr>
        <w:tc>
          <w:tcPr>
            <w:tcW w:w="8420" w:type="dxa"/>
            <w:vAlign w:val="bottom"/>
          </w:tcPr>
          <w:p>
            <w:pPr>
              <w:ind w:left="40"/>
              <w:spacing w:after="0"/>
              <w:rPr>
                <w:sz w:val="20"/>
                <w:szCs w:val="20"/>
                <w:color w:val="auto"/>
              </w:rPr>
            </w:pPr>
            <w:r>
              <w:rPr>
                <w:rFonts w:ascii="Arial" w:cs="Arial" w:eastAsia="Arial" w:hAnsi="Arial"/>
                <w:sz w:val="18"/>
                <w:szCs w:val="18"/>
                <w:color w:val="auto"/>
              </w:rPr>
              <w:t>Acquisition-related and integration items, net (6)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12,462</w:t>
            </w:r>
          </w:p>
        </w:tc>
      </w:tr>
      <w:tr>
        <w:trPr>
          <w:trHeight w:val="227"/>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20" w:type="dxa"/>
            <w:vAlign w:val="bottom"/>
          </w:tcPr>
          <w:p>
            <w:pPr>
              <w:ind w:left="40"/>
              <w:spacing w:after="0"/>
              <w:rPr>
                <w:sz w:val="20"/>
                <w:szCs w:val="20"/>
                <w:color w:val="auto"/>
              </w:rPr>
            </w:pPr>
            <w:r>
              <w:rPr>
                <w:rFonts w:ascii="Arial" w:cs="Arial" w:eastAsia="Arial" w:hAnsi="Arial"/>
                <w:sz w:val="18"/>
                <w:szCs w:val="18"/>
                <w:color w:val="auto"/>
              </w:rPr>
              <w:t>Foreign currency impact related to the remeasurement of intercompany debt instruments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(7,094)</w:t>
            </w:r>
          </w:p>
        </w:tc>
      </w:tr>
      <w:tr>
        <w:trPr>
          <w:trHeight w:val="227"/>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 (7)</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w:t>
            </w:r>
          </w:p>
        </w:tc>
      </w:tr>
      <w:tr>
        <w:trPr>
          <w:trHeight w:val="221"/>
        </w:trPr>
        <w:tc>
          <w:tcPr>
            <w:tcW w:w="8420" w:type="dxa"/>
            <w:vAlign w:val="bottom"/>
          </w:tcPr>
          <w:p>
            <w:pPr>
              <w:ind w:left="1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433,842</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0" w:lineRule="exact"/>
        <w:rPr>
          <w:sz w:val="20"/>
          <w:szCs w:val="20"/>
          <w:color w:val="auto"/>
        </w:rPr>
      </w:pPr>
    </w:p>
    <w:p>
      <w:pPr>
        <w:ind w:left="560" w:hanging="313"/>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ind w:left="560" w:right="100" w:hanging="313"/>
        <w:spacing w:after="0" w:line="256" w:lineRule="auto"/>
        <w:tabs>
          <w:tab w:leader="none" w:pos="552" w:val="left"/>
        </w:tabs>
        <w:numPr>
          <w:ilvl w:val="0"/>
          <w:numId w:val="5"/>
        </w:numPr>
        <w:rPr>
          <w:rFonts w:ascii="Arial" w:cs="Arial" w:eastAsia="Arial" w:hAnsi="Arial"/>
          <w:sz w:val="13"/>
          <w:szCs w:val="13"/>
          <w:color w:val="auto"/>
        </w:rPr>
      </w:pPr>
      <w:r>
        <w:rPr>
          <w:rFonts w:ascii="Arial" w:cs="Arial" w:eastAsia="Arial" w:hAnsi="Arial"/>
          <w:sz w:val="13"/>
          <w:szCs w:val="13"/>
          <w:color w:val="auto"/>
        </w:rPr>
        <w:t>Amounts for the three months ended March 31, 2021 include employee separation, continuity and other benefit-related costs of $8.5 million, accelerated depreciation charges of $6.9 million and miscellaneous charges of $8.3 million. Amounts for the three months ended March 31, 2020 include employee separation, continuity and other benefit-related costs of $13.8 million, accelerated depreciation charges of $6.6 million and miscellaneous charges of $2.8 million. These costs relate primarily to our restructuring activities as further described in Note 4. Restructuring, certain continuity and transitional compensation arrangements for certain senior management of the Company and certain other cost reduction initiatives.</w:t>
      </w:r>
    </w:p>
    <w:p>
      <w:pPr>
        <w:spacing w:after="0" w:line="1" w:lineRule="exact"/>
        <w:rPr>
          <w:rFonts w:ascii="Arial" w:cs="Arial" w:eastAsia="Arial" w:hAnsi="Arial"/>
          <w:sz w:val="13"/>
          <w:szCs w:val="13"/>
          <w:color w:val="auto"/>
        </w:rPr>
      </w:pPr>
    </w:p>
    <w:p>
      <w:pPr>
        <w:ind w:left="560" w:right="660" w:hanging="313"/>
        <w:spacing w:after="0" w:line="238" w:lineRule="auto"/>
        <w:tabs>
          <w:tab w:leader="none" w:pos="552"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13. Commitments and Contingencies.</w:t>
      </w:r>
    </w:p>
    <w:p>
      <w:pPr>
        <w:ind w:left="560" w:hanging="313"/>
        <w:spacing w:after="0" w:line="238" w:lineRule="auto"/>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ind w:left="560" w:hanging="313"/>
        <w:spacing w:after="0" w:line="238" w:lineRule="auto"/>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w:t>
      </w:r>
    </w:p>
    <w:p>
      <w:pPr>
        <w:ind w:left="560" w:hanging="313"/>
        <w:spacing w:after="0" w:line="238" w:lineRule="auto"/>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ind w:left="560" w:right="80" w:hanging="313"/>
        <w:spacing w:after="0" w:line="287" w:lineRule="auto"/>
        <w:tabs>
          <w:tab w:leader="none" w:pos="552" w:val="left"/>
        </w:tabs>
        <w:numPr>
          <w:ilvl w:val="0"/>
          <w:numId w:val="5"/>
        </w:numPr>
        <w:rPr>
          <w:rFonts w:ascii="Arial" w:cs="Arial" w:eastAsia="Arial" w:hAnsi="Arial"/>
          <w:sz w:val="13"/>
          <w:szCs w:val="13"/>
          <w:color w:val="auto"/>
        </w:rPr>
      </w:pPr>
      <w:r>
        <w:rPr>
          <w:rFonts w:ascii="Arial" w:cs="Arial" w:eastAsia="Arial" w:hAnsi="Arial"/>
          <w:sz w:val="13"/>
          <w:szCs w:val="13"/>
          <w:color w:val="auto"/>
        </w:rPr>
        <w:t>Amounts for the three months ended March 31, 2021 primarily relate to $3.9 million of third party fees incurred in connection with the March 2021 Refinancing Transactions, which were accounted for as debt modification costs. Refer to Note 12. Debt for additional information. Other amounts in this row primarily relate to gains on sales of businesses and other assets.</w:t>
      </w:r>
    </w:p>
    <w:p>
      <w:pPr>
        <w:spacing w:after="0" w:line="63" w:lineRule="exact"/>
        <w:rPr>
          <w:sz w:val="20"/>
          <w:szCs w:val="20"/>
          <w:color w:val="auto"/>
        </w:rPr>
      </w:pPr>
    </w:p>
    <w:p>
      <w:pPr>
        <w:ind w:right="120" w:firstLine="480"/>
        <w:spacing w:after="0" w:line="26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180" w:firstLine="480"/>
        <w:spacing w:after="0" w:line="257" w:lineRule="auto"/>
        <w:rPr>
          <w:sz w:val="20"/>
          <w:szCs w:val="20"/>
          <w:color w:val="auto"/>
        </w:rPr>
      </w:pPr>
      <w:r>
        <w:rPr>
          <w:rFonts w:ascii="Arial" w:cs="Arial" w:eastAsia="Arial" w:hAnsi="Arial"/>
          <w:sz w:val="18"/>
          <w:szCs w:val="18"/>
          <w:color w:val="auto"/>
        </w:rPr>
        <w:t>During the three months ended March 31, 2021 and 2020,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i w:val="1"/>
                <w:iCs w:val="1"/>
                <w:color w:val="auto"/>
              </w:rPr>
              <w:t>Specialty Products: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240"/>
              <w:spacing w:after="0" w:line="228"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89,072</w:t>
            </w:r>
          </w:p>
        </w:tc>
      </w:tr>
      <w:tr>
        <w:trPr>
          <w:trHeight w:val="227"/>
        </w:trPr>
        <w:tc>
          <w:tcPr>
            <w:tcW w:w="8420" w:type="dxa"/>
            <w:vAlign w:val="bottom"/>
          </w:tcPr>
          <w:p>
            <w:pPr>
              <w:ind w:left="240"/>
              <w:spacing w:after="0" w:line="226"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19,720</w:t>
            </w:r>
          </w:p>
        </w:tc>
      </w:tr>
      <w:tr>
        <w:trPr>
          <w:trHeight w:val="227"/>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Specialty (1)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25,505</w:t>
            </w:r>
          </w:p>
        </w:tc>
      </w:tr>
      <w:tr>
        <w:trPr>
          <w:trHeight w:val="219"/>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Specialty Products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134,297</w:t>
            </w:r>
          </w:p>
        </w:tc>
      </w:tr>
      <w:tr>
        <w:trPr>
          <w:trHeight w:val="207"/>
        </w:trPr>
        <w:tc>
          <w:tcPr>
            <w:tcW w:w="84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i w:val="1"/>
                <w:iCs w:val="1"/>
                <w:color w:val="auto"/>
              </w:rPr>
              <w:t>Established Products: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420" w:type="dxa"/>
            <w:vAlign w:val="bottom"/>
          </w:tcPr>
          <w:p>
            <w:pPr>
              <w:ind w:left="240"/>
              <w:spacing w:after="0" w:line="226"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25,625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27,703</w:t>
            </w:r>
          </w:p>
        </w:tc>
      </w:tr>
      <w:tr>
        <w:trPr>
          <w:trHeight w:val="227"/>
        </w:trPr>
        <w:tc>
          <w:tcPr>
            <w:tcW w:w="842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r>
      <w:tr>
        <w:trPr>
          <w:trHeight w:val="226"/>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Established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33,881</w:t>
            </w:r>
          </w:p>
        </w:tc>
      </w:tr>
      <w:tr>
        <w:trPr>
          <w:trHeight w:val="221"/>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Established Products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69,776</w:t>
            </w:r>
          </w:p>
        </w:tc>
      </w:tr>
      <w:tr>
        <w:trPr>
          <w:trHeight w:val="21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Branded Pharmaceuticals (3)</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204,073</w:t>
            </w:r>
          </w:p>
        </w:tc>
      </w:tr>
      <w:tr>
        <w:trPr>
          <w:trHeight w:val="207"/>
        </w:trPr>
        <w:tc>
          <w:tcPr>
            <w:tcW w:w="84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i w:val="1"/>
                <w:iCs w:val="1"/>
                <w:color w:val="auto"/>
              </w:rPr>
              <w:t>Sterile Injectables: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420" w:type="dxa"/>
            <w:vAlign w:val="bottom"/>
          </w:tcPr>
          <w:p>
            <w:pPr>
              <w:ind w:left="240"/>
              <w:spacing w:after="0" w:line="226"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223,946</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202,904</w:t>
            </w:r>
          </w:p>
        </w:tc>
      </w:tr>
      <w:tr>
        <w:trPr>
          <w:trHeight w:val="227"/>
        </w:trPr>
        <w:tc>
          <w:tcPr>
            <w:tcW w:w="842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56,512</w:t>
            </w:r>
          </w:p>
        </w:tc>
      </w:tr>
      <w:tr>
        <w:trPr>
          <w:trHeight w:val="226"/>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Sterile Injectables (4)</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76,974</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Sterile Injectables (3)</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336,390</w:t>
            </w:r>
          </w:p>
        </w:tc>
      </w:tr>
      <w:tr>
        <w:trPr>
          <w:trHeight w:val="21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Generic Pharmaceuticals (5)</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251,283</w:t>
            </w:r>
          </w:p>
        </w:tc>
      </w:tr>
      <w:tr>
        <w:trPr>
          <w:trHeight w:val="22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International Pharmaceuticals (6)</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w:t>
            </w:r>
          </w:p>
        </w:tc>
      </w:tr>
      <w:tr>
        <w:trPr>
          <w:trHeight w:val="221"/>
        </w:trPr>
        <w:tc>
          <w:tcPr>
            <w:tcW w:w="842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820,405</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0" w:lineRule="exact"/>
        <w:rPr>
          <w:sz w:val="20"/>
          <w:szCs w:val="20"/>
          <w:color w:val="auto"/>
        </w:rPr>
      </w:pPr>
    </w:p>
    <w:p>
      <w:pPr>
        <w:ind w:left="560" w:hanging="313"/>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Specialty include NASCOBAL</w:t>
      </w:r>
      <w:r>
        <w:rPr>
          <w:rFonts w:ascii="Arial" w:cs="Arial" w:eastAsia="Arial" w:hAnsi="Arial"/>
          <w:sz w:val="9"/>
          <w:szCs w:val="9"/>
          <w:color w:val="auto"/>
        </w:rPr>
        <w:t>®</w:t>
      </w:r>
      <w:r>
        <w:rPr>
          <w:rFonts w:ascii="Arial" w:cs="Arial" w:eastAsia="Arial" w:hAnsi="Arial"/>
          <w:sz w:val="14"/>
          <w:szCs w:val="14"/>
          <w:color w:val="auto"/>
        </w:rPr>
        <w:t xml:space="preserve"> Nasal Spray and AVEED</w:t>
      </w:r>
      <w:r>
        <w:rPr>
          <w:rFonts w:ascii="Arial" w:cs="Arial" w:eastAsia="Arial" w:hAnsi="Arial"/>
          <w:sz w:val="9"/>
          <w:szCs w:val="9"/>
          <w:color w:val="auto"/>
        </w:rPr>
        <w:t>®</w:t>
      </w:r>
      <w:r>
        <w:rPr>
          <w:rFonts w:ascii="Arial" w:cs="Arial" w:eastAsia="Arial" w:hAnsi="Arial"/>
          <w:sz w:val="14"/>
          <w:szCs w:val="14"/>
          <w:color w:val="auto"/>
        </w:rPr>
        <w:t>.</w:t>
      </w:r>
    </w:p>
    <w:p>
      <w:pPr>
        <w:ind w:left="560" w:hanging="313"/>
        <w:spacing w:after="0" w:line="238"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 xml:space="preserve"> and LIDODERM</w:t>
      </w:r>
      <w:r>
        <w:rPr>
          <w:rFonts w:ascii="Arial" w:cs="Arial" w:eastAsia="Arial" w:hAnsi="Arial"/>
          <w:sz w:val="9"/>
          <w:szCs w:val="9"/>
          <w:color w:val="auto"/>
        </w:rPr>
        <w:t>®</w:t>
      </w:r>
      <w:r>
        <w:rPr>
          <w:rFonts w:ascii="Arial" w:cs="Arial" w:eastAsia="Arial" w:hAnsi="Arial"/>
          <w:sz w:val="14"/>
          <w:szCs w:val="14"/>
          <w:color w:val="auto"/>
        </w:rPr>
        <w:t>.</w:t>
      </w:r>
    </w:p>
    <w:p>
      <w:pPr>
        <w:ind w:left="560" w:right="40" w:hanging="313"/>
        <w:spacing w:after="0" w:line="238" w:lineRule="auto"/>
        <w:tabs>
          <w:tab w:leader="none" w:pos="55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three months ended March 31, 2021 and/or any product having revenues in excess of $25 million during any quarterly period in 2021 or 2020.</w:t>
      </w:r>
    </w:p>
    <w:p>
      <w:pPr>
        <w:ind w:left="560" w:hanging="313"/>
        <w:spacing w:after="0" w:line="238"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ertapenem for injection, APLISOL</w:t>
      </w:r>
      <w:r>
        <w:rPr>
          <w:rFonts w:ascii="Arial" w:cs="Arial" w:eastAsia="Arial" w:hAnsi="Arial"/>
          <w:sz w:val="9"/>
          <w:szCs w:val="9"/>
          <w:color w:val="auto"/>
        </w:rPr>
        <w:t>®</w:t>
      </w:r>
      <w:r>
        <w:rPr>
          <w:rFonts w:ascii="Arial" w:cs="Arial" w:eastAsia="Arial" w:hAnsi="Arial"/>
          <w:sz w:val="14"/>
          <w:szCs w:val="14"/>
          <w:color w:val="auto"/>
        </w:rPr>
        <w:t xml:space="preserve"> and others.</w:t>
      </w:r>
    </w:p>
    <w:p>
      <w:pPr>
        <w:ind w:left="560" w:right="200" w:hanging="313"/>
        <w:spacing w:after="0" w:line="238" w:lineRule="auto"/>
        <w:tabs>
          <w:tab w:leader="none" w:pos="55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No individual product within this segment has exceeded 5% of consolidated total revenues for the periods presented.</w:t>
      </w:r>
    </w:p>
    <w:p>
      <w:pPr>
        <w:ind w:left="560" w:right="840" w:hanging="313"/>
        <w:spacing w:after="0" w:line="249" w:lineRule="auto"/>
        <w:tabs>
          <w:tab w:leader="none" w:pos="55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29" w:lineRule="exact"/>
        <w:rPr>
          <w:sz w:val="20"/>
          <w:szCs w:val="20"/>
          <w:color w:val="auto"/>
        </w:rPr>
      </w:pPr>
    </w:p>
    <w:p>
      <w:pPr>
        <w:ind w:left="880" w:hanging="23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6" w:lineRule="exact"/>
        <w:rPr>
          <w:rFonts w:ascii="Arial" w:cs="Arial" w:eastAsia="Arial" w:hAnsi="Arial"/>
          <w:sz w:val="18"/>
          <w:szCs w:val="18"/>
          <w:color w:val="auto"/>
        </w:rPr>
      </w:pPr>
    </w:p>
    <w:p>
      <w:pPr>
        <w:ind w:left="880" w:hanging="234"/>
        <w:spacing w:after="0" w:line="247" w:lineRule="auto"/>
        <w:tabs>
          <w:tab w:leader="none" w:pos="87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ind w:left="880" w:hanging="23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19" w:lineRule="exact"/>
        <w:rPr>
          <w:sz w:val="20"/>
          <w:szCs w:val="20"/>
          <w:color w:val="auto"/>
        </w:rPr>
      </w:pPr>
    </w:p>
    <w:p>
      <w:pPr>
        <w:ind w:right="100" w:firstLine="480"/>
        <w:spacing w:after="0" w:line="288" w:lineRule="auto"/>
        <w:rPr>
          <w:sz w:val="20"/>
          <w:szCs w:val="20"/>
          <w:color w:val="auto"/>
        </w:rPr>
      </w:pPr>
      <w:r>
        <w:rPr>
          <w:rFonts w:ascii="Arial" w:cs="Arial" w:eastAsia="Arial" w:hAnsi="Arial"/>
          <w:sz w:val="16"/>
          <w:szCs w:val="16"/>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3" w:lineRule="exact"/>
        <w:rPr>
          <w:sz w:val="20"/>
          <w:szCs w:val="20"/>
          <w:color w:val="auto"/>
        </w:rPr>
      </w:pPr>
    </w:p>
    <w:p>
      <w:pPr>
        <w:ind w:right="60" w:firstLine="480"/>
        <w:spacing w:after="0" w:line="252" w:lineRule="auto"/>
        <w:rPr>
          <w:sz w:val="20"/>
          <w:szCs w:val="20"/>
          <w:color w:val="auto"/>
        </w:rPr>
      </w:pPr>
      <w:r>
        <w:rPr>
          <w:rFonts w:ascii="Arial" w:cs="Arial" w:eastAsia="Arial" w:hAnsi="Arial"/>
          <w:sz w:val="18"/>
          <w:szCs w:val="18"/>
          <w:color w:val="auto"/>
        </w:rPr>
        <w:t>Amounts reported as Restricted cash and cash equivalents in our Condensed Consolidated Balance Sheets primarily relate to litigation-related matters, including approximately $111.2 million and $127.0 million held in Qualified Settlement Funds (QSFs) for mesh-related matters at March 31, 2021 and December 31, 2020, respectively. See Note 13. Commitments and Contingencies for further information about mesh-related and other litigation-related matters. Additionally, at March 31, 2021 and December 31, 2020, approximately $25.0 million of restricted cash and cash equivalents related to certain insurance-related matters.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3" w:lineRule="exact"/>
        <w:rPr>
          <w:sz w:val="20"/>
          <w:szCs w:val="20"/>
          <w:color w:val="auto"/>
        </w:rPr>
      </w:pPr>
    </w:p>
    <w:p>
      <w:pPr>
        <w:ind w:right="20" w:firstLine="480"/>
        <w:spacing w:after="0" w:line="336" w:lineRule="auto"/>
        <w:rPr>
          <w:sz w:val="20"/>
          <w:szCs w:val="20"/>
          <w:color w:val="auto"/>
        </w:rPr>
      </w:pPr>
      <w:r>
        <w:rPr>
          <w:rFonts w:ascii="Arial" w:cs="Arial" w:eastAsia="Arial" w:hAnsi="Arial"/>
          <w:sz w:val="14"/>
          <w:szCs w:val="14"/>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19" w:lineRule="exact"/>
        <w:rPr>
          <w:sz w:val="20"/>
          <w:szCs w:val="20"/>
          <w:color w:val="auto"/>
        </w:rPr>
      </w:pPr>
    </w:p>
    <w:p>
      <w:pPr>
        <w:ind w:right="180" w:firstLine="480"/>
        <w:spacing w:after="0" w:line="267" w:lineRule="auto"/>
        <w:rPr>
          <w:sz w:val="20"/>
          <w:szCs w:val="20"/>
          <w:color w:val="auto"/>
        </w:rPr>
      </w:pPr>
      <w:r>
        <w:rPr>
          <w:rFonts w:ascii="Arial" w:cs="Arial" w:eastAsia="Arial" w:hAnsi="Arial"/>
          <w:sz w:val="18"/>
          <w:szCs w:val="18"/>
          <w:color w:val="auto"/>
        </w:rPr>
        <w:t>The Company’s financial assets and liabilities measured at fair value on a recurring basis at March 31, 2021 and December 31, 2020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211"/>
              <w:spacing w:after="0"/>
              <w:rPr>
                <w:sz w:val="20"/>
                <w:szCs w:val="20"/>
                <w:color w:val="auto"/>
              </w:rPr>
            </w:pPr>
            <w:r>
              <w:rPr>
                <w:rFonts w:ascii="Arial" w:cs="Arial" w:eastAsia="Arial" w:hAnsi="Arial"/>
                <w:sz w:val="14"/>
                <w:szCs w:val="14"/>
                <w:b w:val="1"/>
                <w:bCs w:val="1"/>
                <w:color w:val="auto"/>
                <w:w w:val="92"/>
              </w:rPr>
              <w:t>Fair Value Measurements at March 31, 2021 using:</w:t>
            </w:r>
          </w:p>
        </w:tc>
        <w:tc>
          <w:tcPr>
            <w:tcW w:w="1020" w:type="dxa"/>
            <w:vAlign w:val="bottom"/>
            <w:tcBorders>
              <w:bottom w:val="single" w:sz="8" w:color="auto"/>
            </w:tcBorders>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Level 1 Inputs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08"/>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6"/>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212,115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212,115</w:t>
            </w:r>
          </w:p>
        </w:tc>
      </w:tr>
      <w:tr>
        <w:trPr>
          <w:trHeight w:val="22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6,861</w:t>
            </w:r>
          </w:p>
        </w:tc>
      </w:tr>
      <w:tr>
        <w:trPr>
          <w:trHeight w:val="227"/>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w:t>
            </w:r>
          </w:p>
        </w:tc>
      </w:tr>
      <w:tr>
        <w:trPr>
          <w:trHeight w:val="288"/>
        </w:trPr>
        <w:tc>
          <w:tcPr>
            <w:tcW w:w="5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10"/>
          </w:tcPr>
          <w:p>
            <w:pPr>
              <w:jc w:val="right"/>
              <w:ind w:right="111"/>
              <w:spacing w:after="0"/>
              <w:rPr>
                <w:sz w:val="20"/>
                <w:szCs w:val="20"/>
                <w:color w:val="auto"/>
              </w:rPr>
            </w:pPr>
            <w:r>
              <w:rPr>
                <w:rFonts w:ascii="Arial" w:cs="Arial" w:eastAsia="Arial" w:hAnsi="Arial"/>
                <w:sz w:val="14"/>
                <w:szCs w:val="14"/>
                <w:b w:val="1"/>
                <w:bCs w:val="1"/>
                <w:color w:val="auto"/>
              </w:rPr>
              <w:t>Fair Value Measurements at December 31, 2020 using:</w:t>
            </w:r>
          </w:p>
        </w:tc>
        <w:tc>
          <w:tcPr>
            <w:tcW w:w="1020" w:type="dxa"/>
            <w:vAlign w:val="bottom"/>
            <w:tcBorders>
              <w:bottom w:val="single" w:sz="8" w:color="auto"/>
            </w:tcBorders>
          </w:tcPr>
          <w:p>
            <w:pPr>
              <w:spacing w:after="0"/>
              <w:rPr>
                <w:sz w:val="24"/>
                <w:szCs w:val="24"/>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Level 1 Inputs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08"/>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6"/>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214,120</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214,120</w:t>
            </w:r>
          </w:p>
        </w:tc>
      </w:tr>
      <w:tr>
        <w:trPr>
          <w:trHeight w:val="22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8,566</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27"/>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r>
    </w:tbl>
    <w:p>
      <w:pPr>
        <w:spacing w:after="0" w:line="94" w:lineRule="exact"/>
        <w:rPr>
          <w:sz w:val="20"/>
          <w:szCs w:val="20"/>
          <w:color w:val="auto"/>
        </w:rPr>
      </w:pPr>
    </w:p>
    <w:p>
      <w:pPr>
        <w:ind w:right="40" w:firstLine="480"/>
        <w:spacing w:after="0" w:line="253" w:lineRule="auto"/>
        <w:rPr>
          <w:sz w:val="20"/>
          <w:szCs w:val="20"/>
          <w:color w:val="auto"/>
        </w:rPr>
      </w:pPr>
      <w:r>
        <w:rPr>
          <w:rFonts w:ascii="Arial" w:cs="Arial" w:eastAsia="Arial" w:hAnsi="Arial"/>
          <w:sz w:val="18"/>
          <w:szCs w:val="18"/>
          <w:color w:val="auto"/>
        </w:rPr>
        <w:t>At March 31, 2021 and December 31, 2020, money market funds include $24.5 million and $26.5 million, respectively, in QSFs to be disbursed to mesh-related or other product liability claimants. Amounts in QSFs are considered restricted cash equivalents. See Note 13. Commitments and Contingencies for further discussion of our product liability cases. At March 31, 2021 and December 31, 2020, the differences between the amortized cost and the fair value of our money market funds were not material, individually or in the aggregate.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3" w:lineRule="exact"/>
        <w:rPr>
          <w:sz w:val="20"/>
          <w:szCs w:val="20"/>
          <w:color w:val="auto"/>
        </w:rPr>
      </w:pPr>
    </w:p>
    <w:p>
      <w:pPr>
        <w:ind w:right="160" w:firstLine="480"/>
        <w:spacing w:after="0" w:line="297"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three months ended March 31, 2021 and 2020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CCEEFF"/>
            </w:tcBorders>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4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29,657</w:t>
            </w:r>
          </w:p>
        </w:tc>
        <w:tc>
          <w:tcPr>
            <w:tcW w:w="0" w:type="dxa"/>
            <w:vAlign w:val="bottom"/>
          </w:tcPr>
          <w:p>
            <w:pPr>
              <w:spacing w:after="0"/>
              <w:rPr>
                <w:sz w:val="1"/>
                <w:szCs w:val="1"/>
                <w:color w:val="auto"/>
              </w:rPr>
            </w:pPr>
          </w:p>
        </w:tc>
      </w:tr>
      <w:tr>
        <w:trPr>
          <w:trHeight w:val="226"/>
        </w:trPr>
        <w:tc>
          <w:tcPr>
            <w:tcW w:w="428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4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4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0" w:type="dxa"/>
            <w:vAlign w:val="bottom"/>
          </w:tcPr>
          <w:p>
            <w:pPr>
              <w:spacing w:after="0"/>
              <w:rPr>
                <w:sz w:val="1"/>
                <w:szCs w:val="1"/>
                <w:color w:val="auto"/>
              </w:rPr>
            </w:pPr>
          </w:p>
        </w:tc>
      </w:tr>
      <w:tr>
        <w:trPr>
          <w:trHeight w:val="22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translation</w:t>
            </w:r>
          </w:p>
        </w:tc>
        <w:tc>
          <w:tcPr>
            <w:tcW w:w="4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4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611"/>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428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180" w:firstLine="480"/>
        <w:spacing w:after="0" w:line="291" w:lineRule="auto"/>
        <w:rPr>
          <w:sz w:val="20"/>
          <w:szCs w:val="20"/>
          <w:color w:val="auto"/>
        </w:rPr>
      </w:pPr>
      <w:r>
        <w:rPr>
          <w:rFonts w:ascii="Arial" w:cs="Arial" w:eastAsia="Arial" w:hAnsi="Arial"/>
          <w:sz w:val="16"/>
          <w:szCs w:val="16"/>
          <w:color w:val="auto"/>
        </w:rPr>
        <w:t>At March 31, 2021, the fair value measurements of the contingent consideration obligations were determined using risk-adjusted discount rates ranging from approximately 10.0% to 15.0% (weighted average rate of approximately 11.1%,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57" w:lineRule="exact"/>
        <w:rPr>
          <w:sz w:val="20"/>
          <w:szCs w:val="20"/>
          <w:color w:val="auto"/>
        </w:rPr>
      </w:pPr>
    </w:p>
    <w:p>
      <w:pPr>
        <w:ind w:right="80" w:firstLine="480"/>
        <w:spacing w:after="0" w:line="26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three months ended March 31, 2021 by acquisition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Auxilium acquisition</w:t>
      </w:r>
    </w:p>
    <w:p>
      <w:pPr>
        <w:spacing w:after="0" w:line="20" w:lineRule="exact"/>
        <w:rPr>
          <w:sz w:val="20"/>
          <w:szCs w:val="20"/>
          <w:color w:val="auto"/>
        </w:rPr>
      </w:pPr>
    </w:p>
    <w:p>
      <w:pPr>
        <w:ind w:left="20" w:right="1500"/>
        <w:spacing w:after="0" w:line="282" w:lineRule="auto"/>
        <w:rPr>
          <w:sz w:val="20"/>
          <w:szCs w:val="20"/>
          <w:color w:val="auto"/>
        </w:rPr>
      </w:pPr>
      <w:r>
        <w:rPr>
          <w:rFonts w:ascii="Arial" w:cs="Arial" w:eastAsia="Arial" w:hAnsi="Arial"/>
          <w:sz w:val="18"/>
          <w:szCs w:val="18"/>
          <w:color w:val="auto"/>
        </w:rPr>
        <w:t>Lehigh Valley Technologies, Inc. acquisitions Other</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 as of</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Amounts Settled and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Balance as of March</w:t>
            </w: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Value Recorded in</w:t>
            </w:r>
          </w:p>
        </w:tc>
        <w:tc>
          <w:tcPr>
            <w:tcW w:w="1460" w:type="dxa"/>
            <w:vAlign w:val="bottom"/>
            <w:gridSpan w:val="3"/>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8"/>
              </w:rPr>
              <w:t>December 31, 2020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0"/>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14,580</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27"/>
        </w:trPr>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2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29,763</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-625475</wp:posOffset>
            </wp:positionV>
            <wp:extent cx="7134225" cy="15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-329565</wp:posOffset>
            </wp:positionV>
            <wp:extent cx="7134225" cy="144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ind w:right="200" w:firstLine="480"/>
        <w:spacing w:after="0" w:line="26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three months ended March 31, 2021 were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380" w:type="dxa"/>
            <w:vAlign w:val="bottom"/>
            <w:gridSpan w:val="9"/>
          </w:tcPr>
          <w:p>
            <w:pPr>
              <w:ind w:left="20"/>
              <w:spacing w:after="0"/>
              <w:rPr>
                <w:sz w:val="20"/>
                <w:szCs w:val="20"/>
                <w:color w:val="auto"/>
              </w:rPr>
            </w:pPr>
            <w:r>
              <w:rPr>
                <w:rFonts w:ascii="Arial" w:cs="Arial" w:eastAsia="Arial" w:hAnsi="Arial"/>
                <w:sz w:val="14"/>
                <w:szCs w:val="14"/>
                <w:b w:val="1"/>
                <w:bCs w:val="1"/>
                <w:color w:val="auto"/>
                <w:w w:val="96"/>
              </w:rPr>
              <w:t>Fair Value Measurements during the Three Months Ended March 31,</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Total Expense for the</w:t>
            </w:r>
          </w:p>
        </w:tc>
        <w:tc>
          <w:tcPr>
            <w:tcW w:w="0" w:type="dxa"/>
            <w:vAlign w:val="bottom"/>
          </w:tcPr>
          <w:p>
            <w:pPr>
              <w:spacing w:after="0"/>
              <w:rPr>
                <w:sz w:val="1"/>
                <w:szCs w:val="1"/>
                <w:color w:val="auto"/>
              </w:rPr>
            </w:pPr>
          </w:p>
        </w:tc>
      </w:tr>
      <w:tr>
        <w:trPr>
          <w:trHeight w:val="80"/>
        </w:trPr>
        <w:tc>
          <w:tcPr>
            <w:tcW w:w="5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2021 (1) using:</w:t>
            </w: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5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ind w:left="40"/>
              <w:spacing w:after="0" w:line="106" w:lineRule="exact"/>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93"/>
        </w:trPr>
        <w:tc>
          <w:tcPr>
            <w:tcW w:w="5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 Inputs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March 31, 2021</w:t>
            </w:r>
          </w:p>
        </w:tc>
        <w:tc>
          <w:tcPr>
            <w:tcW w:w="0" w:type="dxa"/>
            <w:vAlign w:val="bottom"/>
          </w:tcPr>
          <w:p>
            <w:pPr>
              <w:spacing w:after="0"/>
              <w:rPr>
                <w:sz w:val="1"/>
                <w:szCs w:val="1"/>
                <w:color w:val="auto"/>
              </w:rPr>
            </w:pPr>
          </w:p>
        </w:tc>
      </w:tr>
      <w:tr>
        <w:trPr>
          <w:trHeight w:val="22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excluding goodwill (2)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2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property, plant and equipment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1"/>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560" w:right="80" w:hanging="313"/>
        <w:spacing w:after="0" w:line="238" w:lineRule="auto"/>
        <w:tabs>
          <w:tab w:leader="none" w:pos="55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60" w:hanging="313"/>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fair value measurement was determined using a risk-adjusted discount rate of 10.0%.</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 consist of the following at March 31, 2021 and December 31, 2020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2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December 31, 2020</w:t>
            </w:r>
          </w:p>
        </w:tc>
      </w:tr>
      <w:tr>
        <w:trPr>
          <w:trHeight w:val="226"/>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99,495</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104,511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98,753</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156,047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154,012</w:t>
            </w:r>
          </w:p>
        </w:tc>
      </w:tr>
      <w:tr>
        <w:trPr>
          <w:trHeight w:val="221"/>
        </w:trPr>
        <w:tc>
          <w:tcPr>
            <w:tcW w:w="842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362,180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352,260</w:t>
            </w: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560" w:hanging="313"/>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 for obsolescence.</w:t>
      </w:r>
    </w:p>
    <w:p>
      <w:pPr>
        <w:spacing w:after="0" w:line="100" w:lineRule="exact"/>
        <w:rPr>
          <w:sz w:val="20"/>
          <w:szCs w:val="20"/>
          <w:color w:val="auto"/>
        </w:rPr>
      </w:pPr>
    </w:p>
    <w:p>
      <w:pPr>
        <w:ind w:right="140" w:firstLine="480"/>
        <w:spacing w:after="0" w:line="349" w:lineRule="auto"/>
        <w:rPr>
          <w:sz w:val="20"/>
          <w:szCs w:val="20"/>
          <w:color w:val="auto"/>
        </w:rPr>
      </w:pPr>
      <w:r>
        <w:rPr>
          <w:rFonts w:ascii="Arial" w:cs="Arial" w:eastAsia="Arial" w:hAnsi="Arial"/>
          <w:sz w:val="14"/>
          <w:szCs w:val="14"/>
          <w:color w:val="auto"/>
        </w:rPr>
        <w:t>Inventory that is in excess of the amount expected to be sold within one year is classified as noncurrent inventory and is not included in the table above. At March 31, 2021 and December 31, 2020, $7.4 million and $13.2 million, respectively, of noncurrent inventory was included in Other assets in the Condensed Consolidated Balance Sheets. As of March 31, 2021 and December 31, 2020, the Company’s Condensed Consolidated Balance Sheets included approximately $7.8 million and $37.5 million, respectively, of capitalized pre-launch inventories related to products that were not yet available to be sold.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19" w:lineRule="exact"/>
        <w:rPr>
          <w:sz w:val="20"/>
          <w:szCs w:val="20"/>
          <w:color w:val="auto"/>
        </w:rPr>
      </w:pPr>
    </w:p>
    <w:p>
      <w:pPr>
        <w:ind w:right="220" w:firstLine="480"/>
        <w:spacing w:after="0" w:line="267" w:lineRule="auto"/>
        <w:rPr>
          <w:sz w:val="20"/>
          <w:szCs w:val="20"/>
          <w:color w:val="auto"/>
        </w:rPr>
      </w:pPr>
      <w:r>
        <w:rPr>
          <w:rFonts w:ascii="Arial" w:cs="Arial" w:eastAsia="Arial" w:hAnsi="Arial"/>
          <w:sz w:val="18"/>
          <w:szCs w:val="18"/>
          <w:color w:val="auto"/>
        </w:rPr>
        <w:t>The following table presents information about the Company’s right-of-use assets and lease liabilities at March 31, 2021 and December 31, 2020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Line Items</w:t>
            </w: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26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December 31, 2020</w:t>
            </w: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6"/>
        </w:trPr>
        <w:tc>
          <w:tcPr>
            <w:tcW w:w="440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34,389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37,030</w:t>
            </w:r>
          </w:p>
        </w:tc>
      </w:tr>
      <w:tr>
        <w:trPr>
          <w:trHeight w:val="227"/>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right-of-use assets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47,549</w:t>
            </w:r>
          </w:p>
        </w:tc>
      </w:tr>
      <w:tr>
        <w:trPr>
          <w:trHeight w:val="221"/>
        </w:trPr>
        <w:tc>
          <w:tcPr>
            <w:tcW w:w="4400" w:type="dxa"/>
            <w:vAlign w:val="bottom"/>
          </w:tcPr>
          <w:p>
            <w:pPr>
              <w:ind w:left="220"/>
              <w:spacing w:after="0"/>
              <w:rPr>
                <w:sz w:val="20"/>
                <w:szCs w:val="20"/>
                <w:color w:val="auto"/>
              </w:rPr>
            </w:pPr>
            <w:r>
              <w:rPr>
                <w:rFonts w:ascii="Arial" w:cs="Arial" w:eastAsia="Arial" w:hAnsi="Arial"/>
                <w:sz w:val="18"/>
                <w:szCs w:val="18"/>
                <w:color w:val="auto"/>
              </w:rPr>
              <w:t>Total right-of-use assets</w:t>
            </w: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84,579</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3"/>
        </w:trPr>
        <w:tc>
          <w:tcPr>
            <w:tcW w:w="440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Operating lease liabilities:</w:t>
            </w:r>
          </w:p>
        </w:tc>
        <w:tc>
          <w:tcPr>
            <w:tcW w:w="3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440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11,613</w:t>
            </w:r>
          </w:p>
        </w:tc>
      </w:tr>
      <w:tr>
        <w:trPr>
          <w:trHeight w:val="227"/>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w:t>
            </w:r>
          </w:p>
        </w:tc>
      </w:tr>
      <w:tr>
        <w:trPr>
          <w:trHeight w:val="221"/>
        </w:trPr>
        <w:tc>
          <w:tcPr>
            <w:tcW w:w="44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49,745</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3"/>
        </w:trPr>
        <w:tc>
          <w:tcPr>
            <w:tcW w:w="440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Finance lease liabilities:</w:t>
            </w:r>
          </w:p>
        </w:tc>
        <w:tc>
          <w:tcPr>
            <w:tcW w:w="3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440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6,227</w:t>
            </w:r>
          </w:p>
        </w:tc>
      </w:tr>
      <w:tr>
        <w:trPr>
          <w:trHeight w:val="227"/>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finance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25,027</w:t>
            </w:r>
          </w:p>
        </w:tc>
      </w:tr>
      <w:tr>
        <w:trPr>
          <w:trHeight w:val="221"/>
        </w:trPr>
        <w:tc>
          <w:tcPr>
            <w:tcW w:w="44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31,254</w:t>
            </w:r>
          </w:p>
        </w:tc>
      </w:tr>
      <w:tr>
        <w:trPr>
          <w:trHeight w:val="20"/>
        </w:trPr>
        <w:tc>
          <w:tcPr>
            <w:tcW w:w="4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80"/>
        <w:spacing w:after="0" w:line="267"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three months ended March 31, 2021 and 2020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4480" w:type="dxa"/>
            <w:vAlign w:val="bottom"/>
            <w:tcBorders>
              <w:bottom w:val="single" w:sz="8" w:color="CCEEFF"/>
            </w:tcBorders>
          </w:tcPr>
          <w:p>
            <w:pPr>
              <w:spacing w:after="0"/>
              <w:rPr>
                <w:sz w:val="16"/>
                <w:szCs w:val="16"/>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 of Operations Line Items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r>
      <w:tr>
        <w:trPr>
          <w:trHeight w:val="226"/>
        </w:trPr>
        <w:tc>
          <w:tcPr>
            <w:tcW w:w="44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26"/>
        </w:trPr>
        <w:tc>
          <w:tcPr>
            <w:tcW w:w="448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4480" w:type="dxa"/>
            <w:vAlign w:val="bottom"/>
          </w:tcPr>
          <w:p>
            <w:pPr>
              <w:ind w:left="140"/>
              <w:spacing w:after="0"/>
              <w:rPr>
                <w:sz w:val="20"/>
                <w:szCs w:val="20"/>
                <w:color w:val="auto"/>
              </w:rPr>
            </w:pPr>
            <w:r>
              <w:rPr>
                <w:rFonts w:ascii="Arial" w:cs="Arial" w:eastAsia="Arial" w:hAnsi="Arial"/>
                <w:sz w:val="18"/>
                <w:szCs w:val="18"/>
                <w:color w:val="auto"/>
              </w:rPr>
              <w:t>Variable lease costs (2)</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r>
      <w:tr>
        <w:trPr>
          <w:trHeight w:val="227"/>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560" w:right="660" w:hanging="313"/>
        <w:spacing w:after="0" w:line="249" w:lineRule="auto"/>
        <w:tabs>
          <w:tab w:leader="none" w:pos="5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months ended March 31, 2021 and 2020 (in thousands):</w:t>
      </w:r>
    </w:p>
    <w:p>
      <w:pPr>
        <w:spacing w:after="0" w:line="103"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289"/>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73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r>
      <w:tr>
        <w:trPr>
          <w:trHeight w:val="18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w:t>
            </w:r>
          </w:p>
        </w:tc>
      </w:tr>
      <w:tr>
        <w:trPr>
          <w:trHeight w:val="184"/>
        </w:trPr>
        <w:tc>
          <w:tcPr>
            <w:tcW w:w="73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5,024</w:t>
            </w:r>
          </w:p>
        </w:tc>
        <w:tc>
          <w:tcPr>
            <w:tcW w:w="1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4,721</w:t>
            </w:r>
          </w:p>
        </w:tc>
      </w:tr>
      <w:tr>
        <w:trPr>
          <w:trHeight w:val="19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bl>
    <w:p>
      <w:pPr>
        <w:spacing w:after="0" w:line="61" w:lineRule="exact"/>
        <w:rPr>
          <w:sz w:val="20"/>
          <w:szCs w:val="20"/>
          <w:color w:val="auto"/>
        </w:rPr>
      </w:pPr>
    </w:p>
    <w:p>
      <w:pPr>
        <w:ind w:left="560" w:right="60" w:hanging="313"/>
        <w:spacing w:after="0" w:line="267" w:lineRule="auto"/>
        <w:tabs>
          <w:tab w:leader="none" w:pos="55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5" w:lineRule="exact"/>
        <w:rPr>
          <w:sz w:val="20"/>
          <w:szCs w:val="20"/>
          <w:color w:val="auto"/>
        </w:rPr>
      </w:pPr>
    </w:p>
    <w:p>
      <w:pPr>
        <w:ind w:right="80" w:firstLine="480"/>
        <w:spacing w:after="0" w:line="26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three months ended March 31, 2021 and 2020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530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0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5300" w:type="dxa"/>
            <w:vAlign w:val="bottom"/>
          </w:tcPr>
          <w:p>
            <w:pPr>
              <w:ind w:left="140"/>
              <w:spacing w:after="0"/>
              <w:rPr>
                <w:sz w:val="20"/>
                <w:szCs w:val="20"/>
                <w:color w:val="auto"/>
              </w:rPr>
            </w:pPr>
            <w:r>
              <w:rPr>
                <w:rFonts w:ascii="Arial" w:cs="Arial" w:eastAsia="Arial" w:hAnsi="Arial"/>
                <w:sz w:val="18"/>
                <w:szCs w:val="18"/>
                <w:color w:val="auto"/>
              </w:rPr>
              <w:t>Operating cash payments for operating leases</w:t>
            </w:r>
          </w:p>
        </w:tc>
        <w:tc>
          <w:tcPr>
            <w:tcW w:w="3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2,981</w:t>
            </w:r>
          </w:p>
        </w:tc>
      </w:tr>
      <w:tr>
        <w:trPr>
          <w:trHeight w:val="227"/>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payments for finance leases</w:t>
            </w:r>
          </w:p>
        </w:tc>
        <w:tc>
          <w:tcPr>
            <w:tcW w:w="3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5"/>
        </w:trPr>
        <w:tc>
          <w:tcPr>
            <w:tcW w:w="5300" w:type="dxa"/>
            <w:vAlign w:val="bottom"/>
          </w:tcPr>
          <w:p>
            <w:pPr>
              <w:ind w:left="140"/>
              <w:spacing w:after="0"/>
              <w:rPr>
                <w:sz w:val="20"/>
                <w:szCs w:val="20"/>
                <w:color w:val="auto"/>
              </w:rPr>
            </w:pPr>
            <w:r>
              <w:rPr>
                <w:rFonts w:ascii="Arial" w:cs="Arial" w:eastAsia="Arial" w:hAnsi="Arial"/>
                <w:sz w:val="18"/>
                <w:szCs w:val="18"/>
                <w:color w:val="auto"/>
              </w:rPr>
              <w:t>Financing cash payments for finance leases</w:t>
            </w:r>
          </w:p>
        </w:tc>
        <w:tc>
          <w:tcPr>
            <w:tcW w:w="3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733"/>
        </w:trPr>
        <w:tc>
          <w:tcPr>
            <w:tcW w:w="5300" w:type="dxa"/>
            <w:vAlign w:val="bottom"/>
          </w:tcPr>
          <w:p>
            <w:pPr>
              <w:spacing w:after="0"/>
              <w:rPr>
                <w:sz w:val="24"/>
                <w:szCs w:val="24"/>
                <w:color w:val="auto"/>
              </w:rPr>
            </w:pPr>
          </w:p>
        </w:tc>
        <w:tc>
          <w:tcPr>
            <w:tcW w:w="3120" w:type="dxa"/>
            <w:vAlign w:val="bottom"/>
          </w:tcPr>
          <w:p>
            <w:pPr>
              <w:jc w:val="right"/>
              <w:ind w:right="2611"/>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Changes in the carrying amount of our goodwill for the three months ended March 31, 2021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Sterile Injectables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Pharmaceuticals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2,731,193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21"/>
        </w:trPr>
        <w:tc>
          <w:tcPr>
            <w:tcW w:w="4040" w:type="dxa"/>
            <w:vAlign w:val="bottom"/>
          </w:tcPr>
          <w:p>
            <w:pPr>
              <w:ind w:left="20"/>
              <w:spacing w:after="0"/>
              <w:rPr>
                <w:sz w:val="20"/>
                <w:szCs w:val="20"/>
                <w:color w:val="auto"/>
              </w:rPr>
            </w:pPr>
            <w:r>
              <w:rPr>
                <w:rFonts w:ascii="Arial" w:cs="Arial" w:eastAsia="Arial" w:hAnsi="Arial"/>
                <w:sz w:val="18"/>
                <w:szCs w:val="18"/>
                <w:color w:val="auto"/>
              </w:rPr>
              <w:t>Goodwill as of March 31,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carrying amounts of goodwill at March 31, 2021 and December 31, 2020 are net of the following accumulated impairments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Sterile Injectables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Generic</w:t>
            </w:r>
          </w:p>
        </w:tc>
        <w:tc>
          <w:tcPr>
            <w:tcW w:w="1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Accumulated impairment losses as of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3,142,657</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546,251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4,544,718</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w w:val="93"/>
              </w:rPr>
              <w:t>Accumulated impairment losses as of March 31,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3,142,657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553,764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4,552,231</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Changes in the amount of other intangible assets for the three months ended March 31, 2021 are set forth in the table below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100" w:type="dxa"/>
            <w:vAlign w:val="bottom"/>
          </w:tcPr>
          <w:p>
            <w:pPr>
              <w:spacing w:after="0"/>
              <w:rPr>
                <w:sz w:val="14"/>
                <w:szCs w:val="14"/>
                <w:color w:val="auto"/>
              </w:rPr>
            </w:pP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86"/>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 of 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as of March</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6"/>
                <w:szCs w:val="16"/>
                <w:color w:val="auto"/>
              </w:rPr>
            </w:pPr>
          </w:p>
        </w:tc>
        <w:tc>
          <w:tcPr>
            <w:tcW w:w="108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31, 2021</w:t>
            </w:r>
          </w:p>
        </w:tc>
        <w:tc>
          <w:tcPr>
            <w:tcW w:w="0" w:type="dxa"/>
            <w:vAlign w:val="bottom"/>
          </w:tcPr>
          <w:p>
            <w:pPr>
              <w:spacing w:after="0"/>
              <w:rPr>
                <w:sz w:val="1"/>
                <w:szCs w:val="1"/>
                <w:color w:val="auto"/>
              </w:rPr>
            </w:pPr>
          </w:p>
        </w:tc>
      </w:tr>
      <w:tr>
        <w:trPr>
          <w:trHeight w:val="207"/>
        </w:trPr>
        <w:tc>
          <w:tcPr>
            <w:tcW w:w="40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Indefinite-lived intangibles: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1"/>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indefinite-lived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line="205" w:lineRule="exact"/>
              <w:rPr>
                <w:sz w:val="20"/>
                <w:szCs w:val="20"/>
                <w:color w:val="auto"/>
              </w:rPr>
            </w:pPr>
            <w:r>
              <w:rPr>
                <w:rFonts w:ascii="Arial" w:cs="Arial" w:eastAsia="Arial" w:hAnsi="Arial"/>
                <w:sz w:val="18"/>
                <w:szCs w:val="18"/>
                <w:color w:val="auto"/>
              </w:rPr>
              <w:t>Finite-lived intangibles:</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Licenses (weighted average life of 14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439,230</w:t>
            </w:r>
          </w:p>
        </w:tc>
        <w:tc>
          <w:tcPr>
            <w:tcW w:w="0" w:type="dxa"/>
            <w:vAlign w:val="bottom"/>
          </w:tcPr>
          <w:p>
            <w:pPr>
              <w:spacing w:after="0"/>
              <w:rPr>
                <w:sz w:val="1"/>
                <w:szCs w:val="1"/>
                <w:color w:val="auto"/>
              </w:rPr>
            </w:pPr>
          </w:p>
        </w:tc>
      </w:tr>
      <w:tr>
        <w:trPr>
          <w:trHeight w:val="226"/>
        </w:trPr>
        <w:tc>
          <w:tcPr>
            <w:tcW w:w="4040" w:type="dxa"/>
            <w:vAlign w:val="bottom"/>
          </w:tcPr>
          <w:p>
            <w:pPr>
              <w:ind w:left="140"/>
              <w:spacing w:after="0"/>
              <w:rPr>
                <w:sz w:val="20"/>
                <w:szCs w:val="20"/>
                <w:color w:val="auto"/>
              </w:rPr>
            </w:pPr>
            <w:r>
              <w:rPr>
                <w:rFonts w:ascii="Arial" w:cs="Arial" w:eastAsia="Arial" w:hAnsi="Arial"/>
                <w:sz w:val="18"/>
                <w:szCs w:val="18"/>
                <w:color w:val="auto"/>
              </w:rPr>
              <w:t>Tradenames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5"/>
              </w:rPr>
              <w:t>Developed technology (weighted average life of 12</w:t>
            </w: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6,442,734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91"/>
              </w:rPr>
              <w:t>(2,882)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6,443,435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40"/>
              <w:spacing w:after="0" w:line="154" w:lineRule="exact"/>
              <w:rPr>
                <w:sz w:val="20"/>
                <w:szCs w:val="20"/>
                <w:color w:val="auto"/>
              </w:rPr>
            </w:pPr>
            <w:r>
              <w:rPr>
                <w:rFonts w:ascii="Arial" w:cs="Arial" w:eastAsia="Arial" w:hAnsi="Arial"/>
                <w:sz w:val="17"/>
                <w:szCs w:val="17"/>
                <w:color w:val="auto"/>
                <w:w w:val="98"/>
              </w:rPr>
              <w:t>Total finite-lived intangibles (weighted average life of</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6,888,373</w:t>
            </w:r>
          </w:p>
        </w:tc>
        <w:tc>
          <w:tcPr>
            <w:tcW w:w="10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ind w:left="620"/>
              <w:spacing w:after="0"/>
              <w:rPr>
                <w:sz w:val="20"/>
                <w:szCs w:val="20"/>
                <w:color w:val="auto"/>
              </w:rPr>
            </w:pPr>
            <w:r>
              <w:rPr>
                <w:rFonts w:ascii="Arial" w:cs="Arial" w:eastAsia="Arial" w:hAnsi="Arial"/>
                <w:sz w:val="18"/>
                <w:szCs w:val="18"/>
                <w:color w:val="auto"/>
                <w:w w:val="91"/>
              </w:rPr>
              <w:t>(2,882)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13"/>
                <w:szCs w:val="13"/>
                <w:color w:val="auto"/>
              </w:rPr>
            </w:pPr>
          </w:p>
        </w:tc>
        <w:tc>
          <w:tcPr>
            <w:tcW w:w="280" w:type="dxa"/>
            <w:vAlign w:val="bottom"/>
            <w:vMerge w:val="restart"/>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6,889,074</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12 years)</w:t>
            </w:r>
          </w:p>
        </w:tc>
        <w:tc>
          <w:tcPr>
            <w:tcW w:w="1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6,891,373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1"/>
              </w:rPr>
              <w:t>(2,882)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6,892,074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00" w:type="dxa"/>
            <w:vAlign w:val="bottom"/>
          </w:tcPr>
          <w:p>
            <w:pPr>
              <w:spacing w:after="0"/>
              <w:rPr>
                <w:sz w:val="11"/>
                <w:szCs w:val="11"/>
                <w:color w:val="auto"/>
              </w:rPr>
            </w:pPr>
          </w:p>
        </w:tc>
        <w:tc>
          <w:tcPr>
            <w:tcW w:w="12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86"/>
              </w:rPr>
              <w:t>Balance as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Effect of Currency</w:t>
            </w:r>
          </w:p>
        </w:tc>
        <w:tc>
          <w:tcPr>
            <w:tcW w:w="13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Balance as of March</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6"/>
                <w:szCs w:val="16"/>
                <w:color w:val="auto"/>
              </w:rPr>
            </w:pPr>
          </w:p>
        </w:tc>
        <w:tc>
          <w:tcPr>
            <w:tcW w:w="108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31, 2021</w:t>
            </w:r>
          </w:p>
        </w:tc>
        <w:tc>
          <w:tcPr>
            <w:tcW w:w="0" w:type="dxa"/>
            <w:vAlign w:val="bottom"/>
          </w:tcPr>
          <w:p>
            <w:pPr>
              <w:spacing w:after="0"/>
              <w:rPr>
                <w:sz w:val="1"/>
                <w:szCs w:val="1"/>
                <w:color w:val="auto"/>
              </w:rPr>
            </w:pPr>
          </w:p>
        </w:tc>
      </w:tr>
      <w:tr>
        <w:trPr>
          <w:trHeight w:val="207"/>
        </w:trPr>
        <w:tc>
          <w:tcPr>
            <w:tcW w:w="40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Finite-lived intangibles: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140"/>
              <w:spacing w:after="0"/>
              <w:rPr>
                <w:sz w:val="20"/>
                <w:szCs w:val="20"/>
                <w:color w:val="auto"/>
              </w:rPr>
            </w:pPr>
            <w:r>
              <w:rPr>
                <w:rFonts w:ascii="Arial" w:cs="Arial" w:eastAsia="Arial" w:hAnsi="Arial"/>
                <w:sz w:val="18"/>
                <w:szCs w:val="18"/>
                <w:color w:val="auto"/>
              </w:rPr>
              <w:t>Licenses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(415,193)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(416,486)</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Tradenames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26"/>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Developed technology</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(3,728,963)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(3,825,190)</w:t>
            </w:r>
          </w:p>
        </w:tc>
        <w:tc>
          <w:tcPr>
            <w:tcW w:w="0" w:type="dxa"/>
            <w:vAlign w:val="bottom"/>
          </w:tcPr>
          <w:p>
            <w:pPr>
              <w:spacing w:after="0"/>
              <w:rPr>
                <w:sz w:val="1"/>
                <w:szCs w:val="1"/>
                <w:color w:val="auto"/>
              </w:rPr>
            </w:pPr>
          </w:p>
        </w:tc>
      </w:tr>
      <w:tr>
        <w:trPr>
          <w:trHeight w:val="241"/>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(4,150,565)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(4,248,085)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40" w:type="dxa"/>
            <w:vAlign w:val="bottom"/>
          </w:tcPr>
          <w:p>
            <w:pPr>
              <w:ind w:left="20"/>
              <w:spacing w:after="0" w:line="200" w:lineRule="exact"/>
              <w:rPr>
                <w:sz w:val="20"/>
                <w:szCs w:val="20"/>
                <w:color w:val="auto"/>
              </w:rPr>
            </w:pPr>
            <w:r>
              <w:rPr>
                <w:rFonts w:ascii="Arial" w:cs="Arial" w:eastAsia="Arial" w:hAnsi="Arial"/>
                <w:sz w:val="18"/>
                <w:szCs w:val="18"/>
                <w:color w:val="auto"/>
              </w:rPr>
              <w:t>Net other intangibles</w:t>
            </w:r>
          </w:p>
        </w:tc>
        <w:tc>
          <w:tcPr>
            <w:tcW w:w="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2,740,808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2,643,989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firstLine="480"/>
        <w:spacing w:after="0" w:line="279" w:lineRule="auto"/>
        <w:rPr>
          <w:sz w:val="20"/>
          <w:szCs w:val="20"/>
          <w:color w:val="auto"/>
        </w:rPr>
      </w:pPr>
      <w:r>
        <w:rPr>
          <w:rFonts w:ascii="Arial" w:cs="Arial" w:eastAsia="Arial" w:hAnsi="Arial"/>
          <w:sz w:val="17"/>
          <w:szCs w:val="17"/>
          <w:color w:val="auto"/>
        </w:rPr>
        <w:t>Amortization expense for the three months ended March 31, 2021 and 2020 totaled $95.1 million and $117.2 million, respectively. Amortization expense is included in Cost of revenues in the Condensed Consolidated Statements of Operations. For intangible assets subject to amortization, estimated amortization expense for the five fiscal years subsequent to December 31, 2020 is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shd w:val="clear" w:color="auto" w:fill="CCEEFF"/>
          </w:tcPr>
          <w:p>
            <w:pPr>
              <w:jc w:val="right"/>
              <w:ind w:right="2491"/>
              <w:spacing w:after="0"/>
              <w:rPr>
                <w:sz w:val="20"/>
                <w:szCs w:val="20"/>
                <w:color w:val="auto"/>
              </w:rPr>
            </w:pPr>
            <w:r>
              <w:rPr>
                <w:rFonts w:ascii="Arial" w:cs="Arial" w:eastAsia="Arial" w:hAnsi="Arial"/>
                <w:sz w:val="18"/>
                <w:szCs w:val="18"/>
                <w:color w:val="auto"/>
                <w:w w:val="89"/>
              </w:rPr>
              <w:t>2021</w:t>
            </w:r>
          </w:p>
        </w:tc>
        <w:tc>
          <w:tcPr>
            <w:tcW w:w="7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373,653</w:t>
            </w:r>
          </w:p>
        </w:tc>
      </w:tr>
      <w:tr>
        <w:trPr>
          <w:trHeight w:val="226"/>
        </w:trPr>
        <w:tc>
          <w:tcPr>
            <w:tcW w:w="2960" w:type="dxa"/>
            <w:vAlign w:val="bottom"/>
          </w:tcPr>
          <w:p>
            <w:pPr>
              <w:jc w:val="right"/>
              <w:ind w:right="2491"/>
              <w:spacing w:after="0"/>
              <w:rPr>
                <w:sz w:val="20"/>
                <w:szCs w:val="20"/>
                <w:color w:val="auto"/>
              </w:rPr>
            </w:pPr>
            <w:r>
              <w:rPr>
                <w:rFonts w:ascii="Arial" w:cs="Arial" w:eastAsia="Arial" w:hAnsi="Arial"/>
                <w:sz w:val="18"/>
                <w:szCs w:val="18"/>
                <w:color w:val="auto"/>
                <w:w w:val="89"/>
              </w:rPr>
              <w:t>2022</w:t>
            </w:r>
          </w:p>
        </w:tc>
        <w:tc>
          <w:tcPr>
            <w:tcW w:w="73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358,856</w:t>
            </w:r>
          </w:p>
        </w:tc>
      </w:tr>
      <w:tr>
        <w:trPr>
          <w:trHeight w:val="227"/>
        </w:trPr>
        <w:tc>
          <w:tcPr>
            <w:tcW w:w="2960" w:type="dxa"/>
            <w:vAlign w:val="bottom"/>
            <w:shd w:val="clear" w:color="auto" w:fill="CCEEFF"/>
          </w:tcPr>
          <w:p>
            <w:pPr>
              <w:jc w:val="right"/>
              <w:ind w:right="2491"/>
              <w:spacing w:after="0"/>
              <w:rPr>
                <w:sz w:val="20"/>
                <w:szCs w:val="20"/>
                <w:color w:val="auto"/>
              </w:rPr>
            </w:pPr>
            <w:r>
              <w:rPr>
                <w:rFonts w:ascii="Arial" w:cs="Arial" w:eastAsia="Arial" w:hAnsi="Arial"/>
                <w:sz w:val="18"/>
                <w:szCs w:val="18"/>
                <w:color w:val="auto"/>
                <w:w w:val="89"/>
              </w:rPr>
              <w:t>2023</w:t>
            </w:r>
          </w:p>
        </w:tc>
        <w:tc>
          <w:tcPr>
            <w:tcW w:w="7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315,448</w:t>
            </w:r>
          </w:p>
        </w:tc>
      </w:tr>
      <w:tr>
        <w:trPr>
          <w:trHeight w:val="226"/>
        </w:trPr>
        <w:tc>
          <w:tcPr>
            <w:tcW w:w="2960" w:type="dxa"/>
            <w:vAlign w:val="bottom"/>
          </w:tcPr>
          <w:p>
            <w:pPr>
              <w:jc w:val="right"/>
              <w:ind w:right="2491"/>
              <w:spacing w:after="0"/>
              <w:rPr>
                <w:sz w:val="20"/>
                <w:szCs w:val="20"/>
                <w:color w:val="auto"/>
              </w:rPr>
            </w:pPr>
            <w:r>
              <w:rPr>
                <w:rFonts w:ascii="Arial" w:cs="Arial" w:eastAsia="Arial" w:hAnsi="Arial"/>
                <w:sz w:val="18"/>
                <w:szCs w:val="18"/>
                <w:color w:val="auto"/>
                <w:w w:val="89"/>
              </w:rPr>
              <w:t>2024</w:t>
            </w:r>
          </w:p>
        </w:tc>
        <w:tc>
          <w:tcPr>
            <w:tcW w:w="73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280,394</w:t>
            </w:r>
          </w:p>
        </w:tc>
      </w:tr>
      <w:tr>
        <w:trPr>
          <w:trHeight w:val="227"/>
        </w:trPr>
        <w:tc>
          <w:tcPr>
            <w:tcW w:w="2960" w:type="dxa"/>
            <w:vAlign w:val="bottom"/>
            <w:shd w:val="clear" w:color="auto" w:fill="CCEEFF"/>
          </w:tcPr>
          <w:p>
            <w:pPr>
              <w:jc w:val="right"/>
              <w:ind w:right="2491"/>
              <w:spacing w:after="0"/>
              <w:rPr>
                <w:sz w:val="20"/>
                <w:szCs w:val="20"/>
                <w:color w:val="auto"/>
              </w:rPr>
            </w:pPr>
            <w:r>
              <w:rPr>
                <w:rFonts w:ascii="Arial" w:cs="Arial" w:eastAsia="Arial" w:hAnsi="Arial"/>
                <w:sz w:val="18"/>
                <w:szCs w:val="18"/>
                <w:color w:val="auto"/>
                <w:w w:val="89"/>
              </w:rPr>
              <w:t>2025</w:t>
            </w:r>
          </w:p>
        </w:tc>
        <w:tc>
          <w:tcPr>
            <w:tcW w:w="7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258,643</w:t>
            </w:r>
          </w:p>
        </w:tc>
      </w:tr>
      <w:tr>
        <w:trPr>
          <w:trHeight w:val="718"/>
        </w:trPr>
        <w:tc>
          <w:tcPr>
            <w:tcW w:w="2960" w:type="dxa"/>
            <w:vAlign w:val="bottom"/>
          </w:tcPr>
          <w:p>
            <w:pPr>
              <w:spacing w:after="0"/>
              <w:rPr>
                <w:sz w:val="24"/>
                <w:szCs w:val="24"/>
                <w:color w:val="auto"/>
              </w:rPr>
            </w:pPr>
          </w:p>
        </w:tc>
        <w:tc>
          <w:tcPr>
            <w:tcW w:w="7340" w:type="dxa"/>
            <w:vAlign w:val="bottom"/>
          </w:tcPr>
          <w:p>
            <w:pPr>
              <w:jc w:val="right"/>
              <w:ind w:right="4491"/>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9"/>
                <w:szCs w:val="9"/>
                <w:color w:val="auto"/>
              </w:rPr>
            </w:pPr>
          </w:p>
        </w:tc>
        <w:tc>
          <w:tcPr>
            <w:tcW w:w="7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w:t>
      </w:r>
    </w:p>
    <w:p>
      <w:pPr>
        <w:spacing w:after="0" w:line="119" w:lineRule="exact"/>
        <w:rPr>
          <w:sz w:val="20"/>
          <w:szCs w:val="20"/>
          <w:color w:val="auto"/>
        </w:rPr>
      </w:pPr>
    </w:p>
    <w:p>
      <w:pPr>
        <w:ind w:right="100" w:firstLine="480"/>
        <w:spacing w:after="0" w:line="26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73" w:lineRule="exact"/>
        <w:rPr>
          <w:sz w:val="20"/>
          <w:szCs w:val="20"/>
          <w:color w:val="auto"/>
        </w:rPr>
      </w:pPr>
    </w:p>
    <w:p>
      <w:pPr>
        <w:ind w:right="100" w:firstLine="480"/>
        <w:spacing w:after="0" w:line="26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73" w:lineRule="exact"/>
        <w:rPr>
          <w:sz w:val="20"/>
          <w:szCs w:val="20"/>
          <w:color w:val="auto"/>
        </w:rPr>
      </w:pPr>
    </w:p>
    <w:p>
      <w:pPr>
        <w:ind w:right="160" w:firstLine="480"/>
        <w:spacing w:after="0" w:line="285" w:lineRule="auto"/>
        <w:rPr>
          <w:sz w:val="20"/>
          <w:szCs w:val="20"/>
          <w:color w:val="auto"/>
        </w:rPr>
      </w:pPr>
      <w:r>
        <w:rPr>
          <w:rFonts w:ascii="Arial" w:cs="Arial" w:eastAsia="Arial" w:hAnsi="Arial"/>
          <w:sz w:val="16"/>
          <w:szCs w:val="16"/>
          <w:color w:val="auto"/>
        </w:rPr>
        <w:t>The discounted cash flow models are dependent upon our estimates of future cash flows and other factors including estimates of (i) future operating performance, including future sales, long-term growth rates, operating margins, discount rates and the probability of achieving the estimated cash flows and</w:t>
      </w:r>
    </w:p>
    <w:p>
      <w:pPr>
        <w:spacing w:after="0" w:line="1" w:lineRule="exact"/>
        <w:rPr>
          <w:sz w:val="20"/>
          <w:szCs w:val="20"/>
          <w:color w:val="auto"/>
        </w:rPr>
      </w:pPr>
    </w:p>
    <w:p>
      <w:pPr>
        <w:ind w:right="40" w:firstLine="7"/>
        <w:spacing w:after="0" w:line="267" w:lineRule="auto"/>
        <w:tabs>
          <w:tab w:leader="none" w:pos="261"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economic conditions. These assumptions are based on significant inputs not observable in the market and thus represent Level 3 measurements within the fair value hierarchy. The discount rates applied to the estimated cash flows are determined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74" w:lineRule="exact"/>
        <w:rPr>
          <w:sz w:val="20"/>
          <w:szCs w:val="20"/>
          <w:color w:val="auto"/>
        </w:rPr>
      </w:pPr>
    </w:p>
    <w:p>
      <w:pPr>
        <w:ind w:right="20" w:firstLine="480"/>
        <w:spacing w:after="0" w:line="267" w:lineRule="auto"/>
        <w:rPr>
          <w:sz w:val="20"/>
          <w:szCs w:val="20"/>
          <w:color w:val="auto"/>
        </w:rPr>
      </w:pPr>
      <w:r>
        <w:rPr>
          <w:rFonts w:ascii="Arial" w:cs="Arial" w:eastAsia="Arial" w:hAnsi="Arial"/>
          <w:sz w:val="18"/>
          <w:szCs w:val="18"/>
          <w:color w:val="auto"/>
        </w:rPr>
        <w:t>During the three months ended March 31, 2021 and 2020, the Company incurred the following goodwill and other intangible asset impairment charges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57"/>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860" w:type="dxa"/>
            <w:vAlign w:val="bottom"/>
          </w:tcPr>
          <w:p>
            <w:pPr>
              <w:jc w:val="right"/>
              <w:ind w:right="6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2,882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63,751</w:t>
            </w:r>
          </w:p>
        </w:tc>
      </w:tr>
    </w:tbl>
    <w:p>
      <w:pPr>
        <w:spacing w:after="0" w:line="96" w:lineRule="exact"/>
        <w:rPr>
          <w:sz w:val="20"/>
          <w:szCs w:val="20"/>
          <w:color w:val="auto"/>
        </w:rPr>
      </w:pPr>
    </w:p>
    <w:p>
      <w:pPr>
        <w:ind w:right="640" w:firstLine="480"/>
        <w:spacing w:after="0" w:line="257" w:lineRule="auto"/>
        <w:rPr>
          <w:sz w:val="20"/>
          <w:szCs w:val="20"/>
          <w:color w:val="auto"/>
        </w:rPr>
      </w:pPr>
      <w:r>
        <w:rPr>
          <w:rFonts w:ascii="Arial" w:cs="Arial" w:eastAsia="Arial" w:hAnsi="Arial"/>
          <w:sz w:val="18"/>
          <w:szCs w:val="18"/>
          <w:color w:val="auto"/>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81" w:lineRule="exact"/>
        <w:rPr>
          <w:sz w:val="20"/>
          <w:szCs w:val="20"/>
          <w:color w:val="auto"/>
        </w:rPr>
      </w:pPr>
    </w:p>
    <w:p>
      <w:pPr>
        <w:ind w:right="260" w:firstLine="480"/>
        <w:spacing w:after="0" w:line="252" w:lineRule="auto"/>
        <w:rPr>
          <w:sz w:val="20"/>
          <w:szCs w:val="20"/>
          <w:color w:val="auto"/>
        </w:rPr>
      </w:pPr>
      <w:r>
        <w:rPr>
          <w:rFonts w:ascii="Arial" w:cs="Arial" w:eastAsia="Arial" w:hAnsi="Arial"/>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86" w:lineRule="exact"/>
        <w:rPr>
          <w:sz w:val="20"/>
          <w:szCs w:val="20"/>
          <w:color w:val="auto"/>
        </w:rPr>
      </w:pPr>
    </w:p>
    <w:p>
      <w:pPr>
        <w:ind w:right="460" w:firstLine="480"/>
        <w:spacing w:after="0" w:line="330" w:lineRule="auto"/>
        <w:rPr>
          <w:sz w:val="20"/>
          <w:szCs w:val="20"/>
          <w:color w:val="auto"/>
        </w:rPr>
      </w:pPr>
      <w:r>
        <w:rPr>
          <w:rFonts w:ascii="Arial" w:cs="Arial" w:eastAsia="Arial" w:hAnsi="Arial"/>
          <w:sz w:val="16"/>
          <w:szCs w:val="16"/>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CONTRACT ASSETS AND LIABILITIES</w:t>
      </w:r>
    </w:p>
    <w:p>
      <w:pPr>
        <w:spacing w:after="0" w:line="119" w:lineRule="exact"/>
        <w:rPr>
          <w:sz w:val="20"/>
          <w:szCs w:val="20"/>
          <w:color w:val="auto"/>
        </w:rPr>
      </w:pPr>
    </w:p>
    <w:p>
      <w:pPr>
        <w:ind w:firstLine="480"/>
        <w:spacing w:after="0" w:line="268"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March 31, 2021,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6" w:lineRule="exact"/>
        <w:rPr>
          <w:sz w:val="20"/>
          <w:szCs w:val="20"/>
          <w:color w:val="auto"/>
        </w:rPr>
      </w:pPr>
    </w:p>
    <w:p>
      <w:pPr>
        <w:jc w:val="both"/>
        <w:ind w:right="600" w:firstLine="480"/>
        <w:spacing w:after="0" w:line="257"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6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00" w:type="dxa"/>
            <w:vAlign w:val="bottom"/>
          </w:tcPr>
          <w:p>
            <w:pPr>
              <w:jc w:val="right"/>
              <w:ind w:right="337"/>
              <w:spacing w:after="0"/>
              <w:rPr>
                <w:sz w:val="20"/>
                <w:szCs w:val="20"/>
                <w:color w:val="auto"/>
              </w:rPr>
            </w:pPr>
            <w:r>
              <w:rPr>
                <w:rFonts w:ascii="Arial" w:cs="Arial" w:eastAsia="Arial" w:hAnsi="Arial"/>
                <w:sz w:val="14"/>
                <w:szCs w:val="14"/>
                <w:b w:val="1"/>
                <w:bCs w:val="1"/>
                <w:color w:val="auto"/>
              </w:rPr>
              <w:t>% Change</w:t>
            </w:r>
          </w:p>
        </w:tc>
      </w:tr>
      <w:tr>
        <w:trPr>
          <w:trHeight w:val="226"/>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net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rPr>
              <w:t>Contract liabilities, net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19"/>
                <w:szCs w:val="19"/>
                <w:color w:val="auto"/>
              </w:rPr>
            </w:pPr>
          </w:p>
        </w:tc>
        <w:tc>
          <w:tcPr>
            <w:tcW w:w="440" w:type="dxa"/>
            <w:vAlign w:val="bottom"/>
          </w:tcPr>
          <w:p>
            <w:pPr>
              <w:jc w:val="right"/>
              <w:ind w:right="25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560" w:right="60" w:hanging="313"/>
        <w:spacing w:after="0" w:line="278" w:lineRule="auto"/>
        <w:tabs>
          <w:tab w:leader="none" w:pos="552" w:val="left"/>
        </w:tabs>
        <w:numPr>
          <w:ilvl w:val="0"/>
          <w:numId w:val="13"/>
        </w:numPr>
        <w:rPr>
          <w:rFonts w:ascii="Arial" w:cs="Arial" w:eastAsia="Arial" w:hAnsi="Arial"/>
          <w:sz w:val="12"/>
          <w:szCs w:val="12"/>
          <w:color w:val="auto"/>
        </w:rPr>
      </w:pPr>
      <w:r>
        <w:rPr>
          <w:rFonts w:ascii="Arial" w:cs="Arial" w:eastAsia="Arial" w:hAnsi="Arial"/>
          <w:sz w:val="12"/>
          <w:szCs w:val="12"/>
          <w:color w:val="auto"/>
        </w:rPr>
        <w:t>At March 31, 2021 and December 31, 2020, approximately $3.0 million and $3.2 million, respectively, of these contract asset amounts are classified as current and are included in Prepaid expenses and other current assets in the Company’s Condensed Consolidated Balance Sheets. The remaining amounts are classified as noncurrent and are included in Other assets.</w:t>
      </w:r>
    </w:p>
    <w:p>
      <w:pPr>
        <w:ind w:left="560" w:right="80" w:hanging="313"/>
        <w:spacing w:after="0" w:line="272" w:lineRule="auto"/>
        <w:tabs>
          <w:tab w:leader="none" w:pos="552" w:val="left"/>
        </w:tabs>
        <w:numPr>
          <w:ilvl w:val="0"/>
          <w:numId w:val="13"/>
        </w:numPr>
        <w:rPr>
          <w:rFonts w:ascii="Arial" w:cs="Arial" w:eastAsia="Arial" w:hAnsi="Arial"/>
          <w:sz w:val="13"/>
          <w:szCs w:val="13"/>
          <w:color w:val="auto"/>
        </w:rPr>
      </w:pPr>
      <w:r>
        <w:rPr>
          <w:rFonts w:ascii="Arial" w:cs="Arial" w:eastAsia="Arial" w:hAnsi="Arial"/>
          <w:sz w:val="13"/>
          <w:szCs w:val="13"/>
          <w:color w:val="auto"/>
        </w:rPr>
        <w:t>At both March 31, 2021 and December 31, 2020, approximately $1.4 million of these contract liability amounts are classified as current and are included in Accounts payable and accrued expenses in the Company’s Condensed Consolidated Balance Sheets. The remaining amounts are classified as noncurrent and are included in Other liabilities. During the three months ended March 31, 2021, approximately $0.1 million of revenue was recognized that was included in the contract liability balance at December 31, 2020.</w:t>
      </w:r>
    </w:p>
    <w:p>
      <w:pPr>
        <w:spacing w:after="0" w:line="72" w:lineRule="exact"/>
        <w:rPr>
          <w:sz w:val="20"/>
          <w:szCs w:val="20"/>
          <w:color w:val="auto"/>
        </w:rPr>
      </w:pPr>
    </w:p>
    <w:p>
      <w:pPr>
        <w:ind w:right="400" w:firstLine="480"/>
        <w:spacing w:after="0" w:line="297" w:lineRule="auto"/>
        <w:rPr>
          <w:sz w:val="20"/>
          <w:szCs w:val="20"/>
          <w:color w:val="auto"/>
        </w:rPr>
      </w:pPr>
      <w:r>
        <w:rPr>
          <w:rFonts w:ascii="Arial" w:cs="Arial" w:eastAsia="Arial" w:hAnsi="Arial"/>
          <w:sz w:val="17"/>
          <w:szCs w:val="17"/>
          <w:color w:val="auto"/>
        </w:rPr>
        <w:t>During the three months ended March 31, 2021, we recognized revenue of $13.6 million relating to performance obligations satisfied, or partially satisfied, in prior periods. Such revenue generally relates to changes in estimates with respect to our variable consideration.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payable and accrued expenses include the following at March 31, 2021 and December 31, 2020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3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94,408</w:t>
            </w:r>
          </w:p>
        </w:tc>
        <w:tc>
          <w:tcPr>
            <w:tcW w:w="0" w:type="dxa"/>
            <w:vAlign w:val="bottom"/>
          </w:tcPr>
          <w:p>
            <w:pPr>
              <w:spacing w:after="0"/>
              <w:rPr>
                <w:sz w:val="1"/>
                <w:szCs w:val="1"/>
                <w:color w:val="auto"/>
              </w:rPr>
            </w:pPr>
          </w:p>
        </w:tc>
      </w:tr>
      <w:tr>
        <w:trPr>
          <w:trHeight w:val="226"/>
        </w:trPr>
        <w:tc>
          <w:tcPr>
            <w:tcW w:w="480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209,194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207,916</w:t>
            </w: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126,644</w:t>
            </w:r>
          </w:p>
        </w:tc>
        <w:tc>
          <w:tcPr>
            <w:tcW w:w="0" w:type="dxa"/>
            <w:vAlign w:val="bottom"/>
          </w:tcPr>
          <w:p>
            <w:pPr>
              <w:spacing w:after="0"/>
              <w:rPr>
                <w:sz w:val="1"/>
                <w:szCs w:val="1"/>
                <w:color w:val="auto"/>
              </w:rPr>
            </w:pPr>
          </w:p>
        </w:tc>
      </w:tr>
      <w:tr>
        <w:trPr>
          <w:trHeight w:val="226"/>
        </w:trPr>
        <w:tc>
          <w:tcPr>
            <w:tcW w:w="480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98,105</w:t>
            </w:r>
          </w:p>
        </w:tc>
        <w:tc>
          <w:tcPr>
            <w:tcW w:w="0" w:type="dxa"/>
            <w:vAlign w:val="bottom"/>
          </w:tcPr>
          <w:p>
            <w:pPr>
              <w:spacing w:after="0"/>
              <w:rPr>
                <w:sz w:val="1"/>
                <w:szCs w:val="1"/>
                <w:color w:val="auto"/>
              </w:rPr>
            </w:pPr>
          </w:p>
        </w:tc>
      </w:tr>
      <w:tr>
        <w:trPr>
          <w:trHeight w:val="226"/>
        </w:trPr>
        <w:tc>
          <w:tcPr>
            <w:tcW w:w="4800" w:type="dxa"/>
            <w:vAlign w:val="bottom"/>
          </w:tcPr>
          <w:p>
            <w:pPr>
              <w:ind w:left="20"/>
              <w:spacing w:after="0"/>
              <w:rPr>
                <w:sz w:val="20"/>
                <w:szCs w:val="20"/>
                <w:color w:val="auto"/>
              </w:rPr>
            </w:pPr>
            <w:r>
              <w:rPr>
                <w:rFonts w:ascii="Arial" w:cs="Arial" w:eastAsia="Arial" w:hAnsi="Arial"/>
                <w:sz w:val="18"/>
                <w:szCs w:val="18"/>
                <w:color w:val="auto"/>
              </w:rPr>
              <w:t>Accrued payroll and related benefits</w:t>
            </w: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101,658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59,745</w:t>
            </w:r>
          </w:p>
        </w:tc>
        <w:tc>
          <w:tcPr>
            <w:tcW w:w="0" w:type="dxa"/>
            <w:vAlign w:val="bottom"/>
          </w:tcPr>
          <w:p>
            <w:pPr>
              <w:spacing w:after="0"/>
              <w:rPr>
                <w:sz w:val="1"/>
                <w:szCs w:val="1"/>
                <w:color w:val="auto"/>
              </w:rPr>
            </w:pPr>
          </w:p>
        </w:tc>
      </w:tr>
      <w:tr>
        <w:trPr>
          <w:trHeight w:val="226"/>
        </w:trPr>
        <w:tc>
          <w:tcPr>
            <w:tcW w:w="4800" w:type="dxa"/>
            <w:vAlign w:val="bottom"/>
          </w:tcPr>
          <w:p>
            <w:pPr>
              <w:ind w:left="20"/>
              <w:spacing w:after="0"/>
              <w:rPr>
                <w:sz w:val="20"/>
                <w:szCs w:val="20"/>
                <w:color w:val="auto"/>
              </w:rPr>
            </w:pPr>
            <w:r>
              <w:rPr>
                <w:rFonts w:ascii="Arial" w:cs="Arial" w:eastAsia="Arial" w:hAnsi="Arial"/>
                <w:sz w:val="18"/>
                <w:szCs w:val="18"/>
                <w:color w:val="auto"/>
              </w:rPr>
              <w:t>Acquisition-related contingent consideration—current</w:t>
            </w: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108,287</w:t>
            </w:r>
          </w:p>
        </w:tc>
        <w:tc>
          <w:tcPr>
            <w:tcW w:w="0" w:type="dxa"/>
            <w:vAlign w:val="bottom"/>
          </w:tcPr>
          <w:p>
            <w:pPr>
              <w:spacing w:after="0"/>
              <w:rPr>
                <w:sz w:val="1"/>
                <w:szCs w:val="1"/>
                <w:color w:val="auto"/>
              </w:rPr>
            </w:pPr>
          </w:p>
        </w:tc>
      </w:tr>
      <w:tr>
        <w:trPr>
          <w:trHeight w:val="219"/>
        </w:trPr>
        <w:tc>
          <w:tcPr>
            <w:tcW w:w="4800" w:type="dxa"/>
            <w:vAlign w:val="bottom"/>
          </w:tcPr>
          <w:p>
            <w:pPr>
              <w:ind w:left="140"/>
              <w:spacing w:after="0" w:line="205" w:lineRule="exact"/>
              <w:rPr>
                <w:sz w:val="20"/>
                <w:szCs w:val="20"/>
                <w:color w:val="auto"/>
              </w:rPr>
            </w:pPr>
            <w:r>
              <w:rPr>
                <w:rFonts w:ascii="Arial" w:cs="Arial" w:eastAsia="Arial" w:hAnsi="Arial"/>
                <w:sz w:val="18"/>
                <w:szCs w:val="18"/>
                <w:color w:val="auto"/>
              </w:rPr>
              <w:t>Total</w:t>
            </w:r>
          </w:p>
        </w:tc>
        <w:tc>
          <w:tcPr>
            <w:tcW w:w="3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855,405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835,940</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620" w:type="dxa"/>
            <w:vAlign w:val="bottom"/>
            <w:vMerge w:val="restart"/>
          </w:tcPr>
          <w:p>
            <w:pPr>
              <w:jc w:val="right"/>
              <w:ind w:right="2611"/>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5"/>
        </w:trPr>
        <w:tc>
          <w:tcPr>
            <w:tcW w:w="48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information about the Company’s total indebtedness at March 31, 2021 and December 31, 2020 (dollars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88"/>
              </w:rPr>
              <w:t>December 31, 2020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2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Effective</w:t>
            </w:r>
          </w:p>
        </w:tc>
        <w:tc>
          <w:tcPr>
            <w:tcW w:w="10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Carrying Amount</w:t>
            </w:r>
          </w:p>
        </w:tc>
        <w:tc>
          <w:tcPr>
            <w:tcW w:w="100" w:type="dxa"/>
            <w:vAlign w:val="bottom"/>
          </w:tcPr>
          <w:p>
            <w:pPr>
              <w:spacing w:after="0"/>
              <w:rPr>
                <w:sz w:val="11"/>
                <w:szCs w:val="11"/>
                <w:color w:val="auto"/>
              </w:rPr>
            </w:pPr>
          </w:p>
        </w:tc>
        <w:tc>
          <w:tcPr>
            <w:tcW w:w="1140" w:type="dxa"/>
            <w:vAlign w:val="bottom"/>
            <w:gridSpan w:val="3"/>
          </w:tcPr>
          <w:p>
            <w:pPr>
              <w:jc w:val="right"/>
              <w:ind w:right="400"/>
              <w:spacing w:after="0" w:line="133" w:lineRule="exact"/>
              <w:rPr>
                <w:sz w:val="20"/>
                <w:szCs w:val="20"/>
                <w:color w:val="auto"/>
              </w:rPr>
            </w:pPr>
            <w:r>
              <w:rPr>
                <w:rFonts w:ascii="Arial" w:cs="Arial" w:eastAsia="Arial" w:hAnsi="Arial"/>
                <w:sz w:val="14"/>
                <w:szCs w:val="14"/>
                <w:b w:val="1"/>
                <w:bCs w:val="1"/>
                <w:color w:val="auto"/>
              </w:rPr>
              <w:t>Effective</w:t>
            </w:r>
          </w:p>
        </w:tc>
        <w:tc>
          <w:tcPr>
            <w:tcW w:w="12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Principal Amount</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Carrying Amount</w:t>
            </w:r>
          </w:p>
        </w:tc>
        <w:tc>
          <w:tcPr>
            <w:tcW w:w="0" w:type="dxa"/>
            <w:vAlign w:val="bottom"/>
          </w:tcPr>
          <w:p>
            <w:pPr>
              <w:spacing w:after="0"/>
              <w:rPr>
                <w:sz w:val="1"/>
                <w:szCs w:val="1"/>
                <w:color w:val="auto"/>
              </w:rPr>
            </w:pPr>
          </w:p>
        </w:tc>
      </w:tr>
      <w:tr>
        <w:trPr>
          <w:trHeight w:val="186"/>
        </w:trPr>
        <w:tc>
          <w:tcPr>
            <w:tcW w:w="50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7.25%</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7.25 %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26"/>
        </w:trPr>
        <w:tc>
          <w:tcPr>
            <w:tcW w:w="500" w:type="dxa"/>
            <w:vAlign w:val="bottom"/>
          </w:tcPr>
          <w:p>
            <w:pPr>
              <w:ind w:left="20"/>
              <w:spacing w:after="0"/>
              <w:rPr>
                <w:sz w:val="20"/>
                <w:szCs w:val="20"/>
                <w:color w:val="auto"/>
              </w:rPr>
            </w:pPr>
            <w:r>
              <w:rPr>
                <w:rFonts w:ascii="Arial" w:cs="Arial" w:eastAsia="Arial" w:hAnsi="Arial"/>
                <w:sz w:val="18"/>
                <w:szCs w:val="18"/>
                <w:color w:val="auto"/>
                <w:w w:val="90"/>
              </w:rPr>
              <w:t>5.75%</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920" w:type="dxa"/>
            <w:vAlign w:val="bottom"/>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0" w:type="dxa"/>
            <w:vAlign w:val="bottom"/>
          </w:tcPr>
          <w:p>
            <w:pPr>
              <w:spacing w:after="0"/>
              <w:rPr>
                <w:sz w:val="1"/>
                <w:szCs w:val="1"/>
                <w:color w:val="auto"/>
              </w:rPr>
            </w:pPr>
          </w:p>
        </w:tc>
      </w:tr>
      <w:tr>
        <w:trPr>
          <w:trHeight w:val="227"/>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26"/>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920" w:type="dxa"/>
            <w:vAlign w:val="bottom"/>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56,063</w:t>
            </w:r>
          </w:p>
        </w:tc>
        <w:tc>
          <w:tcPr>
            <w:tcW w:w="0" w:type="dxa"/>
            <w:vAlign w:val="bottom"/>
          </w:tcPr>
          <w:p>
            <w:pPr>
              <w:spacing w:after="0"/>
              <w:rPr>
                <w:sz w:val="1"/>
                <w:szCs w:val="1"/>
                <w:color w:val="auto"/>
              </w:rPr>
            </w:pPr>
          </w:p>
        </w:tc>
      </w:tr>
      <w:tr>
        <w:trPr>
          <w:trHeight w:val="227"/>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5.875% Senior Secured Notes due 2024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297,267</w:t>
            </w:r>
          </w:p>
        </w:tc>
        <w:tc>
          <w:tcPr>
            <w:tcW w:w="0" w:type="dxa"/>
            <w:vAlign w:val="bottom"/>
          </w:tcPr>
          <w:p>
            <w:pPr>
              <w:spacing w:after="0"/>
              <w:rPr>
                <w:sz w:val="1"/>
                <w:szCs w:val="1"/>
                <w:color w:val="auto"/>
              </w:rPr>
            </w:pPr>
          </w:p>
        </w:tc>
      </w:tr>
      <w:tr>
        <w:trPr>
          <w:trHeight w:val="226"/>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920" w:type="dxa"/>
            <w:vAlign w:val="bottom"/>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7.50%</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1,995,142</w:t>
            </w:r>
          </w:p>
        </w:tc>
        <w:tc>
          <w:tcPr>
            <w:tcW w:w="0" w:type="dxa"/>
            <w:vAlign w:val="bottom"/>
          </w:tcPr>
          <w:p>
            <w:pPr>
              <w:spacing w:after="0"/>
              <w:rPr>
                <w:sz w:val="1"/>
                <w:szCs w:val="1"/>
                <w:color w:val="auto"/>
              </w:rPr>
            </w:pPr>
          </w:p>
        </w:tc>
      </w:tr>
      <w:tr>
        <w:trPr>
          <w:trHeight w:val="174"/>
        </w:trPr>
        <w:tc>
          <w:tcPr>
            <w:tcW w:w="500" w:type="dxa"/>
            <w:vAlign w:val="bottom"/>
          </w:tcPr>
          <w:p>
            <w:pPr>
              <w:ind w:left="20"/>
              <w:spacing w:after="0" w:line="175" w:lineRule="exact"/>
              <w:rPr>
                <w:sz w:val="20"/>
                <w:szCs w:val="20"/>
                <w:color w:val="auto"/>
              </w:rPr>
            </w:pPr>
            <w:r>
              <w:rPr>
                <w:rFonts w:ascii="Arial" w:cs="Arial" w:eastAsia="Arial" w:hAnsi="Arial"/>
                <w:sz w:val="18"/>
                <w:szCs w:val="18"/>
                <w:color w:val="auto"/>
                <w:w w:val="90"/>
              </w:rPr>
              <w:t>9.50%</w:t>
            </w:r>
          </w:p>
        </w:tc>
        <w:tc>
          <w:tcPr>
            <w:tcW w:w="3080" w:type="dxa"/>
            <w:vAlign w:val="bottom"/>
          </w:tcPr>
          <w:p>
            <w:pPr>
              <w:ind w:left="20"/>
              <w:spacing w:after="0" w:line="175" w:lineRule="exact"/>
              <w:rPr>
                <w:sz w:val="20"/>
                <w:szCs w:val="20"/>
                <w:color w:val="auto"/>
              </w:rPr>
            </w:pPr>
            <w:r>
              <w:rPr>
                <w:rFonts w:ascii="Arial" w:cs="Arial" w:eastAsia="Arial" w:hAnsi="Arial"/>
                <w:sz w:val="18"/>
                <w:szCs w:val="18"/>
                <w:color w:val="auto"/>
                <w:w w:val="96"/>
              </w:rPr>
              <w:t>Senior Secured Second Lien Notes due</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9.68 %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932,620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9.68 %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932,395</w:t>
            </w:r>
          </w:p>
        </w:tc>
        <w:tc>
          <w:tcPr>
            <w:tcW w:w="0" w:type="dxa"/>
            <w:vAlign w:val="bottom"/>
          </w:tcPr>
          <w:p>
            <w:pPr>
              <w:spacing w:after="0"/>
              <w:rPr>
                <w:sz w:val="1"/>
                <w:szCs w:val="1"/>
                <w:color w:val="auto"/>
              </w:rPr>
            </w:pPr>
          </w:p>
        </w:tc>
      </w:tr>
      <w:tr>
        <w:trPr>
          <w:trHeight w:val="225"/>
        </w:trPr>
        <w:tc>
          <w:tcPr>
            <w:tcW w:w="500" w:type="dxa"/>
            <w:vAlign w:val="bottom"/>
          </w:tcPr>
          <w:p>
            <w:pPr>
              <w:ind w:left="20"/>
              <w:spacing w:after="0"/>
              <w:rPr>
                <w:sz w:val="20"/>
                <w:szCs w:val="20"/>
                <w:color w:val="auto"/>
              </w:rPr>
            </w:pPr>
            <w:r>
              <w:rPr>
                <w:rFonts w:ascii="Arial" w:cs="Arial" w:eastAsia="Arial" w:hAnsi="Arial"/>
                <w:sz w:val="18"/>
                <w:szCs w:val="18"/>
                <w:color w:val="auto"/>
              </w:rPr>
              <w:t>2027</w:t>
            </w:r>
          </w:p>
        </w:tc>
        <w:tc>
          <w:tcPr>
            <w:tcW w:w="30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6.00%</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1,251,725</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6.125% Senior Secured Notes due 2029</w:t>
            </w:r>
          </w:p>
        </w:tc>
        <w:tc>
          <w:tcPr>
            <w:tcW w:w="920" w:type="dxa"/>
            <w:vAlign w:val="bottom"/>
          </w:tcPr>
          <w:p>
            <w:pPr>
              <w:jc w:val="right"/>
              <w:spacing w:after="0"/>
              <w:rPr>
                <w:sz w:val="20"/>
                <w:szCs w:val="20"/>
                <w:color w:val="auto"/>
              </w:rPr>
            </w:pPr>
            <w:r>
              <w:rPr>
                <w:rFonts w:ascii="Arial" w:cs="Arial" w:eastAsia="Arial" w:hAnsi="Arial"/>
                <w:sz w:val="18"/>
                <w:szCs w:val="18"/>
                <w:color w:val="auto"/>
              </w:rPr>
              <w:t>6.34 %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1,277,419</w:t>
            </w: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1,958,822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3,274,330</w:t>
            </w:r>
          </w:p>
        </w:tc>
        <w:tc>
          <w:tcPr>
            <w:tcW w:w="0" w:type="dxa"/>
            <w:vAlign w:val="bottom"/>
          </w:tcPr>
          <w:p>
            <w:pPr>
              <w:spacing w:after="0"/>
              <w:rPr>
                <w:sz w:val="1"/>
                <w:szCs w:val="1"/>
                <w:color w:val="auto"/>
              </w:rPr>
            </w:pPr>
          </w:p>
        </w:tc>
      </w:tr>
      <w:tr>
        <w:trPr>
          <w:trHeight w:val="226"/>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1"/>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net</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8,375,968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8,277,964</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8,376,443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8,314,728</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portion, net</w:t>
            </w: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200,342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200,342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41"/>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Total long-term debt, less current portion, net</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8,175,626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8,077,622</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8,342,293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8,280,578</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80"/>
        <w:spacing w:after="0" w:line="329" w:lineRule="auto"/>
        <w:rPr>
          <w:sz w:val="20"/>
          <w:szCs w:val="20"/>
          <w:color w:val="auto"/>
        </w:rPr>
      </w:pPr>
      <w:r>
        <w:rPr>
          <w:rFonts w:ascii="Arial" w:cs="Arial" w:eastAsia="Arial" w:hAnsi="Arial"/>
          <w:sz w:val="14"/>
          <w:szCs w:val="14"/>
          <w:color w:val="auto"/>
        </w:rPr>
        <w:t xml:space="preserve">The Company and its subsidiaries, with certain customary exceptions, guarantee or serve as issuers or borrowers of the debt instruments representing substantially all of the Company’s indebtedness at March 31, 2021. The obligations under (i) the 5.875% Senior Secured Notes due 2024, (ii) the 7.50% Senior Secured Notes due 2027, (iii) the 6.125% Senior Secured Notes due 2029 and (iv) the Credit Agreement and related loan documents are secured on a </w:t>
      </w:r>
      <w:r>
        <w:rPr>
          <w:rFonts w:ascii="Arial" w:cs="Arial" w:eastAsia="Arial" w:hAnsi="Arial"/>
          <w:sz w:val="14"/>
          <w:szCs w:val="14"/>
          <w:i w:val="1"/>
          <w:iCs w:val="1"/>
          <w:color w:val="auto"/>
        </w:rPr>
        <w:t xml:space="preserve">pari passu </w:t>
      </w:r>
      <w:r>
        <w:rPr>
          <w:rFonts w:ascii="Arial" w:cs="Arial" w:eastAsia="Arial" w:hAnsi="Arial"/>
          <w:sz w:val="14"/>
          <w:szCs w:val="14"/>
          <w:color w:val="auto"/>
        </w:rPr>
        <w:t>basis by a perfected first priority lien (subject to certain permitted liens) on the collateral securing such instruments, which collateral represents</w:t>
      </w:r>
      <w:r>
        <w:rPr>
          <w:rFonts w:ascii="Arial" w:cs="Arial" w:eastAsia="Arial" w:hAnsi="Arial"/>
          <w:sz w:val="14"/>
          <w:szCs w:val="14"/>
          <w:i w:val="1"/>
          <w:iCs w:val="1"/>
          <w:color w:val="auto"/>
        </w:rPr>
        <w:t xml:space="preserve"> </w:t>
      </w:r>
      <w:r>
        <w:rPr>
          <w:rFonts w:ascii="Arial" w:cs="Arial" w:eastAsia="Arial" w:hAnsi="Arial"/>
          <w:sz w:val="14"/>
          <w:szCs w:val="14"/>
          <w:color w:val="auto"/>
        </w:rPr>
        <w:t>substantially all of the assets of the issuers or borrowers and the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spacing w:after="0" w:line="253" w:lineRule="exact"/>
        <w:rPr>
          <w:sz w:val="20"/>
          <w:szCs w:val="20"/>
          <w:color w:val="auto"/>
        </w:rPr>
      </w:pPr>
    </w:p>
    <w:p>
      <w:pPr>
        <w:ind w:right="80" w:firstLine="480"/>
        <w:spacing w:after="0" w:line="279" w:lineRule="auto"/>
        <w:rPr>
          <w:sz w:val="20"/>
          <w:szCs w:val="20"/>
          <w:color w:val="auto"/>
        </w:rPr>
      </w:pPr>
      <w:r>
        <w:rPr>
          <w:rFonts w:ascii="Arial" w:cs="Arial" w:eastAsia="Arial" w:hAnsi="Arial"/>
          <w:sz w:val="17"/>
          <w:szCs w:val="17"/>
          <w:color w:val="auto"/>
        </w:rPr>
        <w:t>The aggregate estimated fair value of the Company’s long-term debt, which was estimated using inputs based on quoted market prices for the same or similar debt issuances, was $8.4 billion and $8.4 billion at March 31, 2021 and December 31, 2020, respectively. Based on this valuation methodology, we determined these debt instruments represent Level 2 measurements within the fair value hierarchy.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19" w:lineRule="exact"/>
        <w:rPr>
          <w:sz w:val="20"/>
          <w:szCs w:val="20"/>
          <w:color w:val="auto"/>
        </w:rPr>
      </w:pPr>
    </w:p>
    <w:p>
      <w:pPr>
        <w:ind w:right="40" w:firstLine="480"/>
        <w:spacing w:after="0" w:line="267" w:lineRule="auto"/>
        <w:rPr>
          <w:sz w:val="20"/>
          <w:szCs w:val="20"/>
          <w:color w:val="auto"/>
        </w:rPr>
      </w:pPr>
      <w:r>
        <w:rPr>
          <w:rFonts w:ascii="Arial" w:cs="Arial" w:eastAsia="Arial" w:hAnsi="Arial"/>
          <w:sz w:val="17"/>
          <w:szCs w:val="17"/>
          <w:color w:val="auto"/>
        </w:rPr>
        <w:t>Following the March 2021 Refinancing Transactions (as defined and further described below), the Company and certain of its subsidiaries are party to a credit agreement (as amended and/or restated from time to time, the Credit Agreement), which provides for (i) a $1,000.0 million senior secured revolving credit facility (the Revolving Credit Facility) and (ii) a $2,000.0 million senior secured term loan facility (the Term Loan Facility and, together with the Revolving Credit Facility, the Credit Facilities). Current amounts outstanding under the Credit Facilities are set forth in the table above. After giving effect to borrowings under the Revolving Credit Facility and issued and outstanding letters of credit, approximately $695.5 million of remaining credit is available under the Revolving Credit Facility as of March 31, 2021. The Company’s outstanding debt agreements contain a number of restrictive covenants, including certain limitations on the Company’s ability to incur additional indebtedness.</w:t>
      </w:r>
    </w:p>
    <w:p>
      <w:pPr>
        <w:spacing w:after="0" w:line="77"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The Credit Agreement contains affirmative and negative covenants that the Company believes to be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March 31, 2021 and December 31, 2020, we were in compliance with all such covenants.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83" w:lineRule="auto"/>
        <w:rPr>
          <w:sz w:val="20"/>
          <w:szCs w:val="20"/>
          <w:color w:val="auto"/>
        </w:rPr>
      </w:pPr>
      <w:r>
        <w:rPr>
          <w:rFonts w:ascii="Arial" w:cs="Arial" w:eastAsia="Arial" w:hAnsi="Arial"/>
          <w:sz w:val="16"/>
          <w:szCs w:val="16"/>
          <w:color w:val="auto"/>
        </w:rPr>
        <w:t>The commitments under the Revolving Credit Facility generally mature as follows: (i) approximately $76.0 million in April 2022 (provided however that such amounts will generally mature in October 2021 if the 7.25% Senior Notes due 2022 and the 5.75% Senior Notes due 2022 are not each refinanced or repaid in full prior to the date that is 91 days prior to their January 15, 2022 maturity dates), (ii) approximately $248.7 million in March 2024 and (iii) approximately $675.3 million in March 2026. Principal payments on the Term Loan Facility equal to 0.25% of the initial $2,000.0 million principal amount are generally payable quarterly, beginning on June 30, 2021 and extending until the Term Loan Facility’s ultimate maturity date in 2028 (which may spring to an earlier date as described below), at which time the remaining principal amount outstanding will be payable. The maturity date of the Term Loan Facility will be accelerated to: (i) December 2026 if the 7.50% Senior Secured Notes due 2027 have not been repaid or refinanced prior to the date that is 91 days prior to their April 1, 2027 maturity date and the related principal amount of such notes outstanding on such date is at least $500.0 million or (ii) May 2027 if the 9.50% Senior Secured Second Lien Notes due 2027 have not been repaid or refinanced prior to the date that is 91 days prior to their July 31, 2027 maturity date and the related principal amount of such notes outstanding on such date is at least $500.0 million.</w:t>
      </w:r>
    </w:p>
    <w:p>
      <w:pPr>
        <w:spacing w:after="0" w:line="69" w:lineRule="exact"/>
        <w:rPr>
          <w:sz w:val="20"/>
          <w:szCs w:val="20"/>
          <w:color w:val="auto"/>
        </w:rPr>
      </w:pPr>
    </w:p>
    <w:p>
      <w:pPr>
        <w:ind w:right="40" w:firstLine="480"/>
        <w:spacing w:after="0" w:line="285" w:lineRule="auto"/>
        <w:rPr>
          <w:sz w:val="20"/>
          <w:szCs w:val="20"/>
          <w:color w:val="auto"/>
        </w:rPr>
      </w:pPr>
      <w:r>
        <w:rPr>
          <w:rFonts w:ascii="Arial" w:cs="Arial" w:eastAsia="Arial" w:hAnsi="Arial"/>
          <w:sz w:val="16"/>
          <w:szCs w:val="16"/>
          <w:color w:val="auto"/>
        </w:rPr>
        <w:t>Borrowings under the Revolving Credit Facility bear interest, at the borrower’s election, at a rate equal to (i) an applicable margin between 1.50% and 3.00% depending on the Company’s Total Net Leverage Ratio plus London Interbank Offered Rate (LIBOR) or (ii) an applicable margin between 0.50% and</w:t>
      </w:r>
    </w:p>
    <w:p>
      <w:pPr>
        <w:spacing w:after="0" w:line="1" w:lineRule="exact"/>
        <w:rPr>
          <w:sz w:val="20"/>
          <w:szCs w:val="20"/>
          <w:color w:val="auto"/>
        </w:rPr>
      </w:pPr>
    </w:p>
    <w:p>
      <w:pPr>
        <w:jc w:val="both"/>
        <w:ind w:right="300"/>
        <w:spacing w:after="0" w:line="278" w:lineRule="auto"/>
        <w:rPr>
          <w:sz w:val="20"/>
          <w:szCs w:val="20"/>
          <w:color w:val="auto"/>
        </w:rPr>
      </w:pPr>
      <w:r>
        <w:rPr>
          <w:rFonts w:ascii="Arial" w:cs="Arial" w:eastAsia="Arial" w:hAnsi="Arial"/>
          <w:sz w:val="16"/>
          <w:szCs w:val="16"/>
          <w:color w:val="auto"/>
        </w:rPr>
        <w:t>2.00% depending on the Company’s Total Net Leverage Ratio plus the Alternate Base Rate (as defined in the Credit Agreement). In addition, borrowings under our Term Loan Facility bear interest, at the borrower’s election, at a rate equal to (i) 5.00% plus LIBOR, subject to a LIBOR floor of 0.75%, or (ii)</w:t>
      </w:r>
    </w:p>
    <w:p>
      <w:pPr>
        <w:spacing w:after="0"/>
        <w:rPr>
          <w:sz w:val="20"/>
          <w:szCs w:val="20"/>
          <w:color w:val="auto"/>
        </w:rPr>
      </w:pPr>
      <w:r>
        <w:rPr>
          <w:rFonts w:ascii="Arial" w:cs="Arial" w:eastAsia="Arial" w:hAnsi="Arial"/>
          <w:sz w:val="18"/>
          <w:szCs w:val="18"/>
          <w:color w:val="auto"/>
        </w:rPr>
        <w:t>4.00% plus the Alternate Base Rate, subject to an Alternate Base Rate floor of 1.75%.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Senior Secured Notes</w:t>
      </w:r>
    </w:p>
    <w:p>
      <w:pPr>
        <w:spacing w:after="0" w:line="119" w:lineRule="exact"/>
        <w:rPr>
          <w:sz w:val="20"/>
          <w:szCs w:val="20"/>
          <w:color w:val="auto"/>
        </w:rPr>
      </w:pPr>
    </w:p>
    <w:p>
      <w:pPr>
        <w:ind w:right="60" w:firstLine="480"/>
        <w:spacing w:after="0" w:line="251" w:lineRule="auto"/>
        <w:rPr>
          <w:sz w:val="20"/>
          <w:szCs w:val="20"/>
          <w:color w:val="auto"/>
        </w:rPr>
      </w:pPr>
      <w:r>
        <w:rPr>
          <w:rFonts w:ascii="Arial" w:cs="Arial" w:eastAsia="Arial" w:hAnsi="Arial"/>
          <w:sz w:val="18"/>
          <w:szCs w:val="18"/>
          <w:color w:val="auto"/>
        </w:rPr>
        <w:t>Following the March 2021 Refinancing Transactions, our various senior notes and senior secured notes mature between 2022 and 2029. The indentures governing these notes generally allow for redemption prior to maturity, in whole or in part, subject to certain restrictions and limitations described therein, in the following ways:</w:t>
      </w:r>
    </w:p>
    <w:p>
      <w:pPr>
        <w:spacing w:after="0" w:line="1" w:lineRule="exact"/>
        <w:rPr>
          <w:sz w:val="20"/>
          <w:szCs w:val="20"/>
          <w:color w:val="auto"/>
        </w:rPr>
      </w:pPr>
    </w:p>
    <w:p>
      <w:pPr>
        <w:ind w:left="880" w:hanging="234"/>
        <w:spacing w:after="0" w:line="247" w:lineRule="auto"/>
        <w:tabs>
          <w:tab w:leader="none" w:pos="8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to, but excluding, the redemption date. As of March 31, 2021, the Non-Call Period has expired for each of our notes except for the 7.50% Senior Secured Notes due 2027, the 9.50% Senior Secured Second Lien Notes due 2027, the 6.00% Senior Notes due 2028 and the 6.125% Senior Secured Notes due 2029.</w:t>
      </w:r>
    </w:p>
    <w:p>
      <w:pPr>
        <w:spacing w:after="0" w:line="1" w:lineRule="exact"/>
        <w:rPr>
          <w:rFonts w:ascii="Arial" w:cs="Arial" w:eastAsia="Arial" w:hAnsi="Arial"/>
          <w:sz w:val="18"/>
          <w:szCs w:val="18"/>
          <w:color w:val="auto"/>
        </w:rPr>
      </w:pPr>
    </w:p>
    <w:p>
      <w:pPr>
        <w:ind w:left="880" w:right="220" w:hanging="234"/>
        <w:spacing w:after="0" w:line="247" w:lineRule="auto"/>
        <w:tabs>
          <w:tab w:leader="none" w:pos="8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the Non-Call Period specified in each indenture, the notes may be redeemed, in whole or in part, at redemption prices set forth in each indenture, plus accrued and unpaid interest to, but excluding, the redemption date. The redemption prices for each of our notes vary over time. The redemption prices pursuant to this clause range from 100.000% to 107.125% of principal at March 31, 2021; however, these redemption prices generally decrease to 100% of the principal amount of the applicable notes over time as the notes approach maturity pursuant to a step-down schedule set forth in each of the indentures.</w:t>
      </w:r>
    </w:p>
    <w:p>
      <w:pPr>
        <w:spacing w:after="0" w:line="1" w:lineRule="exact"/>
        <w:rPr>
          <w:rFonts w:ascii="Arial" w:cs="Arial" w:eastAsia="Arial" w:hAnsi="Arial"/>
          <w:sz w:val="18"/>
          <w:szCs w:val="18"/>
          <w:color w:val="auto"/>
        </w:rPr>
      </w:pPr>
    </w:p>
    <w:p>
      <w:pPr>
        <w:ind w:left="880" w:right="60" w:hanging="234"/>
        <w:spacing w:after="0" w:line="287" w:lineRule="auto"/>
        <w:tabs>
          <w:tab w:leader="none" w:pos="8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Until a date specified in each indenture, the notes may be redeemed, in part (up to 35% or 40% of the principal amount outstanding as specified in each indenture), with the net cash proceeds from specified equity offerings at redemption prices set forth in each indenture, plus accrued and unpaid interest to, but excluding, the redemption date. As of March 31, 2021, this clause has expired for each of our notes except for the 7.50% Senior Secured Notes due 2027, the 9.50% Senior Secured Second Lien Notes due 2027, the 6.00% Senior Notes due 2028 and the 6.125% Senior Secured Notes due 2029, for which the specified redemption premiums are 107.500%, 109.500%, 106.000% and 106.125%, respectively.</w:t>
      </w:r>
    </w:p>
    <w:p>
      <w:pPr>
        <w:spacing w:after="0" w:line="62" w:lineRule="exact"/>
        <w:rPr>
          <w:sz w:val="20"/>
          <w:szCs w:val="20"/>
          <w:color w:val="auto"/>
        </w:rPr>
      </w:pPr>
    </w:p>
    <w:p>
      <w:pPr>
        <w:ind w:right="160" w:firstLine="480"/>
        <w:spacing w:after="0" w:line="267" w:lineRule="auto"/>
        <w:rPr>
          <w:sz w:val="20"/>
          <w:szCs w:val="20"/>
          <w:color w:val="auto"/>
        </w:rPr>
      </w:pPr>
      <w:r>
        <w:rPr>
          <w:rFonts w:ascii="Arial" w:cs="Arial" w:eastAsia="Arial" w:hAnsi="Arial"/>
          <w:sz w:val="18"/>
          <w:szCs w:val="18"/>
          <w:color w:val="auto"/>
        </w:rPr>
        <w:t>We have eliminated substantially all of the restrictive covenants and certain events of default in the indentures governing our senior unsecured notes, except for those in the indenture governing the 6.00% Senior Notes due 2028.</w:t>
      </w:r>
    </w:p>
    <w:p>
      <w:pPr>
        <w:spacing w:after="0" w:line="73" w:lineRule="exact"/>
        <w:rPr>
          <w:sz w:val="20"/>
          <w:szCs w:val="20"/>
          <w:color w:val="auto"/>
        </w:rPr>
      </w:pPr>
    </w:p>
    <w:p>
      <w:pPr>
        <w:ind w:right="40" w:firstLine="480"/>
        <w:spacing w:after="0" w:line="282" w:lineRule="auto"/>
        <w:rPr>
          <w:sz w:val="20"/>
          <w:szCs w:val="20"/>
          <w:color w:val="auto"/>
        </w:rPr>
      </w:pPr>
      <w:r>
        <w:rPr>
          <w:rFonts w:ascii="Arial" w:cs="Arial" w:eastAsia="Arial" w:hAnsi="Arial"/>
          <w:sz w:val="16"/>
          <w:szCs w:val="16"/>
          <w:color w:val="auto"/>
        </w:rPr>
        <w:t>The indentures governing our various senior secured notes and the 6.00% Senior Notes due 2028 contain affirmative and negative covenants that the Company believes to be customary for similar indentures. Under these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At March 31, 2021 and December 31, 2020, we were in compliance with all covenants contained in the indentures governing our various senior notes and senior secured notes. In addition, pursuant to the terms of the indentures governing certain of our senior unsecured notes, the restricted subsidiaries of Endo International plc, whose assets comprise substantially all of the Company’s consolidated total assets after intercompany eliminations, are subject to various restrictions limiting their ability to transfer assets in excess of certain thresholds to Endo International plc.</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Transactions</w:t>
      </w:r>
    </w:p>
    <w:p>
      <w:pPr>
        <w:spacing w:after="0" w:line="119" w:lineRule="exact"/>
        <w:rPr>
          <w:sz w:val="20"/>
          <w:szCs w:val="20"/>
          <w:color w:val="auto"/>
        </w:rPr>
      </w:pPr>
    </w:p>
    <w:p>
      <w:pPr>
        <w:jc w:val="both"/>
        <w:ind w:right="80" w:firstLine="480"/>
        <w:spacing w:after="0" w:line="279" w:lineRule="auto"/>
        <w:rPr>
          <w:sz w:val="20"/>
          <w:szCs w:val="20"/>
          <w:color w:val="auto"/>
        </w:rPr>
      </w:pPr>
      <w:r>
        <w:rPr>
          <w:rFonts w:ascii="Arial" w:cs="Arial" w:eastAsia="Arial" w:hAnsi="Arial"/>
          <w:sz w:val="17"/>
          <w:szCs w:val="17"/>
          <w:color w:val="auto"/>
        </w:rPr>
        <w:t>Set forth below are certain disclosures relating to debt financing transactions that occurred during the three months ended March 31, 2021 or the year ended December 31, 2020. For additional disclosures relating to debt financing transactions that occurred during the year ended December 31, 2020, refer to Note 15. Debt in the Consolidated Financial Statements included in Part IV, Item 15 of the Annual Report.</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June 2020 Refinancing</w:t>
      </w:r>
    </w:p>
    <w:p>
      <w:pPr>
        <w:spacing w:after="0" w:line="113" w:lineRule="exact"/>
        <w:rPr>
          <w:sz w:val="20"/>
          <w:szCs w:val="20"/>
          <w:color w:val="auto"/>
        </w:rPr>
      </w:pPr>
    </w:p>
    <w:p>
      <w:pPr>
        <w:ind w:right="160" w:firstLine="480"/>
        <w:spacing w:after="0" w:line="281" w:lineRule="auto"/>
        <w:rPr>
          <w:sz w:val="20"/>
          <w:szCs w:val="20"/>
          <w:color w:val="auto"/>
        </w:rPr>
      </w:pPr>
      <w:r>
        <w:rPr>
          <w:rFonts w:ascii="Arial" w:cs="Arial" w:eastAsia="Arial" w:hAnsi="Arial"/>
          <w:sz w:val="16"/>
          <w:szCs w:val="16"/>
          <w:color w:val="auto"/>
        </w:rPr>
        <w:t>In June 2020, the Company executed certain transactions (the June 2020 Refinancing Transactions) that included, among other things, the exchanges by certain of the Company’s wholly-owned subsidiaries of certain series of senior notes for certain newly issued senior secured notes and senior notes and $47.2 million in cash paid by the Company. The June 2020 Refinancing Transactions were accounted for as debt modifications. Following the June 2020 Refinancing Transactions, previously deferred and unamortized amounts associated with the old notes exchanged are now being amortized over the respective terms of the new notes. In connection with the June 2020 Refinancing Transactions, we incurred fees to third parties of approximately</w:t>
      </w:r>
    </w:p>
    <w:p>
      <w:pPr>
        <w:ind w:right="80"/>
        <w:spacing w:after="0" w:line="254" w:lineRule="auto"/>
        <w:rPr>
          <w:sz w:val="20"/>
          <w:szCs w:val="20"/>
          <w:color w:val="auto"/>
        </w:rPr>
      </w:pPr>
      <w:r>
        <w:rPr>
          <w:rFonts w:ascii="Arial" w:cs="Arial" w:eastAsia="Arial" w:hAnsi="Arial"/>
          <w:sz w:val="18"/>
          <w:szCs w:val="18"/>
          <w:color w:val="auto"/>
        </w:rPr>
        <w:t>$31.1 million, substantially all of which were charged to expense during the second quarter of 2020 and were included in Selling, general and administrative expenses in the Condensed Consolidated Statements of Operations.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August 2020 Tender Offer</w:t>
      </w:r>
    </w:p>
    <w:p>
      <w:pPr>
        <w:spacing w:after="0" w:line="113" w:lineRule="exact"/>
        <w:rPr>
          <w:sz w:val="20"/>
          <w:szCs w:val="20"/>
          <w:color w:val="auto"/>
        </w:rPr>
      </w:pPr>
    </w:p>
    <w:p>
      <w:pPr>
        <w:ind w:right="200" w:firstLine="480"/>
        <w:spacing w:after="0" w:line="267" w:lineRule="auto"/>
        <w:rPr>
          <w:sz w:val="20"/>
          <w:szCs w:val="20"/>
          <w:color w:val="auto"/>
        </w:rPr>
      </w:pPr>
      <w:r>
        <w:rPr>
          <w:rFonts w:ascii="Arial" w:cs="Arial" w:eastAsia="Arial" w:hAnsi="Arial"/>
          <w:sz w:val="18"/>
          <w:szCs w:val="18"/>
          <w:color w:val="auto"/>
        </w:rPr>
        <w:t>In August 2020, the Company repurchased and retired approximately $10 million aggregate principal of 5.75% Senior Notes due 2022 pursuant to a tender offer (the August 2020 Tender Offer).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March 2021 Refinancing</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March 2021, the Company executed certain transactions (the March 2021 Refinancing Transactions) that included:</w:t>
      </w:r>
    </w:p>
    <w:p>
      <w:pPr>
        <w:spacing w:after="0" w:line="17" w:lineRule="exact"/>
        <w:rPr>
          <w:sz w:val="20"/>
          <w:szCs w:val="20"/>
          <w:color w:val="auto"/>
        </w:rPr>
      </w:pPr>
    </w:p>
    <w:p>
      <w:pPr>
        <w:ind w:left="880" w:right="340" w:hanging="234"/>
        <w:spacing w:after="0" w:line="261" w:lineRule="auto"/>
        <w:tabs>
          <w:tab w:leader="none" w:pos="8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spacing w:after="0" w:line="1" w:lineRule="exact"/>
        <w:rPr>
          <w:rFonts w:ascii="Arial" w:cs="Arial" w:eastAsia="Arial" w:hAnsi="Arial"/>
          <w:sz w:val="17"/>
          <w:szCs w:val="17"/>
          <w:color w:val="auto"/>
        </w:rPr>
      </w:pPr>
    </w:p>
    <w:p>
      <w:pPr>
        <w:ind w:left="880" w:right="140" w:hanging="234"/>
        <w:spacing w:after="0" w:line="247" w:lineRule="auto"/>
        <w:tabs>
          <w:tab w:leader="none" w:pos="8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maturity of approximately $675.3 million of existing revolving commitments under the Revolving Credit Facility to March 2026; and</w:t>
      </w:r>
    </w:p>
    <w:p>
      <w:pPr>
        <w:ind w:left="880" w:right="60" w:hanging="234"/>
        <w:spacing w:after="0" w:line="254" w:lineRule="auto"/>
        <w:tabs>
          <w:tab w:leader="none" w:pos="8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certain other modifications to the credit agreement that was in effect immediately prior to the March 2021 Refinancing Transactions (the Prior Credit Agreement).</w:t>
      </w:r>
    </w:p>
    <w:p>
      <w:pPr>
        <w:spacing w:after="0" w:line="84"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the Endo International plc, certain of its subsidiaries, the lenders party thereto and JPMorgan Chase Bank, N.A., as administrative agent, issuing bank and swingline lender.</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6.125% Senior Secured Notes due 2029 were issued in March 2021 in a private offering to “qualified institutional buyers” (as defined in Rule</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144A under the Securities Act) and outside the U.S. to non-U.S. persons in compliance with Regulation S under the Securities Act. These notes, along with the Company’s other first lien obligations,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lien on the collateral securing these notes. They are guaranteed on a senior secured basis by the Company and its subsidiaries that also guarantee the Credit Agreement. Interest on these notes is payable semiannually in arrears on April 1 and October 1 of each year, beginning on October 1, 2021. These notes will mature on April 1, 2029 but may be redeemed earlier, in whole or in part, subject to limitations as described in the indenture.</w:t>
      </w:r>
    </w:p>
    <w:p>
      <w:pPr>
        <w:spacing w:after="0" w:line="74"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included in the Loss on extinguishment of debt line item in the Condensed Consolidated Statements of Operations. The Company also incurred an additional $56.7 million of new costs and fees, of which: (i) $29.2 million and $17.6 million have been deferred to be amortized as interest expense over the terms of the Term Loan Facility and the newly issued 6.125% Senior Secured Notes due 2029, respectively; (ii) $6.0 million was considered debt extinguishment costs and was charged to expense in the first quarter of 2021 and included in the Loss on extinguishment of debt line item in the Condensed Consolidated Statements of Operations; and (iii) $3.9 million was considered debt modification costs and was charged to expense in the first quarter of 2021 and included in the Selling, general and administrative expense line item in the Condensed Consolidated Statements of Operations.</w:t>
      </w:r>
    </w:p>
    <w:p>
      <w:pPr>
        <w:spacing w:after="0" w:line="81" w:lineRule="exact"/>
        <w:rPr>
          <w:sz w:val="20"/>
          <w:szCs w:val="20"/>
          <w:color w:val="auto"/>
        </w:rPr>
      </w:pPr>
    </w:p>
    <w:p>
      <w:pPr>
        <w:ind w:right="580" w:firstLine="480"/>
        <w:spacing w:after="0" w:line="267" w:lineRule="auto"/>
        <w:rPr>
          <w:sz w:val="20"/>
          <w:szCs w:val="20"/>
          <w:color w:val="auto"/>
        </w:rPr>
      </w:pPr>
      <w:r>
        <w:rPr>
          <w:rFonts w:ascii="Arial" w:cs="Arial" w:eastAsia="Arial" w:hAnsi="Arial"/>
          <w:sz w:val="18"/>
          <w:szCs w:val="18"/>
          <w:color w:val="auto"/>
        </w:rPr>
        <w:t>The Company also incurred $2.1 million of new costs and fees associated with the extension of the Revolving Credit Facility, which have been deferred and are being amortized as interest expense over the new term of the Revolving Credit Facility.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as of March 31, 2021, the maturities on our long-term debt for each of the five fiscal years subsequent to December 31,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2020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Maturities (1)</w:t>
            </w: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6"/>
        </w:trPr>
        <w:tc>
          <w:tcPr>
            <w:tcW w:w="9880" w:type="dxa"/>
            <w:vAlign w:val="bottom"/>
          </w:tcPr>
          <w:p>
            <w:pPr>
              <w:ind w:left="20"/>
              <w:spacing w:after="0"/>
              <w:rPr>
                <w:sz w:val="20"/>
                <w:szCs w:val="20"/>
                <w:color w:val="auto"/>
              </w:rPr>
            </w:pPr>
            <w:r>
              <w:rPr>
                <w:rFonts w:ascii="Arial" w:cs="Arial" w:eastAsia="Arial" w:hAnsi="Arial"/>
                <w:sz w:val="18"/>
                <w:szCs w:val="18"/>
                <w:color w:val="auto"/>
              </w:rPr>
              <w:t>2022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223,142</w:t>
            </w:r>
          </w:p>
        </w:tc>
      </w:tr>
      <w:tr>
        <w:trPr>
          <w:trHeight w:val="227"/>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82,563</w:t>
            </w:r>
          </w:p>
        </w:tc>
      </w:tr>
      <w:tr>
        <w:trPr>
          <w:trHeight w:val="226"/>
        </w:trPr>
        <w:tc>
          <w:tcPr>
            <w:tcW w:w="9880" w:type="dxa"/>
            <w:vAlign w:val="bottom"/>
          </w:tcPr>
          <w:p>
            <w:pPr>
              <w:ind w:left="20"/>
              <w:spacing w:after="0"/>
              <w:rPr>
                <w:sz w:val="20"/>
                <w:szCs w:val="20"/>
                <w:color w:val="auto"/>
              </w:rPr>
            </w:pPr>
            <w:r>
              <w:rPr>
                <w:rFonts w:ascii="Arial" w:cs="Arial" w:eastAsia="Arial" w:hAnsi="Arial"/>
                <w:sz w:val="18"/>
                <w:szCs w:val="18"/>
                <w:color w:val="auto"/>
              </w:rPr>
              <w:t>2024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394,600</w:t>
            </w:r>
          </w:p>
        </w:tc>
      </w:tr>
      <w:tr>
        <w:trPr>
          <w:trHeight w:val="227"/>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41,578</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560" w:right="20" w:hanging="313"/>
        <w:spacing w:after="0" w:line="238" w:lineRule="auto"/>
        <w:tabs>
          <w:tab w:leader="none" w:pos="5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 the terms of the Credit Agreement, certain amounts borrowed pursuant to the Credit Facilities could mature prior to their scheduled maturity date if certain of our senior notes are not refinanced or repaid prior to the date that is 91 days prior to the respective stated maturity dates thereof. Accordingly, we may seek to repay or refinance certain senior notes prior to their stated maturity dates or otherwise may be required to repay certain amounts borrowed pursuant to the Credit Facilities prior to their scheduled maturity dates. The amounts in this maturities table represent the originally scheduled maturity dates and do not reflect any potential early repayments or refinancings. For additional information, refer to the discussion above under the heading “Credit Facilities.”</w:t>
      </w:r>
    </w:p>
    <w:p>
      <w:pPr>
        <w:spacing w:after="0" w:line="1" w:lineRule="exact"/>
        <w:rPr>
          <w:rFonts w:ascii="Arial" w:cs="Arial" w:eastAsia="Arial" w:hAnsi="Arial"/>
          <w:sz w:val="14"/>
          <w:szCs w:val="14"/>
          <w:color w:val="auto"/>
        </w:rPr>
      </w:pPr>
    </w:p>
    <w:p>
      <w:pPr>
        <w:ind w:left="560" w:right="340" w:hanging="313"/>
        <w:spacing w:after="0" w:line="249" w:lineRule="auto"/>
        <w:tabs>
          <w:tab w:leader="none" w:pos="5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the Company’s borrowings under the Revolving Credit Facility that were outstanding at March 31, 2021, $22.8 million will mature in 2022 and $74.6 million will mature in 2024, with the remainder maturing in 2026.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Investigations</w:t>
      </w:r>
    </w:p>
    <w:p>
      <w:pPr>
        <w:spacing w:after="0" w:line="119" w:lineRule="exact"/>
        <w:rPr>
          <w:sz w:val="20"/>
          <w:szCs w:val="20"/>
          <w:color w:val="auto"/>
        </w:rPr>
      </w:pPr>
    </w:p>
    <w:p>
      <w:pPr>
        <w:ind w:right="60" w:firstLine="480"/>
        <w:spacing w:after="0" w:line="267" w:lineRule="auto"/>
        <w:rPr>
          <w:sz w:val="20"/>
          <w:szCs w:val="20"/>
          <w:color w:val="auto"/>
        </w:rPr>
      </w:pPr>
      <w:r>
        <w:rPr>
          <w:rFonts w:ascii="Arial" w:cs="Arial" w:eastAsia="Arial" w:hAnsi="Arial"/>
          <w:sz w:val="17"/>
          <w:szCs w:val="17"/>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77" w:lineRule="exact"/>
        <w:rPr>
          <w:sz w:val="20"/>
          <w:szCs w:val="20"/>
          <w:color w:val="auto"/>
        </w:rPr>
      </w:pPr>
    </w:p>
    <w:p>
      <w:pPr>
        <w:ind w:right="140" w:firstLine="480"/>
        <w:spacing w:after="0" w:line="266" w:lineRule="auto"/>
        <w:rPr>
          <w:sz w:val="20"/>
          <w:szCs w:val="20"/>
          <w:color w:val="auto"/>
        </w:rPr>
      </w:pPr>
      <w:r>
        <w:rPr>
          <w:rFonts w:ascii="Arial" w:cs="Arial" w:eastAsia="Arial" w:hAnsi="Arial"/>
          <w:sz w:val="17"/>
          <w:szCs w:val="17"/>
          <w:color w:val="auto"/>
        </w:rPr>
        <w:t xml:space="preserve">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in the amounts that we expect or that coverage will otherwise be available. </w:t>
      </w:r>
      <w:r>
        <w:rPr>
          <w:rFonts w:ascii="Arial" w:cs="Arial" w:eastAsia="Arial" w:hAnsi="Arial"/>
          <w:sz w:val="17"/>
          <w:szCs w:val="17"/>
          <w:color w:val="212529"/>
        </w:rPr>
        <w:t>See the risk factor “</w:t>
      </w:r>
      <w:r>
        <w:rPr>
          <w:rFonts w:ascii="Arial" w:cs="Arial" w:eastAsia="Arial" w:hAnsi="Arial"/>
          <w:sz w:val="17"/>
          <w:szCs w:val="17"/>
          <w:color w:val="auto"/>
        </w:rPr>
        <w:t>We may not have and may be unable to obtain or maintain insurance adequate to cover potential liabilities</w:t>
      </w:r>
      <w:r>
        <w:rPr>
          <w:rFonts w:ascii="Arial" w:cs="Arial" w:eastAsia="Arial" w:hAnsi="Arial"/>
          <w:sz w:val="17"/>
          <w:szCs w:val="17"/>
          <w:color w:val="212529"/>
        </w:rPr>
        <w:t>”</w:t>
      </w:r>
      <w:r>
        <w:rPr>
          <w:rFonts w:ascii="Arial" w:cs="Arial" w:eastAsia="Arial" w:hAnsi="Arial"/>
          <w:sz w:val="17"/>
          <w:szCs w:val="17"/>
          <w:color w:val="auto"/>
        </w:rPr>
        <w:t xml:space="preserve"> in the Annual Report for more information.</w:t>
      </w:r>
    </w:p>
    <w:p>
      <w:pPr>
        <w:spacing w:after="0" w:line="79" w:lineRule="exact"/>
        <w:rPr>
          <w:sz w:val="20"/>
          <w:szCs w:val="20"/>
          <w:color w:val="auto"/>
        </w:rPr>
      </w:pPr>
    </w:p>
    <w:p>
      <w:pPr>
        <w:ind w:right="40" w:firstLine="480"/>
        <w:spacing w:after="0" w:line="251" w:lineRule="auto"/>
        <w:rPr>
          <w:sz w:val="20"/>
          <w:szCs w:val="20"/>
          <w:color w:val="auto"/>
        </w:rPr>
      </w:pPr>
      <w:r>
        <w:rPr>
          <w:rFonts w:ascii="Arial" w:cs="Arial" w:eastAsia="Arial" w:hAnsi="Arial"/>
          <w:sz w:val="18"/>
          <w:szCs w:val="18"/>
          <w:color w:val="auto"/>
        </w:rPr>
        <w:t>As of March 31, 2021, our accrual for loss contingencies totaled $327.9 million, the most significant components of which relate to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March 31, 2021, the entire liability accrual amount is classified in the Current portion of legal settlement accrual in the Condensed Consolidated Balance Sheets.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Vaginal Mesh Matters</w:t>
      </w:r>
    </w:p>
    <w:p>
      <w:pPr>
        <w:spacing w:after="0" w:line="113" w:lineRule="exact"/>
        <w:rPr>
          <w:sz w:val="20"/>
          <w:szCs w:val="20"/>
          <w:color w:val="auto"/>
        </w:rPr>
      </w:pPr>
    </w:p>
    <w:p>
      <w:pPr>
        <w:ind w:right="120" w:firstLine="480"/>
        <w:spacing w:after="0" w:line="268" w:lineRule="auto"/>
        <w:rPr>
          <w:sz w:val="20"/>
          <w:szCs w:val="20"/>
          <w:color w:val="auto"/>
        </w:rPr>
      </w:pPr>
      <w:r>
        <w:rPr>
          <w:rFonts w:ascii="Arial" w:cs="Arial" w:eastAsia="Arial" w:hAnsi="Arial"/>
          <w:sz w:val="17"/>
          <w:szCs w:val="17"/>
          <w:color w:val="auto"/>
        </w:rPr>
        <w:t xml:space="preserve">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pelvic organ prolapse (POP) and stress urinary incontinence (SUI). We have not sold such products </w:t>
      </w:r>
      <w:r>
        <w:rPr>
          <w:rFonts w:ascii="Arial" w:cs="Arial" w:eastAsia="Arial" w:hAnsi="Arial"/>
          <w:sz w:val="17"/>
          <w:szCs w:val="17"/>
          <w:color w:val="212529"/>
        </w:rPr>
        <w:t xml:space="preserve">since March 2016. </w:t>
      </w:r>
      <w:r>
        <w:rPr>
          <w:rFonts w:ascii="Arial" w:cs="Arial" w:eastAsia="Arial" w:hAnsi="Arial"/>
          <w:sz w:val="17"/>
          <w:szCs w:val="17"/>
          <w:color w:val="000000"/>
        </w:rPr>
        <w:t>Plaintiffs claim a variety of personal injuries, including chronic pain, incontinence, inability to control bowel function and permanent</w:t>
      </w:r>
      <w:r>
        <w:rPr>
          <w:rFonts w:ascii="Arial" w:cs="Arial" w:eastAsia="Arial" w:hAnsi="Arial"/>
          <w:sz w:val="17"/>
          <w:szCs w:val="17"/>
          <w:color w:val="212529"/>
        </w:rPr>
        <w:t xml:space="preserve"> </w:t>
      </w:r>
      <w:r>
        <w:rPr>
          <w:rFonts w:ascii="Arial" w:cs="Arial" w:eastAsia="Arial" w:hAnsi="Arial"/>
          <w:sz w:val="17"/>
          <w:szCs w:val="17"/>
          <w:color w:val="000000"/>
        </w:rPr>
        <w:t>deformities, and seek compensatory and punitive damages, where available.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Various Master Settlement Agreements (MSAs) and other agreements have resolved approximately 71,000 filed and unfiled U.S. mesh claims as of March 31, 2021.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81" w:lineRule="exact"/>
        <w:rPr>
          <w:sz w:val="20"/>
          <w:szCs w:val="20"/>
          <w:color w:val="auto"/>
        </w:rPr>
      </w:pPr>
    </w:p>
    <w:p>
      <w:pPr>
        <w:ind w:right="820" w:firstLine="480"/>
        <w:spacing w:after="0" w:line="267" w:lineRule="auto"/>
        <w:rPr>
          <w:sz w:val="20"/>
          <w:szCs w:val="20"/>
          <w:color w:val="auto"/>
        </w:rPr>
      </w:pPr>
      <w:r>
        <w:rPr>
          <w:rFonts w:ascii="Arial" w:cs="Arial" w:eastAsia="Arial" w:hAnsi="Arial"/>
          <w:sz w:val="18"/>
          <w:szCs w:val="18"/>
          <w:color w:val="auto"/>
        </w:rPr>
        <w:t>The following table presents the changes in the QSFs and mesh liability accrual balances during the three months ended March 31, 2021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Qualified Settlement</w:t>
            </w:r>
          </w:p>
        </w:tc>
        <w:tc>
          <w:tcPr>
            <w:tcW w:w="180" w:type="dxa"/>
            <w:vAlign w:val="bottom"/>
          </w:tcPr>
          <w:p>
            <w:pPr>
              <w:spacing w:after="0"/>
              <w:rPr>
                <w:sz w:val="14"/>
                <w:szCs w:val="14"/>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Mesh Liability</w:t>
            </w:r>
          </w:p>
        </w:tc>
      </w:tr>
      <w:tr>
        <w:trPr>
          <w:trHeight w:val="186"/>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Funds</w:t>
            </w:r>
          </w:p>
        </w:tc>
        <w:tc>
          <w:tcPr>
            <w:tcW w:w="180" w:type="dxa"/>
            <w:vAlign w:val="bottom"/>
          </w:tcPr>
          <w:p>
            <w:pPr>
              <w:spacing w:after="0"/>
              <w:rPr>
                <w:sz w:val="16"/>
                <w:szCs w:val="16"/>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b w:val="1"/>
                <w:bCs w:val="1"/>
                <w:color w:val="auto"/>
              </w:rPr>
              <w:t>Accrual</w:t>
            </w:r>
          </w:p>
        </w:tc>
      </w:tr>
      <w:tr>
        <w:trPr>
          <w:trHeight w:val="221"/>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330,921</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(17,853)</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r>
      <w:tr>
        <w:trPr>
          <w:trHeight w:val="226"/>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4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309,079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jc w:val="both"/>
        <w:ind w:left="560" w:right="180" w:hanging="313"/>
        <w:spacing w:after="0" w:line="244" w:lineRule="auto"/>
        <w:tabs>
          <w:tab w:leader="none" w:pos="5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funds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90" w:lineRule="exact"/>
        <w:rPr>
          <w:sz w:val="20"/>
          <w:szCs w:val="20"/>
          <w:color w:val="auto"/>
        </w:rPr>
      </w:pPr>
    </w:p>
    <w:p>
      <w:pPr>
        <w:ind w:right="20" w:firstLine="480"/>
        <w:spacing w:after="0" w:line="26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73" w:lineRule="exact"/>
        <w:rPr>
          <w:sz w:val="20"/>
          <w:szCs w:val="20"/>
          <w:color w:val="auto"/>
        </w:rPr>
      </w:pPr>
    </w:p>
    <w:p>
      <w:pPr>
        <w:ind w:right="220" w:firstLine="480"/>
        <w:spacing w:after="0" w:line="253" w:lineRule="auto"/>
        <w:rPr>
          <w:sz w:val="20"/>
          <w:szCs w:val="20"/>
          <w:color w:val="auto"/>
        </w:rPr>
      </w:pPr>
      <w:r>
        <w:rPr>
          <w:rFonts w:ascii="Arial" w:cs="Arial" w:eastAsia="Arial" w:hAnsi="Arial"/>
          <w:sz w:val="18"/>
          <w:szCs w:val="18"/>
          <w:color w:val="auto"/>
        </w:rPr>
        <w:t>As of March 31, 2021, the Company has made total cumulative mesh liability payments of approximately $3.6 billion, $111.2 million of which remains in the QSFs as of March 31, 2021. We currently expect to fund all of the remaining payments under all previously executed settlement agreements during 2021. As funds are disbursed out of the QSFs from time to time, the liability accrual will be reduced accordingly with a corresponding reduction to restricted cash and cash equivalents.</w:t>
      </w:r>
    </w:p>
    <w:p>
      <w:pPr>
        <w:spacing w:after="0" w:line="87" w:lineRule="exact"/>
        <w:rPr>
          <w:sz w:val="20"/>
          <w:szCs w:val="20"/>
          <w:color w:val="auto"/>
        </w:rPr>
      </w:pPr>
    </w:p>
    <w:p>
      <w:pPr>
        <w:ind w:right="240" w:firstLine="480"/>
        <w:spacing w:after="0" w:line="267" w:lineRule="auto"/>
        <w:rPr>
          <w:sz w:val="20"/>
          <w:szCs w:val="20"/>
          <w:color w:val="auto"/>
        </w:rPr>
      </w:pPr>
      <w:r>
        <w:rPr>
          <w:rFonts w:ascii="Arial" w:cs="Arial" w:eastAsia="Arial" w:hAnsi="Arial"/>
          <w:sz w:val="18"/>
          <w:szCs w:val="18"/>
          <w:color w:val="auto"/>
        </w:rPr>
        <w:t>In addition, we may pay cash distributions to settle disputes separate from the QSFs, which will also decrease the liability accrual and decrease cash and cash equivalents.</w:t>
      </w:r>
    </w:p>
    <w:p>
      <w:pPr>
        <w:spacing w:after="0" w:line="73" w:lineRule="exact"/>
        <w:rPr>
          <w:sz w:val="20"/>
          <w:szCs w:val="20"/>
          <w:color w:val="auto"/>
        </w:rPr>
      </w:pPr>
    </w:p>
    <w:p>
      <w:pPr>
        <w:ind w:firstLine="480"/>
        <w:spacing w:after="0" w:line="304"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47" w:lineRule="exact"/>
        <w:rPr>
          <w:sz w:val="20"/>
          <w:szCs w:val="20"/>
          <w:color w:val="auto"/>
        </w:rPr>
      </w:pPr>
    </w:p>
    <w:p>
      <w:pPr>
        <w:ind w:right="460" w:firstLine="480"/>
        <w:spacing w:after="0" w:line="297" w:lineRule="auto"/>
        <w:rPr>
          <w:sz w:val="20"/>
          <w:szCs w:val="20"/>
          <w:color w:val="auto"/>
        </w:rPr>
      </w:pPr>
      <w:r>
        <w:rPr>
          <w:rFonts w:ascii="Arial" w:cs="Arial" w:eastAsia="Arial" w:hAnsi="Arial"/>
          <w:sz w:val="17"/>
          <w:szCs w:val="17"/>
          <w:color w:val="auto"/>
        </w:rPr>
        <w:t>We will continue to vigorously defend any unresolved claims and to explore other options as appropriate in our best interests. The earliest trial is currently scheduled for July 2021; however, the timing of trials is uncertain due to the impact of COVID-19 and other factors.</w:t>
      </w:r>
    </w:p>
    <w:p>
      <w:pPr>
        <w:spacing w:after="0" w:line="49" w:lineRule="exact"/>
        <w:rPr>
          <w:sz w:val="20"/>
          <w:szCs w:val="20"/>
          <w:color w:val="auto"/>
        </w:rPr>
      </w:pPr>
    </w:p>
    <w:p>
      <w:pPr>
        <w:ind w:right="480" w:firstLine="480"/>
        <w:spacing w:after="0" w:line="267" w:lineRule="auto"/>
        <w:rPr>
          <w:sz w:val="20"/>
          <w:szCs w:val="20"/>
          <w:color w:val="auto"/>
        </w:rPr>
      </w:pPr>
      <w:r>
        <w:rPr>
          <w:rFonts w:ascii="Arial" w:cs="Arial" w:eastAsia="Arial" w:hAnsi="Arial"/>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Opioid-Related Matters</w:t>
      </w:r>
    </w:p>
    <w:p>
      <w:pPr>
        <w:spacing w:after="0" w:line="113" w:lineRule="exact"/>
        <w:rPr>
          <w:sz w:val="20"/>
          <w:szCs w:val="20"/>
          <w:color w:val="auto"/>
        </w:rPr>
      </w:pPr>
    </w:p>
    <w:p>
      <w:pPr>
        <w:ind w:right="120" w:firstLine="480"/>
        <w:spacing w:after="0" w:line="282" w:lineRule="auto"/>
        <w:rPr>
          <w:sz w:val="20"/>
          <w:szCs w:val="20"/>
          <w:color w:val="auto"/>
        </w:rPr>
      </w:pPr>
      <w:r>
        <w:rPr>
          <w:rFonts w:ascii="Arial" w:cs="Arial" w:eastAsia="Arial" w:hAnsi="Arial"/>
          <w:sz w:val="16"/>
          <w:szCs w:val="16"/>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Endo Ventures Limited, as well as various other manufacturers, distributors, pharmacies and/or others, asserting claims relating to defendants’ alleged sales, marketing and/or distribution practices with respect to prescription opioid medications, including certain of our products. As of April 29, 2021, filed cases in the U.S. of which we were aware include, but are not limited to, approximately 20 cases filed by or on behalf of states; approximately 2,900 cases filed by counties, cities, Native American tribes and/or other government-related persons or entities; approximately 300 cases filed by hospitals, health systems, unions, health and welfare funds or other third-party payers and approximately 190 cases filed by individuals. Certain of the cases have been filed as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by the City of Grand Prairie, Alberta, and The Corporation of the City of Brantford, Ontario, on behalf of a proposed class of all local or municipal governments in Canada, as well as three additional putative class actions, filed in Ontario, Quebec and British Columbia, seeking relief on behalf of Canadian residents who were prescribed and/or consumed opioid medications.</w:t>
      </w:r>
    </w:p>
    <w:p>
      <w:pPr>
        <w:spacing w:after="0" w:line="68" w:lineRule="exact"/>
        <w:rPr>
          <w:sz w:val="20"/>
          <w:szCs w:val="20"/>
          <w:color w:val="auto"/>
        </w:rPr>
      </w:pPr>
    </w:p>
    <w:p>
      <w:pPr>
        <w:ind w:right="140" w:firstLine="480"/>
        <w:spacing w:after="0" w:line="288" w:lineRule="auto"/>
        <w:rPr>
          <w:sz w:val="20"/>
          <w:szCs w:val="20"/>
          <w:color w:val="auto"/>
        </w:rPr>
      </w:pPr>
      <w:r>
        <w:rPr>
          <w:rFonts w:ascii="Arial" w:cs="Arial" w:eastAsia="Arial" w:hAnsi="Arial"/>
          <w:sz w:val="16"/>
          <w:szCs w:val="16"/>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generally seek various remedies including, without limitation, declaratory and/or injunctive relief; compensatory, punitive and/or treble damages; restitution, disgorgement, civil penalties, abatement, attorneys’ fees, costs and/or other relief.</w:t>
      </w:r>
    </w:p>
    <w:p>
      <w:pPr>
        <w:spacing w:after="0" w:line="61" w:lineRule="exact"/>
        <w:rPr>
          <w:sz w:val="20"/>
          <w:szCs w:val="20"/>
          <w:color w:val="auto"/>
        </w:rPr>
      </w:pPr>
    </w:p>
    <w:p>
      <w:pPr>
        <w:ind w:right="40" w:firstLine="480"/>
        <w:spacing w:after="0" w:line="273" w:lineRule="auto"/>
        <w:rPr>
          <w:sz w:val="20"/>
          <w:szCs w:val="20"/>
          <w:color w:val="auto"/>
        </w:rPr>
      </w:pPr>
      <w:r>
        <w:rPr>
          <w:rFonts w:ascii="Arial" w:cs="Arial" w:eastAsia="Arial" w:hAnsi="Arial"/>
          <w:sz w:val="16"/>
          <w:szCs w:val="16"/>
          <w:color w:val="auto"/>
        </w:rPr>
        <w:t>Many of the U.S. cases have been coordinated in a federal multidistrict litigation (MDL) pending in the U.S. District Court for the Northern District of Ohio. Other cases are pending in various federal or state courts. The cases are at various stages in the litigation process. 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 $1 million of VASOSTRICT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and/or ADRENALIN</w:t>
      </w:r>
      <w:r>
        <w:rPr>
          <w:rFonts w:ascii="Arial" w:cs="Arial" w:eastAsia="Arial" w:hAnsi="Arial"/>
          <w:sz w:val="21"/>
          <w:szCs w:val="21"/>
          <w:color w:val="auto"/>
          <w:vertAlign w:val="superscript"/>
        </w:rPr>
        <w:t>®</w:t>
      </w:r>
      <w:r>
        <w:rPr>
          <w:rFonts w:ascii="Arial" w:cs="Arial" w:eastAsia="Arial" w:hAnsi="Arial"/>
          <w:sz w:val="16"/>
          <w:szCs w:val="16"/>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 In February 2021, the MDL court declined to certify a proposed class of legal guardians of children born with neonatal abstinence syndrome; plaintiffs filed a motion for reconsideration, which was denied.</w:t>
      </w:r>
    </w:p>
    <w:p>
      <w:pPr>
        <w:spacing w:after="0" w:line="73" w:lineRule="exact"/>
        <w:rPr>
          <w:sz w:val="20"/>
          <w:szCs w:val="20"/>
          <w:color w:val="auto"/>
        </w:rPr>
      </w:pPr>
    </w:p>
    <w:p>
      <w:pPr>
        <w:ind w:right="120" w:firstLine="480"/>
        <w:spacing w:after="0" w:line="304" w:lineRule="auto"/>
        <w:rPr>
          <w:sz w:val="20"/>
          <w:szCs w:val="20"/>
          <w:color w:val="auto"/>
        </w:rPr>
      </w:pPr>
      <w:r>
        <w:rPr>
          <w:rFonts w:ascii="Arial" w:cs="Arial" w:eastAsia="Arial" w:hAnsi="Arial"/>
          <w:sz w:val="16"/>
          <w:szCs w:val="16"/>
          <w:color w:val="auto"/>
        </w:rPr>
        <w:t xml:space="preserve">A trial began in April 2021 in </w:t>
      </w:r>
      <w:r>
        <w:rPr>
          <w:rFonts w:ascii="Arial" w:cs="Arial" w:eastAsia="Arial" w:hAnsi="Arial"/>
          <w:sz w:val="16"/>
          <w:szCs w:val="16"/>
          <w:i w:val="1"/>
          <w:iCs w:val="1"/>
          <w:color w:val="auto"/>
        </w:rPr>
        <w:t>The People of the State of California v. Purdue Pharma L.P., et al.</w:t>
      </w:r>
      <w:r>
        <w:rPr>
          <w:rFonts w:ascii="Arial" w:cs="Arial" w:eastAsia="Arial" w:hAnsi="Arial"/>
          <w:sz w:val="16"/>
          <w:szCs w:val="16"/>
          <w:color w:val="auto"/>
        </w:rPr>
        <w:t>, a case pending in Superior Court in Orange County, California. The next trial is currently scheduled to begin in June 2021 in New York state court, and other cases have also been set for trial in various courts around the country. Trials may occur earlier or later than currently scheduled, as timing remains uncertain due to the impact of COVID-19 and other factors.</w:t>
      </w:r>
    </w:p>
    <w:p>
      <w:pPr>
        <w:spacing w:after="0" w:line="47" w:lineRule="exact"/>
        <w:rPr>
          <w:sz w:val="20"/>
          <w:szCs w:val="20"/>
          <w:color w:val="auto"/>
        </w:rPr>
      </w:pPr>
    </w:p>
    <w:p>
      <w:pPr>
        <w:ind w:firstLine="480"/>
        <w:spacing w:after="0" w:line="281" w:lineRule="auto"/>
        <w:rPr>
          <w:sz w:val="20"/>
          <w:szCs w:val="20"/>
          <w:color w:val="auto"/>
        </w:rPr>
      </w:pPr>
      <w:r>
        <w:rPr>
          <w:rFonts w:ascii="Arial" w:cs="Arial" w:eastAsia="Arial" w:hAnsi="Arial"/>
          <w:sz w:val="16"/>
          <w:szCs w:val="16"/>
          <w:color w:val="auto"/>
        </w:rPr>
        <w:t xml:space="preserve">In April 2021, the court in </w:t>
      </w:r>
      <w:r>
        <w:rPr>
          <w:rFonts w:ascii="Arial" w:cs="Arial" w:eastAsia="Arial" w:hAnsi="Arial"/>
          <w:sz w:val="16"/>
          <w:szCs w:val="16"/>
          <w:i w:val="1"/>
          <w:iCs w:val="1"/>
          <w:color w:val="auto"/>
        </w:rPr>
        <w:t>Staubus, et al. v Purdue Pharma, L.P., et al.</w:t>
      </w:r>
      <w:r>
        <w:rPr>
          <w:rFonts w:ascii="Arial" w:cs="Arial" w:eastAsia="Arial" w:hAnsi="Arial"/>
          <w:sz w:val="16"/>
          <w:szCs w:val="16"/>
          <w:color w:val="auto"/>
        </w:rPr>
        <w:t>, a case filed by three district attorneys general and an individual in the Circuit Court for Sullivan County, Tennessee, issued an order granting a default judgment on liability against EPI and EHSI and awarding the plaintiffs fees and costs relating to certain discovery issues. The plaintiffs assert claims under the Tennessee Drug Dealer Liability Act (DDLA), which provides for the recovery of economic damages, non-economic damages, exemplary damages, reasonable attorney fees and costs of suit. The district attorneys general claim to be seeking economic damages of approximately $2.4 billion, as well as other relief, on behalf of nine counties in eastern Tennessee and certain municipalities within those counties. Also in April 2021, on the day before issuing the default judgment order, the court issued a separate order (i) denying the defendants’ motion to dismiss the district attorneys general from the case in light of a December 2020 Tennessee Supreme Court ruling that district attorneys general lack standing to sue under the DDLA, (ii) allowing seven counties to be substituted into the case as plaintiffs, and (iii) providing a period of thirty days for other counties and municipalities on whose behalf the district attorneys general had sued to join the lawsuit. The plaintiffs subsequently notified the court that two additional counties and several municipalities have elected to substitute into the case as plaintiffs; the plaintiffs also requested a short extension of time for other municipalities to make their elections. The court’s default judgment order is limited to the issue of liability. The court has not made any determination on the issue of damages and has scheduled a jury trial on damages to begin in July 2021. In May 2021, EPI and EHSI filed a notice of appeal and in the alternative a petition seeking appellate review of the court’s default judgment order, a petition seeking appellate review of the court’s substitution order, and a motion to stay further proceedings in the trial court pending resolution of appellate proceedings. In addition, EPI and EHSI previously filed a motion for summary judgment on the government plaintiffs’ claims that relates in part to damages; that motion remains pending. At this time, the Company does not believe that a loss is probable, nor can it estimate the range of possible loss, if any, associated with the case.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100" w:firstLine="480"/>
        <w:spacing w:after="0" w:line="251" w:lineRule="auto"/>
        <w:rPr>
          <w:sz w:val="20"/>
          <w:szCs w:val="20"/>
          <w:color w:val="auto"/>
        </w:rPr>
      </w:pPr>
      <w:r>
        <w:rPr>
          <w:rFonts w:ascii="Arial" w:cs="Arial" w:eastAsia="Arial" w:hAnsi="Arial"/>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The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The action is currently set for hearing in June 2021.</w:t>
      </w:r>
    </w:p>
    <w:p>
      <w:pPr>
        <w:spacing w:after="0" w:line="87" w:lineRule="exact"/>
        <w:rPr>
          <w:sz w:val="20"/>
          <w:szCs w:val="20"/>
          <w:color w:val="auto"/>
        </w:rPr>
      </w:pPr>
    </w:p>
    <w:p>
      <w:pPr>
        <w:ind w:right="160" w:firstLine="480"/>
        <w:spacing w:after="0" w:line="273" w:lineRule="auto"/>
        <w:rPr>
          <w:sz w:val="20"/>
          <w:szCs w:val="20"/>
          <w:color w:val="auto"/>
        </w:rPr>
      </w:pPr>
      <w:r>
        <w:rPr>
          <w:rFonts w:ascii="Arial" w:cs="Arial" w:eastAsia="Arial" w:hAnsi="Arial"/>
          <w:sz w:val="17"/>
          <w:szCs w:val="17"/>
          <w:color w:val="auto"/>
        </w:rPr>
        <w:t xml:space="preserve">We will continue to vigorously defend the foregoing matters, including but not limited to the </w:t>
      </w:r>
      <w:r>
        <w:rPr>
          <w:rFonts w:ascii="Arial" w:cs="Arial" w:eastAsia="Arial" w:hAnsi="Arial"/>
          <w:sz w:val="17"/>
          <w:szCs w:val="17"/>
          <w:i w:val="1"/>
          <w:iCs w:val="1"/>
          <w:color w:val="auto"/>
        </w:rPr>
        <w:t>Staubus</w:t>
      </w:r>
      <w:r>
        <w:rPr>
          <w:rFonts w:ascii="Arial" w:cs="Arial" w:eastAsia="Arial" w:hAnsi="Arial"/>
          <w:sz w:val="17"/>
          <w:szCs w:val="17"/>
          <w:color w:val="auto"/>
        </w:rPr>
        <w:t xml:space="preserve"> matter,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right="260" w:firstLine="480"/>
        <w:spacing w:after="0" w:line="257" w:lineRule="auto"/>
        <w:rPr>
          <w:sz w:val="20"/>
          <w:szCs w:val="20"/>
          <w:color w:val="auto"/>
        </w:rPr>
      </w:pPr>
      <w:r>
        <w:rPr>
          <w:rFonts w:ascii="Arial" w:cs="Arial" w:eastAsia="Arial" w:hAnsi="Arial"/>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the following:</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3" w:lineRule="exact"/>
        <w:rPr>
          <w:sz w:val="20"/>
          <w:szCs w:val="20"/>
          <w:color w:val="auto"/>
        </w:rPr>
      </w:pPr>
    </w:p>
    <w:p>
      <w:pPr>
        <w:ind w:right="160" w:firstLine="480"/>
        <w:spacing w:after="0" w:line="300" w:lineRule="auto"/>
        <w:rPr>
          <w:sz w:val="20"/>
          <w:szCs w:val="20"/>
          <w:color w:val="auto"/>
        </w:rPr>
      </w:pPr>
      <w:r>
        <w:rPr>
          <w:rFonts w:ascii="Arial" w:cs="Arial" w:eastAsia="Arial" w:hAnsi="Arial"/>
          <w:sz w:val="16"/>
          <w:szCs w:val="16"/>
          <w:color w:val="auto"/>
        </w:rPr>
        <w:t>In January 2018, EPI received a federal grand jury subpoena from the U.S. District Court for the Southern District of Florida seeking documents and information related to OPANA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ER, other oxymorphone products and marketing of opioid medications. We are cooperating with the investigation.</w:t>
      </w:r>
    </w:p>
    <w:p>
      <w:pPr>
        <w:spacing w:after="0" w:line="1" w:lineRule="exact"/>
        <w:rPr>
          <w:sz w:val="20"/>
          <w:szCs w:val="20"/>
          <w:color w:val="auto"/>
        </w:rPr>
      </w:pPr>
    </w:p>
    <w:p>
      <w:pPr>
        <w:ind w:firstLine="480"/>
        <w:spacing w:after="0" w:line="267" w:lineRule="auto"/>
        <w:rPr>
          <w:sz w:val="20"/>
          <w:szCs w:val="20"/>
          <w:color w:val="auto"/>
        </w:rPr>
      </w:pPr>
      <w:r>
        <w:rPr>
          <w:rFonts w:ascii="Arial" w:cs="Arial" w:eastAsia="Arial" w:hAnsi="Arial"/>
          <w:sz w:val="18"/>
          <w:szCs w:val="18"/>
          <w:color w:val="auto"/>
        </w:rPr>
        <w:t>In December 2020, the Company received an administrative subpoena issued by the U.S. Attorney’s Office for the Western District of Virginia seeking documents related to McKinsey &amp; Company. We are cooperating with the investigation.</w:t>
      </w:r>
    </w:p>
    <w:p>
      <w:pPr>
        <w:spacing w:after="0" w:line="73" w:lineRule="exact"/>
        <w:rPr>
          <w:sz w:val="20"/>
          <w:szCs w:val="20"/>
          <w:color w:val="auto"/>
        </w:rPr>
      </w:pPr>
    </w:p>
    <w:p>
      <w:pPr>
        <w:ind w:right="40" w:firstLine="480"/>
        <w:spacing w:after="0" w:line="279"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5" w:lineRule="exact"/>
        <w:rPr>
          <w:sz w:val="20"/>
          <w:szCs w:val="20"/>
          <w:color w:val="auto"/>
        </w:rPr>
      </w:pPr>
    </w:p>
    <w:p>
      <w:pPr>
        <w:ind w:right="100" w:firstLine="480"/>
        <w:spacing w:after="0" w:line="257" w:lineRule="auto"/>
        <w:rPr>
          <w:sz w:val="20"/>
          <w:szCs w:val="20"/>
          <w:color w:val="auto"/>
        </w:rPr>
      </w:pPr>
      <w:r>
        <w:rPr>
          <w:rFonts w:ascii="Arial" w:cs="Arial" w:eastAsia="Arial" w:hAnsi="Arial"/>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Ranitidine Matters</w:t>
      </w:r>
    </w:p>
    <w:p>
      <w:pPr>
        <w:spacing w:after="0" w:line="113" w:lineRule="exact"/>
        <w:rPr>
          <w:sz w:val="20"/>
          <w:szCs w:val="20"/>
          <w:color w:val="auto"/>
        </w:rPr>
      </w:pPr>
    </w:p>
    <w:p>
      <w:pPr>
        <w:ind w:right="160" w:firstLine="480"/>
        <w:spacing w:after="0" w:line="255" w:lineRule="auto"/>
        <w:rPr>
          <w:sz w:val="20"/>
          <w:szCs w:val="20"/>
          <w:color w:val="auto"/>
        </w:rPr>
      </w:pPr>
      <w:r>
        <w:rPr>
          <w:rFonts w:ascii="Arial" w:cs="Arial" w:eastAsia="Arial" w:hAnsi="Arial"/>
          <w:sz w:val="17"/>
          <w:szCs w:val="17"/>
          <w:color w:val="auto"/>
        </w:rPr>
        <w:t xml:space="preserve">In June 2020, an MDL pending in the U.S. District Court for the Southern District of Florida, </w:t>
      </w:r>
      <w:r>
        <w:rPr>
          <w:rFonts w:ascii="Arial" w:cs="Arial" w:eastAsia="Arial" w:hAnsi="Arial"/>
          <w:sz w:val="17"/>
          <w:szCs w:val="17"/>
          <w:i w:val="1"/>
          <w:iCs w:val="1"/>
          <w:color w:val="auto"/>
        </w:rPr>
        <w:t>In re Zantac (Ranitidine) Products Liability Litigation</w:t>
      </w:r>
      <w:r>
        <w:rPr>
          <w:rFonts w:ascii="Arial" w:cs="Arial" w:eastAsia="Arial" w:hAnsi="Arial"/>
          <w:sz w:val="17"/>
          <w:szCs w:val="17"/>
          <w:color w:val="auto"/>
        </w:rPr>
        <w:t>, was expanded to add PPI and numerous other manufacturers and distributors of generic ranitidine as defendants. The claims are generally based on allegations that under certain conditions the active ingredient in Zantac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generic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PPI and its subsidiaries have not manufactured or sold ranitidine since 2016.</w:t>
      </w:r>
    </w:p>
    <w:p>
      <w:pPr>
        <w:spacing w:after="0" w:line="84"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 party payers pursuing class action claims, have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is not named as a defendant in the consumer economic loss complaint or the medical monitoring complaint. Defendants, including PPI, filed motions to dismiss the amended complaints in March 2021.</w:t>
      </w:r>
    </w:p>
    <w:p>
      <w:pPr>
        <w:spacing w:after="0" w:line="77" w:lineRule="exact"/>
        <w:rPr>
          <w:sz w:val="20"/>
          <w:szCs w:val="20"/>
          <w:color w:val="auto"/>
        </w:rPr>
      </w:pPr>
    </w:p>
    <w:p>
      <w:pPr>
        <w:ind w:right="180" w:firstLine="480"/>
        <w:spacing w:after="0" w:line="253"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Generic Drug Pricing Matters</w:t>
      </w:r>
    </w:p>
    <w:p>
      <w:pPr>
        <w:spacing w:after="0" w:line="113" w:lineRule="exact"/>
        <w:rPr>
          <w:sz w:val="20"/>
          <w:szCs w:val="20"/>
          <w:color w:val="auto"/>
        </w:rPr>
      </w:pPr>
    </w:p>
    <w:p>
      <w:pPr>
        <w:ind w:right="40" w:firstLine="480"/>
        <w:spacing w:after="0" w:line="250" w:lineRule="auto"/>
        <w:rPr>
          <w:sz w:val="20"/>
          <w:szCs w:val="20"/>
          <w:color w:val="auto"/>
        </w:rPr>
      </w:pPr>
      <w:r>
        <w:rPr>
          <w:rFonts w:ascii="Arial" w:cs="Arial" w:eastAsia="Arial" w:hAnsi="Arial"/>
          <w:sz w:val="18"/>
          <w:szCs w:val="18"/>
          <w:color w:val="auto"/>
        </w:rPr>
        <w:t>Since March 2016, various private plaintiffs, state attorneys general and other governmental entities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spacing w:after="0" w:line="90" w:lineRule="exact"/>
        <w:rPr>
          <w:sz w:val="20"/>
          <w:szCs w:val="20"/>
          <w:color w:val="auto"/>
        </w:rPr>
      </w:pPr>
    </w:p>
    <w:p>
      <w:pPr>
        <w:ind w:right="40" w:firstLine="480"/>
        <w:spacing w:after="0" w:line="270"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73" w:lineRule="exact"/>
        <w:rPr>
          <w:sz w:val="20"/>
          <w:szCs w:val="20"/>
          <w:color w:val="auto"/>
        </w:rPr>
      </w:pPr>
    </w:p>
    <w:p>
      <w:pPr>
        <w:ind w:right="340" w:firstLine="480"/>
        <w:spacing w:after="0" w:line="26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73" w:lineRule="exact"/>
        <w:rPr>
          <w:sz w:val="20"/>
          <w:szCs w:val="20"/>
          <w:color w:val="auto"/>
        </w:rPr>
      </w:pPr>
    </w:p>
    <w:p>
      <w:pPr>
        <w:ind w:right="200" w:firstLine="480"/>
        <w:spacing w:after="0" w:line="253"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87" w:lineRule="exact"/>
        <w:rPr>
          <w:sz w:val="20"/>
          <w:szCs w:val="20"/>
          <w:color w:val="auto"/>
        </w:rPr>
      </w:pPr>
    </w:p>
    <w:p>
      <w:pPr>
        <w:ind w:right="280" w:firstLine="480"/>
        <w:spacing w:after="0" w:line="270" w:lineRule="auto"/>
        <w:rPr>
          <w:sz w:val="20"/>
          <w:szCs w:val="20"/>
          <w:color w:val="auto"/>
        </w:rPr>
      </w:pPr>
      <w:r>
        <w:rPr>
          <w:rFonts w:ascii="Arial" w:cs="Arial" w:eastAsia="Arial" w:hAnsi="Arial"/>
          <w:sz w:val="16"/>
          <w:szCs w:val="16"/>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(digoxin) oral tablets and generic doxycycline products, and on communications with competitors and others regarding those products. We are cooperating with the investigation.</w:t>
      </w:r>
    </w:p>
    <w:p>
      <w:pPr>
        <w:spacing w:after="0" w:line="67" w:lineRule="exact"/>
        <w:rPr>
          <w:sz w:val="20"/>
          <w:szCs w:val="20"/>
          <w:color w:val="auto"/>
        </w:rPr>
      </w:pPr>
    </w:p>
    <w:p>
      <w:pPr>
        <w:ind w:firstLine="480"/>
        <w:spacing w:after="0" w:line="257"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81" w:lineRule="exact"/>
        <w:rPr>
          <w:sz w:val="20"/>
          <w:szCs w:val="20"/>
          <w:color w:val="auto"/>
        </w:rPr>
      </w:pPr>
    </w:p>
    <w:p>
      <w:pPr>
        <w:ind w:right="60" w:firstLine="480"/>
        <w:spacing w:after="0" w:line="279"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Antitrust Matters</w:t>
      </w:r>
    </w:p>
    <w:p>
      <w:pPr>
        <w:spacing w:after="0" w:line="106" w:lineRule="exact"/>
        <w:rPr>
          <w:sz w:val="20"/>
          <w:szCs w:val="20"/>
          <w:color w:val="auto"/>
        </w:rPr>
      </w:pPr>
    </w:p>
    <w:p>
      <w:pPr>
        <w:ind w:right="20" w:firstLine="480"/>
        <w:spacing w:after="0" w:line="265" w:lineRule="auto"/>
        <w:rPr>
          <w:sz w:val="20"/>
          <w:szCs w:val="20"/>
          <w:color w:val="auto"/>
        </w:rPr>
      </w:pPr>
      <w:r>
        <w:rPr>
          <w:rFonts w:ascii="Arial" w:cs="Arial" w:eastAsia="Arial" w:hAnsi="Arial"/>
          <w:sz w:val="16"/>
          <w:szCs w:val="16"/>
          <w:color w:val="auto"/>
        </w:rPr>
        <w:t>Beginning in June 2014, multiple alleged purchasers of OPANA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reached by EPI and Impax to settle certain patent infringement litigation and EPI’s introduction of reformulated OPANA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March 2019, direct and indirect purchaser plaintiffs filed motions for class certification, which remain pending. In April 2020, defendants filed motions for summary judgment, which remain pending.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68" w:lineRule="auto"/>
        <w:rPr>
          <w:sz w:val="20"/>
          <w:szCs w:val="20"/>
          <w:color w:val="auto"/>
        </w:rPr>
      </w:pPr>
      <w:r>
        <w:rPr>
          <w:rFonts w:ascii="Arial" w:cs="Arial" w:eastAsia="Arial" w:hAnsi="Arial"/>
          <w:sz w:val="16"/>
          <w:szCs w:val="16"/>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1.62%. In July 2018, the court denied certain plaintiffs’ motion for certification of a direct purchaser class. In November 2019, PPI and PPCI entered into settlement agreements with all but one of the remaining plaintiffs in the MDL; a settlement with that remaining plaintiff was reached in April 2021.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w:t>
      </w:r>
    </w:p>
    <w:p>
      <w:pPr>
        <w:spacing w:after="0" w:line="79" w:lineRule="exact"/>
        <w:rPr>
          <w:sz w:val="20"/>
          <w:szCs w:val="20"/>
          <w:color w:val="auto"/>
        </w:rPr>
      </w:pPr>
    </w:p>
    <w:p>
      <w:pPr>
        <w:ind w:right="40" w:firstLine="480"/>
        <w:spacing w:after="0" w:line="272"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74" w:lineRule="exact"/>
        <w:rPr>
          <w:sz w:val="20"/>
          <w:szCs w:val="20"/>
          <w:color w:val="auto"/>
        </w:rPr>
      </w:pPr>
    </w:p>
    <w:p>
      <w:pPr>
        <w:ind w:right="160" w:firstLine="480"/>
        <w:spacing w:after="0" w:line="274"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In January 2021, the defendants filed motions to dismiss in the District of Delaware, which remain pending.</w:t>
      </w:r>
    </w:p>
    <w:p>
      <w:pPr>
        <w:spacing w:after="0" w:line="73" w:lineRule="exact"/>
        <w:rPr>
          <w:sz w:val="20"/>
          <w:szCs w:val="20"/>
          <w:color w:val="auto"/>
        </w:rPr>
      </w:pPr>
    </w:p>
    <w:p>
      <w:pPr>
        <w:ind w:right="140" w:firstLine="480"/>
        <w:spacing w:after="0" w:line="232" w:lineRule="auto"/>
        <w:rPr>
          <w:sz w:val="20"/>
          <w:szCs w:val="20"/>
          <w:color w:val="auto"/>
        </w:rPr>
      </w:pPr>
      <w:r>
        <w:rPr>
          <w:rFonts w:ascii="Arial" w:cs="Arial" w:eastAsia="Arial" w:hAnsi="Arial"/>
          <w:sz w:val="18"/>
          <w:szCs w:val="18"/>
          <w:color w:val="auto"/>
        </w:rPr>
        <w:t>Beginning in June 2020, multiple complaints were filed against Jazz Pharmaceuticals and other pharmaceutical companies, including PPI, alleging violations of state and federal antitrust laws in connection with the settlement of certain patent litigations concerning generic versions of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 Some cases were filed on behalf of putative classes of indirect purchasers; there is also a non-class action suit. The cases have been consolidated and/or coordinated for pretrial proceedings in a federal MDL pending in the U.S. District Court for the Northern District of California. The various complaints allege that Jazz entered into a series of “reverse-payment” settlements, including with PPI, to delay generic competition for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complaints.</w:t>
      </w:r>
    </w:p>
    <w:p>
      <w:pPr>
        <w:spacing w:after="0" w:line="101"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constitutes unfair competition in violation of Section 5(a) of the FTC Act. The complaint generally seeks injunctive and equitable monetary relief. In April 2021, the defendants filed motions to dismiss.</w:t>
      </w:r>
    </w:p>
    <w:p>
      <w:pPr>
        <w:spacing w:after="0" w:line="87" w:lineRule="exact"/>
        <w:rPr>
          <w:sz w:val="20"/>
          <w:szCs w:val="20"/>
          <w:color w:val="auto"/>
        </w:rPr>
      </w:pPr>
    </w:p>
    <w:p>
      <w:pPr>
        <w:ind w:right="20" w:firstLine="480"/>
        <w:spacing w:after="0" w:line="273"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 Litigation</w:t>
      </w:r>
    </w:p>
    <w:p>
      <w:pPr>
        <w:spacing w:after="0" w:line="113" w:lineRule="exact"/>
        <w:rPr>
          <w:sz w:val="20"/>
          <w:szCs w:val="20"/>
          <w:color w:val="auto"/>
        </w:rPr>
      </w:pPr>
    </w:p>
    <w:p>
      <w:pPr>
        <w:ind w:right="20" w:firstLine="480"/>
        <w:spacing w:after="0" w:line="285" w:lineRule="auto"/>
        <w:rPr>
          <w:sz w:val="20"/>
          <w:szCs w:val="20"/>
          <w:color w:val="auto"/>
        </w:rPr>
      </w:pPr>
      <w:r>
        <w:rPr>
          <w:rFonts w:ascii="Arial" w:cs="Arial" w:eastAsia="Arial" w:hAnsi="Arial"/>
          <w:sz w:val="16"/>
          <w:szCs w:val="16"/>
          <w:color w:val="auto"/>
        </w:rPr>
        <w:t xml:space="preserve">In February 2017, a putative class action entitled </w:t>
      </w:r>
      <w:r>
        <w:rPr>
          <w:rFonts w:ascii="Arial" w:cs="Arial" w:eastAsia="Arial" w:hAnsi="Arial"/>
          <w:sz w:val="16"/>
          <w:szCs w:val="16"/>
          <w:i w:val="1"/>
          <w:iCs w:val="1"/>
          <w:color w:val="auto"/>
        </w:rPr>
        <w:t>Public Employees’ Retirement System of Mississippi v. Endo International plc</w:t>
      </w:r>
      <w:r>
        <w:rPr>
          <w:rFonts w:ascii="Arial" w:cs="Arial" w:eastAsia="Arial" w:hAnsi="Arial"/>
          <w:sz w:val="16"/>
          <w:szCs w:val="16"/>
          <w:color w:val="auto"/>
        </w:rPr>
        <w:t xml:space="preserve"> was filed in the Court of Common Pleas of Chester County, Pennsylvania by an institutional purchaser of shares in our June 2, 2015 public offering. The complaint alleged violations of Sections 11, 12(a)(2) and 15 of the Securities Act of 1933 against us, certain of our current and former directors and officers, and the underwriters who participated in the offering, based on certain disclosures about Endo’s generics business. In June 2019, the parties entered into a settlement providing for, among other things, a $50 million payment to the investor class in exchange for a release of their claims. In December 2019, the court denied a petition to intervene filed by the then-lead plaintiff in the </w:t>
      </w:r>
      <w:r>
        <w:rPr>
          <w:rFonts w:ascii="Arial" w:cs="Arial" w:eastAsia="Arial" w:hAnsi="Arial"/>
          <w:sz w:val="16"/>
          <w:szCs w:val="16"/>
          <w:i w:val="1"/>
          <w:iCs w:val="1"/>
          <w:color w:val="auto"/>
        </w:rPr>
        <w:t>Pelletier</w:t>
      </w:r>
      <w:r>
        <w:rPr>
          <w:rFonts w:ascii="Arial" w:cs="Arial" w:eastAsia="Arial" w:hAnsi="Arial"/>
          <w:sz w:val="16"/>
          <w:szCs w:val="16"/>
          <w:color w:val="auto"/>
        </w:rPr>
        <w:t xml:space="preserve"> litigation described below, and granted final approval of the settlement. The Company’s insurers funded the settlement in 2019. In December 2019, the putative intervenor appealed the denial of its petition to intervene and the final approval order to Pennsylvania Superior Court. In March 2021, the appeal was dismissed with the consent of the putative intervenor, and the settlement is now final.</w:t>
      </w:r>
    </w:p>
    <w:p>
      <w:pPr>
        <w:spacing w:after="0" w:line="65" w:lineRule="exact"/>
        <w:rPr>
          <w:sz w:val="20"/>
          <w:szCs w:val="20"/>
          <w:color w:val="auto"/>
        </w:rPr>
      </w:pPr>
    </w:p>
    <w:p>
      <w:pPr>
        <w:ind w:right="20" w:firstLine="480"/>
        <w:spacing w:after="0" w:line="283" w:lineRule="auto"/>
        <w:rPr>
          <w:sz w:val="20"/>
          <w:szCs w:val="20"/>
          <w:color w:val="auto"/>
        </w:rPr>
      </w:pPr>
      <w:r>
        <w:rPr>
          <w:rFonts w:ascii="Arial" w:cs="Arial" w:eastAsia="Arial" w:hAnsi="Arial"/>
          <w:sz w:val="16"/>
          <w:szCs w:val="16"/>
          <w:color w:val="auto"/>
        </w:rPr>
        <w:t xml:space="preserve">In November 2017, a putative class action entitled </w:t>
      </w:r>
      <w:r>
        <w:rPr>
          <w:rFonts w:ascii="Arial" w:cs="Arial" w:eastAsia="Arial" w:hAnsi="Arial"/>
          <w:sz w:val="16"/>
          <w:szCs w:val="16"/>
          <w:i w:val="1"/>
          <w:iCs w:val="1"/>
          <w:color w:val="auto"/>
        </w:rPr>
        <w:t>Pelletier v. Endo International plc, Rajiv Kanishka Liyanaarchchie De Silva, Suketu P. Upadhyay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Paul V. Campanelli </w:t>
      </w:r>
      <w:r>
        <w:rPr>
          <w:rFonts w:ascii="Arial" w:cs="Arial" w:eastAsia="Arial" w:hAnsi="Arial"/>
          <w:sz w:val="16"/>
          <w:szCs w:val="16"/>
          <w:color w:val="auto"/>
        </w:rPr>
        <w:t>was filed in the U.S. District Court for the Eastern District of Pennsylvania by an individual shareholder on behalf of himself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similarly situated shareholders. The lawsuit alleges violations of Section 10(b) and 20(a) of the Exchange Act and Rule 10b-5 promulgated thereunder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the lead plaintiff’s claims to proceed. In June 2020, the lead plaintiff moved for class certification. In February 2021, the court replaced the existing lead plaintiff with the Bucks County Employees’ Retirement Fund, appointed Alexandre Pelletier, Nathan Dole and Wayne Wingard as co-lead plaintiffs and ordered supplemental briefing on class certification. The court granted Wingard’s motion to withdraw as a co-lead plaintiff in April 2021. The motion for class certification remains pending.</w:t>
      </w:r>
    </w:p>
    <w:p>
      <w:pPr>
        <w:spacing w:after="0" w:line="69" w:lineRule="exact"/>
        <w:rPr>
          <w:sz w:val="20"/>
          <w:szCs w:val="20"/>
          <w:color w:val="auto"/>
        </w:rPr>
      </w:pPr>
    </w:p>
    <w:p>
      <w:pPr>
        <w:ind w:firstLine="480"/>
        <w:spacing w:after="0" w:line="251" w:lineRule="auto"/>
        <w:rPr>
          <w:sz w:val="20"/>
          <w:szCs w:val="20"/>
          <w:color w:val="auto"/>
        </w:rPr>
      </w:pPr>
      <w:r>
        <w:rPr>
          <w:rFonts w:ascii="Arial" w:cs="Arial" w:eastAsia="Arial" w:hAnsi="Arial"/>
          <w:sz w:val="18"/>
          <w:szCs w:val="18"/>
          <w:color w:val="auto"/>
        </w:rPr>
        <w:t xml:space="preserve">In June 2020, a putative class action entitled </w:t>
      </w:r>
      <w:r>
        <w:rPr>
          <w:rFonts w:ascii="Arial" w:cs="Arial" w:eastAsia="Arial" w:hAnsi="Arial"/>
          <w:sz w:val="18"/>
          <w:szCs w:val="18"/>
          <w:i w:val="1"/>
          <w:iCs w:val="1"/>
          <w:color w:val="auto"/>
        </w:rPr>
        <w:t>Benoit Albiges v. Endo International plc, Paul V. Campanelli, Blaise Coleman, and Mark T. Bradley</w:t>
      </w:r>
      <w:r>
        <w:rPr>
          <w:rFonts w:ascii="Arial" w:cs="Arial" w:eastAsia="Arial" w:hAnsi="Arial"/>
          <w:sz w:val="18"/>
          <w:szCs w:val="18"/>
          <w:color w:val="auto"/>
        </w:rPr>
        <w:t xml:space="preserve"> 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The lead plaintiff filed an amended complaint in November 2020. In January 2021, the defendants filed a motion to dismiss, which remains pending.</w:t>
      </w:r>
    </w:p>
    <w:p>
      <w:pPr>
        <w:spacing w:after="0" w:line="87" w:lineRule="exact"/>
        <w:rPr>
          <w:sz w:val="20"/>
          <w:szCs w:val="20"/>
          <w:color w:val="auto"/>
        </w:rPr>
      </w:pPr>
    </w:p>
    <w:p>
      <w:pPr>
        <w:ind w:right="40" w:firstLine="480"/>
        <w:spacing w:after="0" w:line="273"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Related Matters</w:t>
      </w:r>
    </w:p>
    <w:p>
      <w:pPr>
        <w:spacing w:after="0" w:line="63" w:lineRule="exact"/>
        <w:rPr>
          <w:sz w:val="20"/>
          <w:szCs w:val="20"/>
          <w:color w:val="auto"/>
        </w:rPr>
      </w:pPr>
    </w:p>
    <w:p>
      <w:pPr>
        <w:ind w:right="60" w:firstLine="480"/>
        <w:spacing w:after="0" w:line="256" w:lineRule="auto"/>
        <w:rPr>
          <w:sz w:val="20"/>
          <w:szCs w:val="20"/>
          <w:color w:val="auto"/>
        </w:rPr>
      </w:pPr>
      <w:r>
        <w:rPr>
          <w:rFonts w:ascii="Arial" w:cs="Arial" w:eastAsia="Arial" w:hAnsi="Arial"/>
          <w:sz w:val="17"/>
          <w:szCs w:val="17"/>
          <w:color w:val="auto"/>
        </w:rPr>
        <w:t>In July 2016, Fresenius Kabi USA, LLC (Fresenius) sued our subsidiaries PPCI and PSP LLC in the U.S. District Court for the District of New Jersey alleging an anticompetitive scheme to exclude competition for PPCI’s VASOSTRICT</w:t>
      </w:r>
      <w:r>
        <w:rPr>
          <w:rFonts w:ascii="Arial" w:cs="Arial" w:eastAsia="Arial" w:hAnsi="Arial"/>
          <w:sz w:val="22"/>
          <w:szCs w:val="22"/>
          <w:color w:val="auto"/>
          <w:vertAlign w:val="superscript"/>
        </w:rPr>
        <w:t>®</w:t>
      </w:r>
      <w:r>
        <w:rPr>
          <w:rFonts w:ascii="Arial" w:cs="Arial" w:eastAsia="Arial" w:hAnsi="Arial"/>
          <w:sz w:val="17"/>
          <w:szCs w:val="17"/>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active pharmaceutical ingredient (API) manufacturers and that, as a result, Fresenius could not obtain vasopressin API in order to file an Abbreviated New Drug Application (ANDA) to obtain U.S. Food and Drug Administration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 In January 2021, the U.S. Court of Appeals for the Third Circuit vacated the district court’s order granting our subsidiaries’ motion for summary judgment and remanded for further consideration of that motion.</w:t>
      </w:r>
    </w:p>
    <w:p>
      <w:pPr>
        <w:spacing w:after="0" w:line="88" w:lineRule="exact"/>
        <w:rPr>
          <w:sz w:val="20"/>
          <w:szCs w:val="20"/>
          <w:color w:val="auto"/>
        </w:rPr>
      </w:pPr>
    </w:p>
    <w:p>
      <w:pPr>
        <w:jc w:val="both"/>
        <w:ind w:right="40" w:firstLine="480"/>
        <w:spacing w:after="0" w:line="257" w:lineRule="auto"/>
        <w:rPr>
          <w:sz w:val="20"/>
          <w:szCs w:val="20"/>
          <w:color w:val="auto"/>
        </w:rPr>
      </w:pPr>
      <w:r>
        <w:rPr>
          <w:rFonts w:ascii="Arial" w:cs="Arial" w:eastAsia="Arial" w:hAnsi="Arial"/>
          <w:sz w:val="18"/>
          <w:szCs w:val="18"/>
          <w:color w:val="auto"/>
        </w:rPr>
        <w:t>In December 2020, our subsidiaries PPI and PSP LLC settled a trade-secret lawsuit against QuVa Pharma, Inc. and eight former PSP LLC employees, which had been pending in the U.S. District Court for the District of New Jersey since August 2017. The settlement order dismissed all claims with prejudice and released the preliminary injunction bond.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60" w:firstLine="480"/>
        <w:spacing w:after="0" w:line="267" w:lineRule="auto"/>
        <w:rPr>
          <w:sz w:val="20"/>
          <w:szCs w:val="20"/>
          <w:color w:val="auto"/>
        </w:rPr>
      </w:pPr>
      <w:r>
        <w:rPr>
          <w:rFonts w:ascii="Arial" w:cs="Arial" w:eastAsia="Arial" w:hAnsi="Arial"/>
          <w:sz w:val="16"/>
          <w:szCs w:val="16"/>
          <w:color w:val="auto"/>
        </w:rPr>
        <w:t>Beginning in April 2018, PSP LLC and PPI received notice letters from Eagle Pharmaceuticals, Inc., Sandoz, Inc., Amphastar Pharmaceuticals, Inc., Amneal Pharmaceuticals LLC, American Regent, Fresenius, Dr. Reddy’s Laboratories, Inc. and Aurobindo Pharma Limited advising of the filing by such companies of ANDAs/New Drug Applications (NDAs) for generic versions of VASOSTRICT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(vasopressin IV solution (infusion)) 20 units/ml and/or 200 units/10 ml. Beginning in May 2018, PSP LLC, PPI and Endo Par Innovation Company, LLC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December 2020, we separately filed suit against Eagle Pharmaceuticals, Inc., Amneal Pharmaceuticals LLC, Dr. Reddy’s Laboratories, Inc. and Aurobindo Pharma Limited in the U.S. District Court for the District of New Jersey in connection with a newly issued VASOSTRICT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Pharmaceuticals, Inc. and Amneal Pharmaceuticals LLC have been consolidated and trial is presently scheduled for July 2021; however, a trial may occur later as timing remains uncertain due to the impact of COVID-19 and other factors.</w:t>
      </w:r>
    </w:p>
    <w:p>
      <w:pPr>
        <w:spacing w:after="0" w:line="81" w:lineRule="exact"/>
        <w:rPr>
          <w:sz w:val="20"/>
          <w:szCs w:val="20"/>
          <w:color w:val="auto"/>
        </w:rPr>
      </w:pPr>
    </w:p>
    <w:p>
      <w:pPr>
        <w:jc w:val="both"/>
        <w:ind w:right="420" w:firstLine="480"/>
        <w:spacing w:after="0" w:line="252" w:lineRule="auto"/>
        <w:rPr>
          <w:sz w:val="20"/>
          <w:szCs w:val="20"/>
          <w:color w:val="auto"/>
        </w:rPr>
      </w:pPr>
      <w:r>
        <w:rPr>
          <w:rFonts w:ascii="Arial" w:cs="Arial" w:eastAsia="Arial" w:hAnsi="Arial"/>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3"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COMPREHENSIVE INCOME (LOSS)</w:t>
      </w:r>
    </w:p>
    <w:p>
      <w:pPr>
        <w:spacing w:after="0" w:line="119" w:lineRule="exact"/>
        <w:rPr>
          <w:sz w:val="20"/>
          <w:szCs w:val="20"/>
          <w:color w:val="auto"/>
        </w:rPr>
      </w:pPr>
    </w:p>
    <w:p>
      <w:pPr>
        <w:jc w:val="both"/>
        <w:ind w:right="80" w:firstLine="480"/>
        <w:spacing w:after="0" w:line="279" w:lineRule="auto"/>
        <w:rPr>
          <w:sz w:val="20"/>
          <w:szCs w:val="20"/>
          <w:color w:val="auto"/>
        </w:rPr>
      </w:pPr>
      <w:r>
        <w:rPr>
          <w:rFonts w:ascii="Arial" w:cs="Arial" w:eastAsia="Arial" w:hAnsi="Arial"/>
          <w:sz w:val="17"/>
          <w:szCs w:val="17"/>
          <w:color w:val="auto"/>
        </w:rPr>
        <w:t>During the three months ended March 31, 2021 and 2020, there were no tax effects allocated to any component of Other comprehensive income (loss) and there were no reclassifications out of Accumulated other comprehensive loss. Substantially all of the Company’s Accumulated other comprehensive loss balances at March 31, 2021 and December 31, 2020 consist of Foreign currency translation loss.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SHAREHOLDERS' DEFICIT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months ended March 31,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2021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Euro Deferred</w:t>
            </w:r>
          </w:p>
        </w:tc>
        <w:tc>
          <w:tcPr>
            <w:tcW w:w="14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Additional Paid-in</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 Shareholders'</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1440" w:type="dxa"/>
            <w:vAlign w:val="bottom"/>
            <w:gridSpan w:val="3"/>
            <w:vMerge w:val="continue"/>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Comprehensive Loss</w:t>
            </w:r>
          </w:p>
        </w:tc>
        <w:tc>
          <w:tcPr>
            <w:tcW w:w="28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BALANCE,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8,938,012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(9,368,270)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(647,939)</w:t>
            </w: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27"/>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174"/>
        </w:trPr>
        <w:tc>
          <w:tcPr>
            <w:tcW w:w="2640" w:type="dxa"/>
            <w:vAlign w:val="bottom"/>
          </w:tcPr>
          <w:p>
            <w:pPr>
              <w:ind w:left="20"/>
              <w:spacing w:after="0" w:line="175" w:lineRule="exact"/>
              <w:rPr>
                <w:sz w:val="20"/>
                <w:szCs w:val="20"/>
                <w:color w:val="auto"/>
              </w:rPr>
            </w:pPr>
            <w:r>
              <w:rPr>
                <w:rFonts w:ascii="Arial" w:cs="Arial" w:eastAsia="Arial" w:hAnsi="Arial"/>
                <w:sz w:val="18"/>
                <w:szCs w:val="18"/>
                <w:color w:val="auto"/>
              </w:rPr>
              <w:t>Compensation related to share-</w:t>
            </w:r>
          </w:p>
        </w:tc>
        <w:tc>
          <w:tcPr>
            <w:tcW w:w="180" w:type="dxa"/>
            <w:vAlign w:val="bottom"/>
          </w:tcPr>
          <w:p>
            <w:pPr>
              <w:spacing w:after="0"/>
              <w:rPr>
                <w:sz w:val="15"/>
                <w:szCs w:val="15"/>
                <w:color w:val="auto"/>
              </w:rPr>
            </w:pPr>
          </w:p>
        </w:tc>
        <w:tc>
          <w:tcPr>
            <w:tcW w:w="126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74"/>
        </w:trPr>
        <w:tc>
          <w:tcPr>
            <w:tcW w:w="2640" w:type="dxa"/>
            <w:vAlign w:val="bottom"/>
          </w:tcPr>
          <w:p>
            <w:pPr>
              <w:ind w:left="20"/>
              <w:spacing w:after="0" w:line="175" w:lineRule="exact"/>
              <w:rPr>
                <w:sz w:val="20"/>
                <w:szCs w:val="20"/>
                <w:color w:val="auto"/>
              </w:rPr>
            </w:pPr>
            <w:r>
              <w:rPr>
                <w:rFonts w:ascii="Arial" w:cs="Arial" w:eastAsia="Arial" w:hAnsi="Arial"/>
                <w:sz w:val="18"/>
                <w:szCs w:val="18"/>
                <w:color w:val="auto"/>
              </w:rPr>
              <w:t>Tax withholding for restricted</w:t>
            </w:r>
          </w:p>
        </w:tc>
        <w:tc>
          <w:tcPr>
            <w:tcW w:w="180" w:type="dxa"/>
            <w:vAlign w:val="bottom"/>
          </w:tcPr>
          <w:p>
            <w:pPr>
              <w:spacing w:after="0"/>
              <w:rPr>
                <w:sz w:val="15"/>
                <w:szCs w:val="15"/>
                <w:color w:val="auto"/>
              </w:rPr>
            </w:pPr>
          </w:p>
        </w:tc>
        <w:tc>
          <w:tcPr>
            <w:tcW w:w="126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1"/>
        </w:trPr>
        <w:tc>
          <w:tcPr>
            <w:tcW w:w="264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8,943,764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(9,326,746)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(216,061)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(598,973)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28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100" w:firstLine="480"/>
        <w:spacing w:after="0" w:line="267" w:lineRule="auto"/>
        <w:rPr>
          <w:sz w:val="20"/>
          <w:szCs w:val="20"/>
          <w:color w:val="auto"/>
        </w:rPr>
      </w:pPr>
      <w:r>
        <w:rPr>
          <w:rFonts w:ascii="Arial" w:cs="Arial" w:eastAsia="Arial" w:hAnsi="Arial"/>
          <w:sz w:val="18"/>
          <w:szCs w:val="18"/>
          <w:color w:val="auto"/>
        </w:rPr>
        <w:t>The following table presents a reconciliation of the beginning and ending balances in Total shareholders' deficit for the three months ended March 31, 2020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Euro Deferred</w:t>
            </w:r>
          </w:p>
        </w:tc>
        <w:tc>
          <w:tcPr>
            <w:tcW w:w="14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Additional Paid-in</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 Shareholders'</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40" w:type="dxa"/>
            <w:vAlign w:val="bottom"/>
            <w:gridSpan w:val="3"/>
            <w:vMerge w:val="continue"/>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Comprehensive Loss</w:t>
            </w:r>
          </w:p>
        </w:tc>
        <w:tc>
          <w:tcPr>
            <w:tcW w:w="28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BALANCE,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8,904,692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(9,552,214)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129,930</w:t>
            </w:r>
          </w:p>
        </w:tc>
        <w:tc>
          <w:tcPr>
            <w:tcW w:w="0" w:type="dxa"/>
            <w:vAlign w:val="bottom"/>
          </w:tcPr>
          <w:p>
            <w:pPr>
              <w:spacing w:after="0"/>
              <w:rPr>
                <w:sz w:val="1"/>
                <w:szCs w:val="1"/>
                <w:color w:val="auto"/>
              </w:rPr>
            </w:pPr>
          </w:p>
        </w:tc>
      </w:tr>
      <w:tr>
        <w:trPr>
          <w:trHeight w:val="227"/>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174"/>
        </w:trPr>
        <w:tc>
          <w:tcPr>
            <w:tcW w:w="2640" w:type="dxa"/>
            <w:vAlign w:val="bottom"/>
          </w:tcPr>
          <w:p>
            <w:pPr>
              <w:ind w:left="20"/>
              <w:spacing w:after="0" w:line="175" w:lineRule="exact"/>
              <w:rPr>
                <w:sz w:val="20"/>
                <w:szCs w:val="20"/>
                <w:color w:val="auto"/>
              </w:rPr>
            </w:pPr>
            <w:r>
              <w:rPr>
                <w:rFonts w:ascii="Arial" w:cs="Arial" w:eastAsia="Arial" w:hAnsi="Arial"/>
                <w:sz w:val="18"/>
                <w:szCs w:val="18"/>
                <w:color w:val="auto"/>
              </w:rPr>
              <w:t>Compensation related to share-</w:t>
            </w:r>
          </w:p>
        </w:tc>
        <w:tc>
          <w:tcPr>
            <w:tcW w:w="180" w:type="dxa"/>
            <w:vAlign w:val="bottom"/>
          </w:tcPr>
          <w:p>
            <w:pPr>
              <w:spacing w:after="0"/>
              <w:rPr>
                <w:sz w:val="15"/>
                <w:szCs w:val="15"/>
                <w:color w:val="auto"/>
              </w:rPr>
            </w:pPr>
          </w:p>
        </w:tc>
        <w:tc>
          <w:tcPr>
            <w:tcW w:w="126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17,645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Tax withholding for restricted</w:t>
            </w:r>
          </w:p>
        </w:tc>
        <w:tc>
          <w:tcPr>
            <w:tcW w:w="1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6"/>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(9,422,284)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(737,817)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9" w:lineRule="exact"/>
        <w:rPr>
          <w:sz w:val="20"/>
          <w:szCs w:val="20"/>
          <w:color w:val="auto"/>
        </w:rPr>
      </w:pPr>
    </w:p>
    <w:p>
      <w:pPr>
        <w:ind w:right="220" w:firstLine="480"/>
        <w:spacing w:after="0" w:line="257" w:lineRule="auto"/>
        <w:rPr>
          <w:sz w:val="20"/>
          <w:szCs w:val="20"/>
          <w:color w:val="auto"/>
        </w:rPr>
      </w:pPr>
      <w:r>
        <w:rPr>
          <w:rFonts w:ascii="Arial" w:cs="Arial" w:eastAsia="Arial" w:hAnsi="Arial"/>
          <w:sz w:val="18"/>
          <w:szCs w:val="18"/>
          <w:color w:val="auto"/>
        </w:rPr>
        <w:t>The Company recognized share-based compensation expense of $10.0 million and $17.6 million during the three months ended March 31, 2021 and 2020, respectively. As of March 31, 2021, the total remaining unrecognized compensation cost related to non-vested share-based compensation awards amounted to $36.1 million.</w:t>
      </w:r>
    </w:p>
    <w:p>
      <w:pPr>
        <w:spacing w:after="0" w:line="81" w:lineRule="exact"/>
        <w:rPr>
          <w:sz w:val="20"/>
          <w:szCs w:val="20"/>
          <w:color w:val="auto"/>
        </w:rPr>
      </w:pPr>
    </w:p>
    <w:p>
      <w:pPr>
        <w:ind w:right="680" w:firstLine="480"/>
        <w:spacing w:after="0" w:line="267" w:lineRule="auto"/>
        <w:rPr>
          <w:sz w:val="20"/>
          <w:szCs w:val="20"/>
          <w:color w:val="auto"/>
        </w:rPr>
      </w:pPr>
      <w:r>
        <w:rPr>
          <w:rFonts w:ascii="Arial" w:cs="Arial" w:eastAsia="Arial" w:hAnsi="Arial"/>
          <w:sz w:val="18"/>
          <w:szCs w:val="18"/>
          <w:color w:val="auto"/>
        </w:rPr>
        <w:t>As of March 31, 2021, the weighted average remaining requisite service period for non-vested stock options was 0.4 years and for non-vested restricted stock units was 1.8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EXPENSE (INCOME), NET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Other expense (income), net for the three months ended March 31, 2021 and 2020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on sale of business and other assets (1)</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Foreign currency loss (gain), net (2)</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(5,639)</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our investments in the equity of other companies (3)</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6"/>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6"/>
        </w:trPr>
        <w:tc>
          <w:tcPr>
            <w:tcW w:w="8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0" w:lineRule="exact"/>
        <w:rPr>
          <w:sz w:val="20"/>
          <w:szCs w:val="20"/>
          <w:color w:val="auto"/>
        </w:rPr>
      </w:pPr>
    </w:p>
    <w:p>
      <w:pPr>
        <w:ind w:left="560" w:hanging="313"/>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primarily relate to the sales of certain intellectual property rights.</w:t>
      </w:r>
    </w:p>
    <w:p>
      <w:pPr>
        <w:ind w:left="560" w:hanging="313"/>
        <w:spacing w:after="0" w:line="238"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ind w:left="560" w:hanging="313"/>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19" w:lineRule="exact"/>
        <w:rPr>
          <w:sz w:val="20"/>
          <w:szCs w:val="20"/>
          <w:color w:val="auto"/>
        </w:rPr>
      </w:pPr>
    </w:p>
    <w:p>
      <w:pPr>
        <w:ind w:right="320" w:firstLine="480"/>
        <w:spacing w:after="0" w:line="264" w:lineRule="auto"/>
        <w:rPr>
          <w:sz w:val="20"/>
          <w:szCs w:val="20"/>
          <w:color w:val="auto"/>
        </w:rPr>
      </w:pPr>
      <w:r>
        <w:rPr>
          <w:rFonts w:ascii="Arial" w:cs="Arial" w:eastAsia="Arial" w:hAnsi="Arial"/>
          <w:sz w:val="18"/>
          <w:szCs w:val="18"/>
          <w:color w:val="auto"/>
        </w:rPr>
        <w:t>The following table displays our Income from continuing operations before income tax, Income tax expense (benefit) and Effective tax rate for the three months ended March 31, 2021 and 2020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47,783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21,249</w:t>
            </w:r>
          </w:p>
        </w:tc>
      </w:tr>
      <w:tr>
        <w:trPr>
          <w:trHeight w:val="226"/>
        </w:trPr>
        <w:tc>
          <w:tcPr>
            <w:tcW w:w="8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(136,332)</w:t>
            </w:r>
          </w:p>
        </w:tc>
      </w:tr>
      <w:tr>
        <w:trPr>
          <w:trHeight w:val="227"/>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(641.6)%</w:t>
            </w:r>
          </w:p>
        </w:tc>
      </w:tr>
    </w:tbl>
    <w:p>
      <w:pPr>
        <w:spacing w:after="0" w:line="94" w:lineRule="exact"/>
        <w:rPr>
          <w:sz w:val="20"/>
          <w:szCs w:val="20"/>
          <w:color w:val="auto"/>
        </w:rPr>
      </w:pPr>
    </w:p>
    <w:p>
      <w:pPr>
        <w:jc w:val="both"/>
        <w:ind w:right="20" w:firstLine="480"/>
        <w:spacing w:after="0" w:line="257" w:lineRule="auto"/>
        <w:rPr>
          <w:sz w:val="20"/>
          <w:szCs w:val="20"/>
          <w:color w:val="auto"/>
        </w:rPr>
      </w:pPr>
      <w:r>
        <w:rPr>
          <w:rFonts w:ascii="Arial" w:cs="Arial" w:eastAsia="Arial" w:hAnsi="Arial"/>
          <w:sz w:val="18"/>
          <w:szCs w:val="18"/>
          <w:color w:val="auto"/>
        </w:rPr>
        <w:t>The change in Income tax expense (benefit) for the three months ended March 31, 2021 compared to the prior year period primarily relates to the 2020 discrete tax benefit for the Coronavirus Aid, Relief, and Economic Security Act (CARES Act), as discussed below, and changes in the geographic mix of pre-tax earnings.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20" w:firstLine="480"/>
        <w:spacing w:after="0" w:line="252"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and certain other foreign tax jurisdictions as of March 31,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6" w:lineRule="exact"/>
        <w:rPr>
          <w:sz w:val="20"/>
          <w:szCs w:val="20"/>
          <w:color w:val="auto"/>
        </w:rPr>
      </w:pPr>
    </w:p>
    <w:p>
      <w:pPr>
        <w:ind w:right="260" w:firstLine="480"/>
        <w:spacing w:after="0" w:line="252" w:lineRule="auto"/>
        <w:rPr>
          <w:sz w:val="20"/>
          <w:szCs w:val="20"/>
          <w:color w:val="auto"/>
        </w:rPr>
      </w:pPr>
      <w:r>
        <w:rPr>
          <w:rFonts w:ascii="Arial" w:cs="Arial" w:eastAsia="Arial" w:hAnsi="Arial"/>
          <w:sz w:val="18"/>
          <w:szCs w:val="18"/>
          <w:color w:val="auto"/>
        </w:rPr>
        <w:t>On March 27, 2020, the CARES Act was enacted by the U.S. government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During the three months ended March 31, 2020, the Company recorded a discrete tax benefit in continuing operations of $137.3 million as a result of the change in the NOL carryback period.</w:t>
      </w:r>
    </w:p>
    <w:p>
      <w:pPr>
        <w:spacing w:after="0" w:line="86" w:lineRule="exact"/>
        <w:rPr>
          <w:sz w:val="20"/>
          <w:szCs w:val="20"/>
          <w:color w:val="auto"/>
        </w:rPr>
      </w:pPr>
    </w:p>
    <w:p>
      <w:pPr>
        <w:ind w:right="80" w:firstLine="480"/>
        <w:spacing w:after="0" w:line="284" w:lineRule="auto"/>
        <w:rPr>
          <w:sz w:val="20"/>
          <w:szCs w:val="20"/>
          <w:color w:val="auto"/>
        </w:rPr>
      </w:pPr>
      <w:r>
        <w:rPr>
          <w:rFonts w:ascii="Arial" w:cs="Arial" w:eastAsia="Arial" w:hAnsi="Arial"/>
          <w:sz w:val="16"/>
          <w:szCs w:val="16"/>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66"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In connection with the IRS’s examination of our 2015 Return, on December 31, 2020, the IRS issued a Technical Advice Memorandum (TAM) that we previously disclosed we were expecting to receive regarding the portion of our 2015 NOL that qualifies as a specified product liability loss (SLL). The TAM concurred in part with our positions on the 2015 Return but disagreed with our position that the AMS worthless stock loss qualifies as an SLL. On April 23, 2021, we received draft NOPAs from the IRS consistent with the TAM. As of the date of this filing, we are in the process of reviewing and discussing the draft NOPAs with the IRS. Although the amount of adjustments that may be asserted by the IRS in the final NOPAs is not known at this time, if the IRS’s position is sustained in whole or in part, we could be required to repay with interest a portion of the $760 million tax refund we disclosed in our 2016 Annual Report on Form 10-K. This result could have a material adverse effect on our business, financial condition, results of operations and cash flows. We disagree with the IRS’s position in the TAM and the draft NOPAs regarding the AMS worthless stock loss and, if necessary, intend to contest the proposed adjustments. Although the timing of the outcome of this matter is uncertain, it is possible any final resolution of the matter could take a number of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INCOME PER SHARE</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is a reconciliation of the numerator and denominator of basic and diluted net income per share for the three months ended March 31,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2021 and 2020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7134225"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Loss from discontinued operations, net of tax</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 basic per share data—weighted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4225"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Dilutive effect of ordinary share equivalents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For diluted per share data—weighted average shares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433"/>
        </w:trPr>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47,059</w:t>
            </w:r>
          </w:p>
        </w:tc>
        <w:tc>
          <w:tcPr>
            <w:tcW w:w="100" w:type="dxa"/>
            <w:vAlign w:val="bottom"/>
          </w:tcPr>
          <w:p>
            <w:pPr>
              <w:spacing w:after="0"/>
              <w:rPr>
                <w:sz w:val="24"/>
                <w:szCs w:val="24"/>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157,581</w:t>
            </w:r>
          </w:p>
        </w:tc>
      </w:tr>
      <w:tr>
        <w:trPr>
          <w:trHeight w:val="227"/>
        </w:trPr>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(27,651)</w:t>
            </w:r>
          </w:p>
        </w:tc>
      </w:tr>
      <w:tr>
        <w:trPr>
          <w:trHeight w:val="220"/>
        </w:trPr>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129,930</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8"/>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230,551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227,198</w:t>
            </w:r>
          </w:p>
        </w:tc>
      </w:tr>
      <w:tr>
        <w:trPr>
          <w:trHeight w:val="227"/>
        </w:trPr>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w:t>
            </w:r>
          </w:p>
        </w:tc>
      </w:tr>
      <w:tr>
        <w:trPr>
          <w:trHeight w:val="220"/>
        </w:trPr>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238,671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233,014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7700" w:space="720"/>
            <w:col w:w="2820"/>
          </w:cols>
          <w:pgMar w:left="320" w:top="118" w:right="339" w:bottom="1440" w:gutter="0" w:footer="0" w:header="0"/>
          <w:type w:val="continuous"/>
        </w:sectPr>
      </w:pPr>
    </w:p>
    <w:p>
      <w:pPr>
        <w:ind w:right="240" w:firstLine="480"/>
        <w:spacing w:after="0" w:line="257"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81" w:lineRule="exact"/>
        <w:rPr>
          <w:sz w:val="20"/>
          <w:szCs w:val="20"/>
          <w:color w:val="auto"/>
        </w:rPr>
      </w:pPr>
    </w:p>
    <w:p>
      <w:pPr>
        <w:ind w:right="160" w:firstLine="480"/>
        <w:spacing w:after="0" w:line="297"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20" w:firstLine="480"/>
        <w:spacing w:after="0" w:line="304" w:lineRule="auto"/>
        <w:rPr>
          <w:sz w:val="20"/>
          <w:szCs w:val="20"/>
          <w:color w:val="auto"/>
        </w:rPr>
      </w:pPr>
      <w:r>
        <w:rPr>
          <w:rFonts w:ascii="Arial" w:cs="Arial" w:eastAsia="Arial" w:hAnsi="Arial"/>
          <w:sz w:val="16"/>
          <w:szCs w:val="16"/>
          <w:color w:val="auto"/>
        </w:rPr>
        <w:t>For the three months ended March 31, 2021, aggregate stock options and stock awards of 3.7 million and 0.1 million, respectively, were excluded from the diluted share calculation because their effect would have been anti-dilutive. For the three months ended March 31, 2020, aggregate stock options and stock awards of 7.2 million and 3.3 million, respectively, were excluded from the diluted share calculation because their effect would have been anti-dilutive.</w:t>
      </w:r>
    </w:p>
    <w:p>
      <w:pPr>
        <w:spacing w:after="0" w:line="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119" w:lineRule="exact"/>
        <w:rPr>
          <w:sz w:val="20"/>
          <w:szCs w:val="20"/>
          <w:color w:val="auto"/>
        </w:rPr>
      </w:pPr>
    </w:p>
    <w:p>
      <w:pPr>
        <w:ind w:right="40" w:firstLine="480"/>
        <w:spacing w:after="0" w:line="267"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77" w:lineRule="exact"/>
        <w:rPr>
          <w:sz w:val="20"/>
          <w:szCs w:val="20"/>
          <w:color w:val="auto"/>
        </w:rPr>
      </w:pPr>
    </w:p>
    <w:p>
      <w:pPr>
        <w:ind w:right="900" w:firstLine="480"/>
        <w:spacing w:after="0" w:line="26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firstLine="480"/>
        <w:spacing w:after="0" w:line="263" w:lineRule="auto"/>
        <w:rPr>
          <w:sz w:val="20"/>
          <w:szCs w:val="20"/>
          <w:color w:val="auto"/>
        </w:rPr>
      </w:pPr>
      <w:r>
        <w:rPr>
          <w:rFonts w:ascii="Arial" w:cs="Arial" w:eastAsia="Arial" w:hAnsi="Arial"/>
          <w:sz w:val="17"/>
          <w:szCs w:val="17"/>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(7) other actions taken by the Company which may impact the availability of our products and (8) more recently, the impact of COVID-19. These fluctuations are also attributable to charges incurred for compensation related to share-based payments, amortization of intangible assets, asset impairment charges, charges related to litigation, restructuring charges and certain upfront, milestone and other payments made or accrued pursuant to acquisition or licensing agreements. The following summary highlights certain recent developments that have resulted in and/or could in the future result in fluctuations in our results of operations and/or changes in our liquidity and capital resources:</w:t>
      </w:r>
    </w:p>
    <w:p>
      <w:pPr>
        <w:spacing w:after="0" w:line="3" w:lineRule="exact"/>
        <w:rPr>
          <w:sz w:val="20"/>
          <w:szCs w:val="20"/>
          <w:color w:val="auto"/>
        </w:rPr>
      </w:pPr>
    </w:p>
    <w:p>
      <w:pPr>
        <w:ind w:left="880" w:right="20" w:hanging="234"/>
        <w:spacing w:after="0" w:line="261" w:lineRule="auto"/>
        <w:tabs>
          <w:tab w:leader="none" w:pos="8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December 2019, COVID-19 was reported to have surfaced in Wuhan, China. In March 2020, the World Health Organization declared the COVID-19 outbreak a pandemic. Many countries and localities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Since then, developments have evolved rapidly and are likely to continue to do so. While there has been loosening of restrictions, an increase in diagnosed cases may lead to the reinstatement of various restrictions. The impact on our results from COVID-19 and related changes in economic conditions, including changes to consumer spending resulting from the rapid rise in local and national unemployment rates,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in the future cannot be predicted with certainty; however, any such impact could be material. In addition, the impacts from COVID-19 on our consolidated results and the results of our business segments to date may not be directly comparable to any historical period and are not necessarily indicative of its impact on our results for any future periods. COVID-19 could also increase the degree to which our results, including the results of our business segments, fluctuate in the future.</w:t>
      </w:r>
    </w:p>
    <w:p>
      <w:pPr>
        <w:spacing w:after="0" w:line="9" w:lineRule="exact"/>
        <w:rPr>
          <w:rFonts w:ascii="Arial" w:cs="Arial" w:eastAsia="Arial" w:hAnsi="Arial"/>
          <w:sz w:val="17"/>
          <w:szCs w:val="17"/>
          <w:color w:val="auto"/>
        </w:rPr>
      </w:pPr>
    </w:p>
    <w:p>
      <w:pPr>
        <w:ind w:left="880" w:right="180" w:hanging="234"/>
        <w:spacing w:after="0" w:line="278" w:lineRule="auto"/>
        <w:tabs>
          <w:tab w:leader="none" w:pos="8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June 2020, we completed a series of financing transactions, collectively referred to herein as the June 2020 Refinancing Transactions, which are further discussed in Note 12. Debt of the Condensed Consolidated Financial Statements included in Part I, Item 1.</w:t>
      </w:r>
    </w:p>
    <w:p>
      <w:pPr>
        <w:ind w:left="880" w:right="220" w:hanging="234"/>
        <w:spacing w:after="0" w:line="24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September 2020, we announced that we had entered into a non-exclusive agreement with Novavax, Inc. to provide fill-finish manufacturing services for its COVID-19 vaccine candidate (NVX-CoV2373).</w:t>
      </w:r>
    </w:p>
    <w:p>
      <w:pPr>
        <w:ind w:left="880" w:right="20" w:hanging="234"/>
        <w:spacing w:after="0" w:line="278" w:lineRule="auto"/>
        <w:tabs>
          <w:tab w:leader="none" w:pos="8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November 2020, we announced the initiation of several strategic actions, collectively referred to as the 2020 Restructuring Initiative, to further optimize operations and increase overall efficiency. We have recorded and expect to record certain charges to complete these activities in anticipation of realizing annualized cost savings. For further discussion of this initiative, including a discussion of related charges and expected future charges, refer to Note 4. Restructuring of the Condensed Consolidated Financial Statements included in Part I, Item 1.</w:t>
      </w:r>
    </w:p>
    <w:p>
      <w:pPr>
        <w:ind w:left="880" w:right="40" w:hanging="234"/>
        <w:spacing w:after="0" w:line="248" w:lineRule="auto"/>
        <w:tabs>
          <w:tab w:leader="none" w:pos="8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December 2020, we completed our acquisition of BioSpecifics Technologies Corp (BioSpecifics). Prior to this acquisition,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(collagenase clostridium histolyticum-aaes). Subsequent to the acquisition, BioSpecifics became our wholly-owned consolidated subsidiary. As a result, beginning in December 2020, the BioSpecifics acquisition had the effect of reducing royalty payments recognized in Cost of revenues.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ind w:left="880" w:right="400" w:hanging="234"/>
        <w:spacing w:after="0" w:line="285" w:lineRule="auto"/>
        <w:tabs>
          <w:tab w:leader="none" w:pos="8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March 2021, we completed a series of financing transactions, collectively referred to herein as the March 2021 Refinancing Transactions, which are further discussed in Note 12. Debt of the Condensed Consolidated Financial Statements included in Part I, Item 1.</w:t>
      </w:r>
    </w:p>
    <w:p>
      <w:pPr>
        <w:ind w:left="880" w:right="400" w:hanging="234"/>
        <w:spacing w:after="0" w:line="253" w:lineRule="auto"/>
        <w:tabs>
          <w:tab w:leader="none" w:pos="8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July 2020, we received FDA approval for QWO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treatment of moderate to severe cellulite in the buttocks of adult women. During 2020, we put in place a U.S. aesthetics commercial team and the capabilities that enabled us to launch QWO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March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Other Key Trends</w:t>
      </w:r>
    </w:p>
    <w:p>
      <w:pPr>
        <w:spacing w:after="0" w:line="119"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In addition to our existing business continuity plans, our Senior Executive Team has developed and implemented a range of proactive measures to address the risks, uncertainties and operational challenges associated with COVID-19. We continue to closely monitor the rapidly evolving situation and implement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spacing w:after="0" w:line="65" w:lineRule="exact"/>
        <w:rPr>
          <w:sz w:val="20"/>
          <w:szCs w:val="20"/>
          <w:color w:val="auto"/>
        </w:rPr>
      </w:pPr>
    </w:p>
    <w:p>
      <w:pPr>
        <w:ind w:right="60" w:firstLine="480"/>
        <w:spacing w:after="0" w:line="285" w:lineRule="auto"/>
        <w:rPr>
          <w:sz w:val="20"/>
          <w:szCs w:val="20"/>
          <w:color w:val="auto"/>
        </w:rPr>
      </w:pPr>
      <w:r>
        <w:rPr>
          <w:rFonts w:ascii="Arial" w:cs="Arial" w:eastAsia="Arial" w:hAnsi="Arial"/>
          <w:sz w:val="16"/>
          <w:szCs w:val="16"/>
          <w:b w:val="1"/>
          <w:bCs w:val="1"/>
          <w:i w:val="1"/>
          <w:iCs w:val="1"/>
          <w:color w:val="auto"/>
        </w:rPr>
        <w:t xml:space="preserve">Workforce. </w:t>
      </w:r>
      <w:r>
        <w:rPr>
          <w:rFonts w:ascii="Arial" w:cs="Arial" w:eastAsia="Arial" w:hAnsi="Arial"/>
          <w:sz w:val="16"/>
          <w:szCs w:val="16"/>
          <w:color w:val="auto"/>
        </w:rPr>
        <w:t>We have taken, and will continue to take, proactive measures to provide for the well-being of our workforce around the globe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to safely produce products upon which patients and their healthcare providers rely. We have implemented alternative working practices and work-from-home requirements for appropriate employees, inclusive of our executive leadership team, and are continuing to pay full wages to our workforce. We have limited international and domestic travel, increased our already-thorough cleaning protocols throughout our facilities and prohibited non-essential visitors from our sites. We have also implemented temperature screenings, health questionnaires, social distancing, modified schedules, shift rotation and other similar policies at our manufacturing facilities. We launched a hybrid approach selling model as of June 1, 2020 for our field employees, which allows virtual and/or live engagement with healthcare providers and other customers. Certain of these measures have resulted in increased costs and, as further described below, resulted in the prioritization of certain products in our production plans.</w:t>
      </w:r>
    </w:p>
    <w:p>
      <w:pPr>
        <w:spacing w:after="0" w:line="65" w:lineRule="exact"/>
        <w:rPr>
          <w:sz w:val="20"/>
          <w:szCs w:val="20"/>
          <w:color w:val="auto"/>
        </w:rPr>
      </w:pPr>
    </w:p>
    <w:p>
      <w:pPr>
        <w:ind w:right="20" w:firstLine="480"/>
        <w:spacing w:after="0" w:line="260" w:lineRule="auto"/>
        <w:rPr>
          <w:sz w:val="20"/>
          <w:szCs w:val="20"/>
          <w:color w:val="auto"/>
        </w:rPr>
      </w:pPr>
      <w:r>
        <w:rPr>
          <w:rFonts w:ascii="Arial" w:cs="Arial" w:eastAsia="Arial" w:hAnsi="Arial"/>
          <w:sz w:val="16"/>
          <w:szCs w:val="16"/>
          <w:b w:val="1"/>
          <w:bCs w:val="1"/>
          <w:i w:val="1"/>
          <w:iCs w:val="1"/>
          <w:color w:val="auto"/>
        </w:rPr>
        <w:t xml:space="preserve">Customers and the Patients They Serve. </w:t>
      </w:r>
      <w:r>
        <w:rPr>
          <w:rFonts w:ascii="Arial" w:cs="Arial" w:eastAsia="Arial" w:hAnsi="Arial"/>
          <w:sz w:val="16"/>
          <w:szCs w:val="16"/>
          <w:color w:val="auto"/>
        </w:rPr>
        <w:t>We have experienced, and expect to continue to experience, changes in customer demand as the COVID-19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pandemic continues to evolve, which are difficult to predict. Beginning in late first-quarter 2020 and into early second-quarter 2020, we experienced an increase in sales volumes for some of our critical care products, including VASOSTRICT</w:t>
      </w:r>
      <w:r>
        <w:rPr>
          <w:rFonts w:ascii="Arial" w:cs="Arial" w:eastAsia="Arial" w:hAnsi="Arial"/>
          <w:sz w:val="21"/>
          <w:szCs w:val="21"/>
          <w:color w:val="auto"/>
          <w:vertAlign w:val="superscript"/>
        </w:rPr>
        <w:t>®</w:t>
      </w:r>
      <w:r>
        <w:rPr>
          <w:rFonts w:ascii="Arial" w:cs="Arial" w:eastAsia="Arial" w:hAnsi="Arial"/>
          <w:sz w:val="16"/>
          <w:szCs w:val="16"/>
          <w:color w:val="auto"/>
        </w:rPr>
        <w:t>. These higher volumes resulted from significant channel inventory stocking of these products in anticipation of treating certain patients infected with COVID-19 including, in the case of VASOSTRICT</w:t>
      </w:r>
      <w:r>
        <w:rPr>
          <w:rFonts w:ascii="Arial" w:cs="Arial" w:eastAsia="Arial" w:hAnsi="Arial"/>
          <w:sz w:val="21"/>
          <w:szCs w:val="21"/>
          <w:color w:val="auto"/>
          <w:vertAlign w:val="superscript"/>
        </w:rPr>
        <w:t>®</w:t>
      </w:r>
      <w:r>
        <w:rPr>
          <w:rFonts w:ascii="Arial" w:cs="Arial" w:eastAsia="Arial" w:hAnsi="Arial"/>
          <w:sz w:val="16"/>
          <w:szCs w:val="16"/>
          <w:color w:val="auto"/>
        </w:rPr>
        <w:t>, for the treatment of patients with vasodilatory shock. This increase in sales volume was followed by significant inventory destocking for the remainder of the second quarter of 2020. Sales volumes returned toward pre-COVID-19 levels during the third quarter of 2020; however, during the fourth quarter of 2020 and continuing into the first quarter of 2021, we again experienced increased sales volumes based on a resurgence of COVID-19 cases in certain parts of the U.S. Additionally, beginning during the last two weeks of the first quarter of 2020 and continuing into the second quarter of 2020, certain of our products that are physician administered, including XIAFLEX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SUPPRELIN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LA, began experiencing significantly decreased sales volumes due to reduced physician office activity and patient office visits compared to the prior year because of the COVID-19 pandemic. Since then, sales volumes for these products have been recovering toward pre-COVID-19 levels as physician office activity and patient office visits have increased. Future changes in the COVID-19 pandemic could further impact future revenues for these and/or other products.</w:t>
      </w:r>
    </w:p>
    <w:p>
      <w:pPr>
        <w:spacing w:after="0" w:line="87" w:lineRule="exact"/>
        <w:rPr>
          <w:sz w:val="20"/>
          <w:szCs w:val="20"/>
          <w:color w:val="auto"/>
        </w:rPr>
      </w:pPr>
    </w:p>
    <w:p>
      <w:pPr>
        <w:ind w:right="140" w:firstLine="480"/>
        <w:spacing w:after="0" w:line="258" w:lineRule="auto"/>
        <w:rPr>
          <w:sz w:val="20"/>
          <w:szCs w:val="20"/>
          <w:color w:val="auto"/>
        </w:rPr>
      </w:pPr>
      <w:r>
        <w:rPr>
          <w:rFonts w:ascii="Arial" w:cs="Arial" w:eastAsia="Arial" w:hAnsi="Arial"/>
          <w:sz w:val="17"/>
          <w:szCs w:val="17"/>
          <w:b w:val="1"/>
          <w:bCs w:val="1"/>
          <w:i w:val="1"/>
          <w:iCs w:val="1"/>
          <w:color w:val="auto"/>
        </w:rPr>
        <w:t xml:space="preserve">Manufacturing and Supply Chain Operations. </w:t>
      </w:r>
      <w:r>
        <w:rPr>
          <w:rFonts w:ascii="Arial" w:cs="Arial" w:eastAsia="Arial" w:hAnsi="Arial"/>
          <w:sz w:val="17"/>
          <w:szCs w:val="17"/>
          <w:color w:val="auto"/>
        </w:rPr>
        <w:t>As of the date of this report, our business has not experienced any material supply issues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and our manufacturing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including the implementation of temperature screenings, health questionnaires, social distancing, modified schedules, shift rotation and other similar policies at our manufacturing facilities, as well as changes in our workforce availability have impacted our manufacturing and supply chain productivity at certain of our facilities and resulted in the prioritization of certain products, such as VASOSTRICT</w:t>
      </w:r>
      <w:r>
        <w:rPr>
          <w:rFonts w:ascii="Arial" w:cs="Arial" w:eastAsia="Arial" w:hAnsi="Arial"/>
          <w:sz w:val="22"/>
          <w:szCs w:val="22"/>
          <w:color w:val="auto"/>
          <w:vertAlign w:val="superscript"/>
        </w:rPr>
        <w:t>®</w:t>
      </w:r>
      <w:r>
        <w:rPr>
          <w:rFonts w:ascii="Arial" w:cs="Arial" w:eastAsia="Arial" w:hAnsi="Arial"/>
          <w:sz w:val="17"/>
          <w:szCs w:val="17"/>
          <w:color w:val="auto"/>
        </w:rPr>
        <w:t>, in our production plans to provide for their continued availability during and after the pandemic. We believe that our diversified manufacturing footprint, which includes a combination of Endo owned and leased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40" w:firstLine="480"/>
        <w:spacing w:after="0" w:line="285" w:lineRule="auto"/>
        <w:rPr>
          <w:sz w:val="20"/>
          <w:szCs w:val="20"/>
          <w:color w:val="auto"/>
        </w:rPr>
      </w:pPr>
      <w:r>
        <w:rPr>
          <w:rFonts w:ascii="Arial" w:cs="Arial" w:eastAsia="Arial" w:hAnsi="Arial"/>
          <w:sz w:val="16"/>
          <w:szCs w:val="16"/>
          <w:b w:val="1"/>
          <w:bCs w:val="1"/>
          <w:i w:val="1"/>
          <w:iCs w:val="1"/>
          <w:color w:val="auto"/>
        </w:rPr>
        <w:t xml:space="preserve">Clinical and Development Programs. </w:t>
      </w:r>
      <w:r>
        <w:rPr>
          <w:rFonts w:ascii="Arial" w:cs="Arial" w:eastAsia="Arial" w:hAnsi="Arial"/>
          <w:sz w:val="16"/>
          <w:szCs w:val="16"/>
          <w:color w:val="auto"/>
        </w:rPr>
        <w:t>We have a number of ongoing clinical trials. We are committed to the safety of our patients, employees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To date, the impacts of COVID-19 have resulted in modest delays and could continue to cause delays to certain of our clinical trials and product development and commercialization programs, including obtaining adequate patient enrollment, receiving regulatory approvals and successfully bringing product candidates to market. Additionally, as a result of COVID-19 and its impact on medical aesthetics physician office closures and consumer spending, we moved the product launch of QWO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 spring 2021.</w:t>
      </w:r>
    </w:p>
    <w:p>
      <w:pPr>
        <w:spacing w:after="0" w:line="2" w:lineRule="exact"/>
        <w:rPr>
          <w:sz w:val="20"/>
          <w:szCs w:val="20"/>
          <w:color w:val="auto"/>
        </w:rPr>
      </w:pPr>
    </w:p>
    <w:p>
      <w:pPr>
        <w:ind w:right="160" w:firstLine="480"/>
        <w:spacing w:after="0" w:line="250" w:lineRule="auto"/>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Since the first quarter of 2020, we, and our industry as a whole, have been impacted by COVID-19 and may experience an impact 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The most significant trends we face as a result of the COVID-19 pandemic include: (i) decreases in demand for certain of our physician administered products due to physician office closures and a decline in patients electing to be treated because of the COVID-19 pandemic, (ii) potential temporary decreases to the supply of certain of our products due to modified production schedules to safely maintain operations in response to COVID-19 and other factors including, without limitation, workforce availability, (iii) potential idle capacity charges based on implementation of certain of the policies described above at our manufacturing facilities and (iv) potential delays in our ability to launch some new products due to production prioritization and economic conditions and other factors outside of our control.</w:t>
      </w:r>
    </w:p>
    <w:p>
      <w:pPr>
        <w:spacing w:after="0" w:line="90" w:lineRule="exact"/>
        <w:rPr>
          <w:sz w:val="20"/>
          <w:szCs w:val="20"/>
          <w:color w:val="auto"/>
        </w:rPr>
      </w:pPr>
    </w:p>
    <w:p>
      <w:pPr>
        <w:ind w:firstLine="480"/>
        <w:spacing w:after="0" w:line="249" w:lineRule="auto"/>
        <w:rPr>
          <w:sz w:val="20"/>
          <w:szCs w:val="20"/>
          <w:color w:val="auto"/>
        </w:rPr>
      </w:pPr>
      <w:r>
        <w:rPr>
          <w:rFonts w:ascii="Arial" w:cs="Arial" w:eastAsia="Arial" w:hAnsi="Arial"/>
          <w:sz w:val="18"/>
          <w:szCs w:val="18"/>
          <w:color w:val="auto"/>
        </w:rPr>
        <w:t>Our estimated revenue trends for the full year 2021 compared to the full year 2020 are set forth below. These estimated revenue trends reflect the current expectations of our management team based on information currently available to them. Our estimates are subject to significant risks and uncertainties that could cause our actual results to differ materially from those indicated below, including, among other things, our assumptions about the duration and severity of COVID-19 and the impact of any related governmental, business or other actions, any of which could cause the impact of COVID-19 to be more significant than our current expectations.</w:t>
      </w:r>
    </w:p>
    <w:p>
      <w:pPr>
        <w:spacing w:after="0" w:line="3" w:lineRule="exact"/>
        <w:rPr>
          <w:sz w:val="20"/>
          <w:szCs w:val="20"/>
          <w:color w:val="auto"/>
        </w:rPr>
      </w:pPr>
    </w:p>
    <w:p>
      <w:pPr>
        <w:ind w:left="880" w:right="80" w:hanging="234"/>
        <w:spacing w:after="0" w:line="234" w:lineRule="auto"/>
        <w:tabs>
          <w:tab w:leader="none" w:pos="8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the full year 2021, we expect an increase in revenues from the Specialty Products portfolio of our Branded Pharmaceuticals segment as compared to 2020, primarily driven by increased revenues of XIAFLEX</w:t>
      </w:r>
      <w:r>
        <w:rPr>
          <w:rFonts w:ascii="Arial" w:cs="Arial" w:eastAsia="Arial" w:hAnsi="Arial"/>
          <w:sz w:val="22"/>
          <w:szCs w:val="22"/>
          <w:color w:val="auto"/>
          <w:vertAlign w:val="superscript"/>
        </w:rPr>
        <w:t>®</w:t>
      </w:r>
      <w:r>
        <w:rPr>
          <w:rFonts w:ascii="Arial" w:cs="Arial" w:eastAsia="Arial" w:hAnsi="Arial"/>
          <w:sz w:val="17"/>
          <w:szCs w:val="17"/>
          <w:color w:val="auto"/>
        </w:rPr>
        <w:t>. This expected increase in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is primarily driven by an anticipated increase in demand driven by our investments in and promotional efforts behind this product. Additionally, we expect physician office activity and patient office visits to increase in 2021 compared to 2020. We also launched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March 2021, which we expect will contribute to the overall increase in Branded Pharmaceuticals segment revenues in 2021.</w:t>
      </w:r>
    </w:p>
    <w:p>
      <w:pPr>
        <w:spacing w:after="0" w:line="1" w:lineRule="exact"/>
        <w:rPr>
          <w:rFonts w:ascii="Arial" w:cs="Arial" w:eastAsia="Arial" w:hAnsi="Arial"/>
          <w:sz w:val="17"/>
          <w:szCs w:val="17"/>
          <w:color w:val="auto"/>
        </w:rPr>
      </w:pPr>
    </w:p>
    <w:p>
      <w:pPr>
        <w:ind w:left="880" w:right="40" w:hanging="234"/>
        <w:spacing w:after="0" w:line="250"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full year 2021, we expect revenues from the Established Products portfolio of our Branded Pharmaceuticals segment and from our Sterile Injectables, Generic Pharmaceuticals and International Pharmaceuticals segments to decline as compared to 2020, primarily driven by competitive pressures impacting these product portfolios.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displays our revenue, gross margin, gross margin percentage and other pre-tax expense or income for the three months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(dollars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185"/>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 vs. 2020</w:t>
            </w:r>
          </w:p>
        </w:tc>
      </w:tr>
      <w:tr>
        <w:trPr>
          <w:trHeight w:val="22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717,919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820,405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305,293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388,799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r>
      <w:tr>
        <w:trPr>
          <w:trHeight w:val="221"/>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412,626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431,606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9"/>
        </w:trPr>
        <w:tc>
          <w:tcPr>
            <w:tcW w:w="6820" w:type="dxa"/>
            <w:vAlign w:val="bottom"/>
          </w:tcPr>
          <w:p>
            <w:pPr>
              <w:ind w:left="140"/>
              <w:spacing w:after="0"/>
              <w:rPr>
                <w:sz w:val="20"/>
                <w:szCs w:val="20"/>
                <w:color w:val="auto"/>
              </w:rPr>
            </w:pPr>
            <w:r>
              <w:rPr>
                <w:rFonts w:ascii="Arial" w:cs="Arial" w:eastAsia="Arial" w:hAnsi="Arial"/>
                <w:sz w:val="18"/>
                <w:szCs w:val="18"/>
                <w:i w:val="1"/>
                <w:iCs w:val="1"/>
                <w:color w:val="auto"/>
              </w:rPr>
              <w:t>Gross margin percentage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52.6 %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187,174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166,768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6"/>
        </w:trPr>
        <w:tc>
          <w:tcPr>
            <w:tcW w:w="68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29,739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31,615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(17,176)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6"/>
        </w:trPr>
        <w:tc>
          <w:tcPr>
            <w:tcW w:w="6820" w:type="dxa"/>
            <w:vAlign w:val="bottom"/>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97,785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integration items,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12,462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6"/>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134,341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132,877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(13,974)</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46"/>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 before income tax</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47,783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21,249</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36" w:lineRule="auto"/>
        <w:rPr>
          <w:sz w:val="20"/>
          <w:szCs w:val="20"/>
          <w:color w:val="auto"/>
        </w:rPr>
      </w:pPr>
      <w:r>
        <w:rPr>
          <w:rFonts w:ascii="Arial" w:cs="Arial" w:eastAsia="Arial" w:hAnsi="Arial"/>
          <w:sz w:val="18"/>
          <w:szCs w:val="18"/>
          <w:b w:val="1"/>
          <w:bCs w:val="1"/>
          <w:i w:val="1"/>
          <w:iCs w:val="1"/>
          <w:color w:val="auto"/>
        </w:rPr>
        <w:t xml:space="preserve">Total revenues, net. </w:t>
      </w:r>
      <w:r>
        <w:rPr>
          <w:rFonts w:ascii="Arial" w:cs="Arial" w:eastAsia="Arial" w:hAnsi="Arial"/>
          <w:sz w:val="18"/>
          <w:szCs w:val="18"/>
          <w:color w:val="auto"/>
        </w:rPr>
        <w:t>Total revenues for the three months ended March 31, 2021 decreased as compared to the prior year period as revenue increases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the Specialty Products portfolio of our Branded Pharmaceuticals segment were more than offset by revenue declines from our Generic Pharmaceuticals and International Pharmaceuticals segments, the Established Products portfolio of our Branded Pharmaceuticals segment and certain products in our Sterile Injectables segment. Our revenues are further disaggregated and described below under the heading “Business Segment Results Review.”</w:t>
      </w:r>
    </w:p>
    <w:p>
      <w:pPr>
        <w:spacing w:after="0" w:line="99" w:lineRule="exact"/>
        <w:rPr>
          <w:sz w:val="20"/>
          <w:szCs w:val="20"/>
          <w:color w:val="auto"/>
        </w:rPr>
      </w:pPr>
    </w:p>
    <w:p>
      <w:pPr>
        <w:ind w:right="60" w:firstLine="480"/>
        <w:spacing w:after="0" w:line="257"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months ended March 31, 2021 and 2020, we incurred certain charges that impact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comparability of total Cost of revenues, including those related to amortization expense and continuity and separation benefits and other cost reduction initiatives. The following table summarizes such amounts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117,237</w:t>
            </w: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Continuity and separation benefits and other cost reduction initiatives (2)</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6,238</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480" w:hanging="313"/>
        <w:spacing w:after="0" w:line="238" w:lineRule="auto"/>
        <w:tabs>
          <w:tab w:leader="none" w:pos="472"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during the three months ended March 31, 2021 was primarily driven by prior asset impairment charges and decreases in the rate of amortization expense for certain assets, partially offset by the impact of certain in-process research and development assets previously put into service.</w:t>
      </w:r>
    </w:p>
    <w:p>
      <w:pPr>
        <w:spacing w:after="0" w:line="1" w:lineRule="exact"/>
        <w:rPr>
          <w:rFonts w:ascii="Arial" w:cs="Arial" w:eastAsia="Arial" w:hAnsi="Arial"/>
          <w:sz w:val="14"/>
          <w:szCs w:val="14"/>
          <w:color w:val="auto"/>
        </w:rPr>
      </w:pPr>
    </w:p>
    <w:p>
      <w:pPr>
        <w:ind w:left="480" w:right="140" w:hanging="313"/>
        <w:spacing w:after="0" w:line="244" w:lineRule="auto"/>
        <w:tabs>
          <w:tab w:leader="none" w:pos="472"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primarily relate to certain employee separation, continuity and other benefit-related costs, charges to increase excess inventory reserves and accelerated depreciation charges. For further discussion of our material restructuring initiatives, including a discussion of related charges and expected future charges, refer to Note 4. Restructuring of the Condensed Consolidated Financial Statements included in Part I, Item 1.</w:t>
      </w:r>
    </w:p>
    <w:p>
      <w:pPr>
        <w:spacing w:after="0" w:line="90" w:lineRule="exact"/>
        <w:rPr>
          <w:sz w:val="20"/>
          <w:szCs w:val="20"/>
          <w:color w:val="auto"/>
        </w:rPr>
      </w:pPr>
    </w:p>
    <w:p>
      <w:pPr>
        <w:ind w:firstLine="480"/>
        <w:spacing w:after="0" w:line="257" w:lineRule="auto"/>
        <w:rPr>
          <w:sz w:val="20"/>
          <w:szCs w:val="20"/>
          <w:color w:val="auto"/>
        </w:rPr>
      </w:pPr>
      <w:r>
        <w:rPr>
          <w:rFonts w:ascii="Arial" w:cs="Arial" w:eastAsia="Arial" w:hAnsi="Arial"/>
          <w:sz w:val="18"/>
          <w:szCs w:val="18"/>
          <w:color w:val="auto"/>
        </w:rPr>
        <w:t>The decrease in Cost of revenues for the three months ended March 31, 2021 was primarily due to decreased revenues, decreased amortization expense and favorable changes in product mix as described below, partially offset by increased expenses related to continuity and separation benefits and other cost reduction initiatives.</w:t>
      </w:r>
    </w:p>
    <w:p>
      <w:pPr>
        <w:spacing w:after="0" w:line="81" w:lineRule="exact"/>
        <w:rPr>
          <w:sz w:val="20"/>
          <w:szCs w:val="20"/>
          <w:color w:val="auto"/>
        </w:rPr>
      </w:pPr>
    </w:p>
    <w:p>
      <w:pPr>
        <w:ind w:right="240" w:firstLine="480"/>
        <w:spacing w:after="0" w:line="234" w:lineRule="auto"/>
        <w:rPr>
          <w:sz w:val="20"/>
          <w:szCs w:val="20"/>
          <w:color w:val="auto"/>
        </w:rPr>
      </w:pPr>
      <w:r>
        <w:rPr>
          <w:rFonts w:ascii="Arial" w:cs="Arial" w:eastAsia="Arial" w:hAnsi="Arial"/>
          <w:sz w:val="18"/>
          <w:szCs w:val="18"/>
          <w:color w:val="auto"/>
        </w:rPr>
        <w:t>Gross margin percentage increased for the three months ended March 31, 2021 as a result of favorable changes in product mix and decreased amortization expense, partially offset by increased expenses related to continuity and separation benefits and other cost reduction initiatives. The favorable change in product mix for the three months ended March 31, 2021 primarily resulted from increased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and decreased Generic Pharmaceuticals segment revenues.</w:t>
      </w:r>
    </w:p>
    <w:p>
      <w:pPr>
        <w:spacing w:after="0" w:line="96" w:lineRule="exact"/>
        <w:rPr>
          <w:sz w:val="20"/>
          <w:szCs w:val="20"/>
          <w:color w:val="auto"/>
        </w:rPr>
      </w:pPr>
    </w:p>
    <w:p>
      <w:pPr>
        <w:ind w:right="540" w:firstLine="480"/>
        <w:spacing w:after="0" w:line="267" w:lineRule="auto"/>
        <w:rPr>
          <w:sz w:val="20"/>
          <w:szCs w:val="20"/>
          <w:color w:val="auto"/>
        </w:rPr>
      </w:pPr>
      <w:r>
        <w:rPr>
          <w:rFonts w:ascii="Arial" w:cs="Arial" w:eastAsia="Arial" w:hAnsi="Arial"/>
          <w:sz w:val="18"/>
          <w:szCs w:val="18"/>
          <w:color w:val="auto"/>
        </w:rPr>
        <w:t>Additionally, as further discussed above, beginning in December 2020, the BioSpecifics acquisition had the effect of reducing royalty payments recognized in Cost of revenues.</w:t>
      </w:r>
    </w:p>
    <w:p>
      <w:pPr>
        <w:spacing w:after="0" w:line="73" w:lineRule="exact"/>
        <w:rPr>
          <w:sz w:val="20"/>
          <w:szCs w:val="20"/>
          <w:color w:val="auto"/>
        </w:rPr>
      </w:pPr>
    </w:p>
    <w:p>
      <w:pPr>
        <w:ind w:right="240" w:firstLine="480"/>
        <w:spacing w:after="0" w:line="230"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The increase for the three months ended March 31, 2021 was primarily due to increased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our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certain legal matters, as well as a higher branded prescription drug fee, partially offset by decreased long-term incentive compensation costs.</w:t>
      </w:r>
    </w:p>
    <w:p>
      <w:pPr>
        <w:spacing w:after="0" w:line="96" w:lineRule="exact"/>
        <w:rPr>
          <w:sz w:val="20"/>
          <w:szCs w:val="20"/>
          <w:color w:val="auto"/>
        </w:rPr>
      </w:pPr>
    </w:p>
    <w:p>
      <w:pPr>
        <w:ind w:right="140" w:firstLine="480"/>
        <w:spacing w:after="0" w:line="257" w:lineRule="auto"/>
        <w:rPr>
          <w:sz w:val="20"/>
          <w:szCs w:val="20"/>
          <w:color w:val="auto"/>
        </w:rPr>
      </w:pPr>
      <w:r>
        <w:rPr>
          <w:rFonts w:ascii="Arial" w:cs="Arial" w:eastAsia="Arial" w:hAnsi="Arial"/>
          <w:sz w:val="18"/>
          <w:szCs w:val="18"/>
          <w:color w:val="auto"/>
        </w:rPr>
        <w:t>Additionally, Selling, general and administrative expenses have been and may in the future be impacted by the 2020 Restructuring Initiative. Refer to Note 4. Restructuring of the Condensed Consolidated Financial Statements included in Part I, Item 1 for discussion of this initiative, including the related charges and expected future charges.</w:t>
      </w:r>
    </w:p>
    <w:p>
      <w:pPr>
        <w:spacing w:after="0" w:line="81" w:lineRule="exact"/>
        <w:rPr>
          <w:sz w:val="20"/>
          <w:szCs w:val="20"/>
          <w:color w:val="auto"/>
        </w:rPr>
      </w:pPr>
    </w:p>
    <w:p>
      <w:pPr>
        <w:ind w:right="60" w:firstLine="480"/>
        <w:spacing w:after="0" w:line="212" w:lineRule="auto"/>
        <w:rPr>
          <w:sz w:val="20"/>
          <w:szCs w:val="20"/>
          <w:color w:val="auto"/>
        </w:rPr>
      </w:pPr>
      <w:r>
        <w:rPr>
          <w:rFonts w:ascii="Arial" w:cs="Arial" w:eastAsia="Arial" w:hAnsi="Arial"/>
          <w:sz w:val="18"/>
          <w:szCs w:val="18"/>
          <w:color w:val="auto"/>
        </w:rPr>
        <w:t>We expect Selling, general and administrative expenses to increase as compared to amounts in 2020, primarily as a result of increased costs 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significantly increased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increased legal costs associated with certain matters.</w:t>
      </w:r>
    </w:p>
    <w:p>
      <w:pPr>
        <w:spacing w:after="0" w:line="96" w:lineRule="exact"/>
        <w:rPr>
          <w:sz w:val="20"/>
          <w:szCs w:val="20"/>
          <w:color w:val="auto"/>
        </w:rPr>
      </w:pPr>
    </w:p>
    <w:p>
      <w:pPr>
        <w:ind w:right="60" w:firstLine="480"/>
        <w:spacing w:after="0" w:line="297" w:lineRule="auto"/>
        <w:rPr>
          <w:sz w:val="20"/>
          <w:szCs w:val="20"/>
          <w:color w:val="auto"/>
        </w:rPr>
      </w:pPr>
      <w:r>
        <w:rPr>
          <w:rFonts w:ascii="Arial" w:cs="Arial" w:eastAsia="Arial" w:hAnsi="Arial"/>
          <w:sz w:val="17"/>
          <w:szCs w:val="17"/>
          <w:b w:val="1"/>
          <w:bCs w:val="1"/>
          <w:i w:val="1"/>
          <w:iCs w:val="1"/>
          <w:color w:val="auto"/>
        </w:rPr>
        <w:t xml:space="preserve">R&amp;D expenses. </w:t>
      </w:r>
      <w:r>
        <w:rPr>
          <w:rFonts w:ascii="Arial" w:cs="Arial" w:eastAsia="Arial" w:hAnsi="Arial"/>
          <w:sz w:val="17"/>
          <w:szCs w:val="17"/>
          <w:color w:val="auto"/>
        </w:rPr>
        <w:t>The amount of R&amp;D expense we record in any period varies depending on the nature and stage of development of our R&amp;D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can also vary in periods in which we incur significant upfront or milestone charges related to agreements with third parties.</w:t>
      </w:r>
    </w:p>
    <w:p>
      <w:pPr>
        <w:spacing w:after="0" w:line="49" w:lineRule="exact"/>
        <w:rPr>
          <w:sz w:val="20"/>
          <w:szCs w:val="20"/>
          <w:color w:val="auto"/>
        </w:rPr>
      </w:pPr>
    </w:p>
    <w:p>
      <w:pPr>
        <w:ind w:firstLine="480"/>
        <w:spacing w:after="0" w:line="249" w:lineRule="auto"/>
        <w:rPr>
          <w:sz w:val="20"/>
          <w:szCs w:val="20"/>
          <w:color w:val="auto"/>
        </w:rPr>
      </w:pPr>
      <w:r>
        <w:rPr>
          <w:rFonts w:ascii="Arial" w:cs="Arial" w:eastAsia="Arial" w:hAnsi="Arial"/>
          <w:sz w:val="16"/>
          <w:szCs w:val="16"/>
          <w:color w:val="auto"/>
        </w:rPr>
        <w:t>Our R&amp;D efforts are focused on the development of a diversified portfolio of innovative and clinically differentiated product candidates. We have been progressing and expect to continue to progress our cellulite treatment development programs for QWO</w:t>
      </w:r>
      <w:r>
        <w:rPr>
          <w:rFonts w:ascii="Arial" w:cs="Arial" w:eastAsia="Arial" w:hAnsi="Arial"/>
          <w:sz w:val="21"/>
          <w:szCs w:val="21"/>
          <w:color w:val="auto"/>
          <w:vertAlign w:val="superscript"/>
        </w:rPr>
        <w:t>®</w:t>
      </w:r>
      <w:r>
        <w:rPr>
          <w:rFonts w:ascii="Arial" w:cs="Arial" w:eastAsia="Arial" w:hAnsi="Arial"/>
          <w:sz w:val="16"/>
          <w:szCs w:val="16"/>
          <w:color w:val="auto"/>
        </w:rPr>
        <w:t>, which was approved by the FDA for the treatment of moderate to severe cellulite in the buttocks of adult women in July 2020. In early 2020, we announced that we had initiated our XIAFLEX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development programs for the treatment of plantar fibromatosis and adhesive capsulitis, which are continuing to progress. We also expect to continue to focus investments in ready-to-use and other product candidates in our Sterile Injectables segment, potentially including license and commercialization agreements such as our Nevakar, Inc. agreement. In 2019, Endo initiated an open-label Phase 1 pharmacokinetic (PK) study of VASOSTRICT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healthy volunteers, studying plasma clearance with TT genotype versus AA/AT genotype. Based on the study results, we were issued two new patents by the U.S. Patent and Trademark Office (PTO), both of which expire in 2040. Endo also submitted a Prior Approval Supplement (PAS) application for VASOSTRICT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 the FDA, which was subsequently accepted by the agency and is under review. The timing and outcome of the FDA’s review of the PAS application are within the FDA’s discretion. As our development programs progress, it is possible that our R&amp;D expenses could increase.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560" w:firstLine="480"/>
        <w:spacing w:after="0" w:line="234" w:lineRule="auto"/>
        <w:rPr>
          <w:sz w:val="20"/>
          <w:szCs w:val="20"/>
          <w:color w:val="auto"/>
        </w:rPr>
      </w:pPr>
      <w:r>
        <w:rPr>
          <w:rFonts w:ascii="Arial" w:cs="Arial" w:eastAsia="Arial" w:hAnsi="Arial"/>
          <w:sz w:val="18"/>
          <w:szCs w:val="18"/>
          <w:color w:val="auto"/>
        </w:rPr>
        <w:t>The decrease in R&amp;D expense for the three months ended March 31, 2021 was primarily driven by decreased costs associated with our Generic Pharmaceuticals segment, certain post-marketing R&amp;D commitments and our development programs for QWO</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increased costs associated with our Sterile Injectables segment and our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development programs.</w:t>
      </w:r>
    </w:p>
    <w:p>
      <w:pPr>
        <w:spacing w:after="0" w:line="29" w:lineRule="exact"/>
        <w:rPr>
          <w:sz w:val="20"/>
          <w:szCs w:val="20"/>
          <w:color w:val="auto"/>
        </w:rPr>
      </w:pPr>
    </w:p>
    <w:p>
      <w:pPr>
        <w:ind w:right="200" w:firstLine="480"/>
        <w:spacing w:after="0" w:line="257" w:lineRule="auto"/>
        <w:rPr>
          <w:sz w:val="20"/>
          <w:szCs w:val="20"/>
          <w:color w:val="auto"/>
        </w:rPr>
      </w:pPr>
      <w:r>
        <w:rPr>
          <w:rFonts w:ascii="Arial" w:cs="Arial" w:eastAsia="Arial" w:hAnsi="Arial"/>
          <w:sz w:val="18"/>
          <w:szCs w:val="18"/>
          <w:color w:val="auto"/>
        </w:rPr>
        <w:t>Additionally, R&amp;D expenses have been and may in the future be impacted by the 2020 Restructuring Initiative. Refer to Note 4. Restructuring of the Condensed Consolidated Financial Statements included in Part I, Item 1 for discussion of this initiative, including the related charges and expected future charges.</w:t>
      </w:r>
    </w:p>
    <w:p>
      <w:pPr>
        <w:spacing w:after="0" w:line="81" w:lineRule="exact"/>
        <w:rPr>
          <w:sz w:val="20"/>
          <w:szCs w:val="20"/>
          <w:color w:val="auto"/>
        </w:rPr>
      </w:pPr>
    </w:p>
    <w:p>
      <w:pPr>
        <w:ind w:right="20" w:firstLine="480"/>
        <w:spacing w:after="0" w:line="270"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 As further described therein, adjustments to the corresponding liability accruals may be required in the future. This could have a material adverse effect on our business, financial condition, results of operations and cash flows.</w:t>
      </w:r>
    </w:p>
    <w:p>
      <w:pPr>
        <w:spacing w:after="0" w:line="73" w:lineRule="exact"/>
        <w:rPr>
          <w:sz w:val="20"/>
          <w:szCs w:val="20"/>
          <w:color w:val="auto"/>
        </w:rPr>
      </w:pPr>
    </w:p>
    <w:p>
      <w:pPr>
        <w:ind w:right="140" w:firstLine="480"/>
        <w:spacing w:after="0" w:line="267"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The following table presents the components of our total Asset impairment charges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2,882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63,751</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19"/>
        </w:trPr>
        <w:tc>
          <w:tcPr>
            <w:tcW w:w="8420" w:type="dxa"/>
            <w:vAlign w:val="bottom"/>
          </w:tcPr>
          <w:p>
            <w:pPr>
              <w:ind w:left="140"/>
              <w:spacing w:after="0" w:line="205" w:lineRule="exact"/>
              <w:rPr>
                <w:sz w:val="20"/>
                <w:szCs w:val="20"/>
                <w:color w:val="auto"/>
              </w:rPr>
            </w:pPr>
            <w:r>
              <w:rPr>
                <w:rFonts w:ascii="Arial" w:cs="Arial" w:eastAsia="Arial" w:hAnsi="Arial"/>
                <w:sz w:val="18"/>
                <w:szCs w:val="18"/>
                <w:color w:val="auto"/>
              </w:rPr>
              <w:t>Total asset impairment charges</w:t>
            </w: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97,785</w:t>
            </w:r>
          </w:p>
        </w:tc>
      </w:tr>
      <w:tr>
        <w:trPr>
          <w:trHeight w:val="21"/>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480"/>
        <w:spacing w:after="0" w:line="304" w:lineRule="auto"/>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 9. 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47" w:lineRule="exact"/>
        <w:rPr>
          <w:sz w:val="20"/>
          <w:szCs w:val="20"/>
          <w:color w:val="auto"/>
        </w:rPr>
      </w:pPr>
    </w:p>
    <w:p>
      <w:pPr>
        <w:ind w:right="40" w:firstLine="480"/>
        <w:spacing w:after="0" w:line="270"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primarily consist of the net (benefit) expense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of the Condensed Consolidated Financial Statements included in Part I, Item 1 for further discussion of our acquisition-related contingent consideration.</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The components of Interest expense, net for the three months ended March 31, 2021 and 2020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136,373</w:t>
            </w:r>
          </w:p>
        </w:tc>
      </w:tr>
      <w:tr>
        <w:trPr>
          <w:trHeight w:val="226"/>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w:t>
            </w:r>
          </w:p>
        </w:tc>
      </w:tr>
      <w:tr>
        <w:trPr>
          <w:trHeight w:val="246"/>
        </w:trPr>
        <w:tc>
          <w:tcPr>
            <w:tcW w:w="8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80"/>
        <w:spacing w:after="0" w:line="268" w:lineRule="auto"/>
        <w:rPr>
          <w:sz w:val="20"/>
          <w:szCs w:val="20"/>
          <w:color w:val="auto"/>
        </w:rPr>
      </w:pPr>
      <w:r>
        <w:rPr>
          <w:rFonts w:ascii="Arial" w:cs="Arial" w:eastAsia="Arial" w:hAnsi="Arial"/>
          <w:sz w:val="17"/>
          <w:szCs w:val="17"/>
          <w:color w:val="auto"/>
        </w:rPr>
        <w:t>The decrease in interest expense for the three months ended March 31, 2021 was primarily attributable to decreases to LIBOR that impacted our variable-rate debt and the reductions to the amount of our indebtedness associated with the June 2020 Refinancing Transactions, partially offset by the increases to the weighted average interest rate applicable to: (i) our notes following the June 2020 Refinancing Transactions and (ii) our Term Loan Facility following the March 2021 Refinancing Transactions. Refer to Note 12. Debt of the Condensed Consolidated Financial Statements included in Part I, Item 1 for further discussion of these transactions. Changes in interest rates could increase our interest expense in the future, which could have a material adverse effect on our business, financial condition, results of operations and cash flows.</w:t>
      </w:r>
    </w:p>
    <w:p>
      <w:pPr>
        <w:spacing w:after="0" w:line="76" w:lineRule="exact"/>
        <w:rPr>
          <w:sz w:val="20"/>
          <w:szCs w:val="20"/>
          <w:color w:val="auto"/>
        </w:rPr>
      </w:pPr>
    </w:p>
    <w:p>
      <w:pPr>
        <w:ind w:right="420" w:firstLine="480"/>
        <w:spacing w:after="0" w:line="26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The amount during the three months ended March 31, 2021 relates to the March 2021 Refinancing Transactions.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Debt of the Condensed Consolidated Financial Statements included in Part I, Item 1 for further discussion.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80" w:firstLine="480"/>
        <w:spacing w:after="0" w:line="267"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The components of Other expense (income), net for the three months ended March 31, 2021 and 2020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on sale of business and other assets</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Foreign currency loss (gain),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(5,639)</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our investments in the equity of other companies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6"/>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6"/>
        </w:trPr>
        <w:tc>
          <w:tcPr>
            <w:tcW w:w="8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firstLine="480"/>
        <w:spacing w:after="0" w:line="267" w:lineRule="auto"/>
        <w:rPr>
          <w:sz w:val="20"/>
          <w:szCs w:val="20"/>
          <w:color w:val="auto"/>
        </w:rPr>
      </w:pPr>
      <w:r>
        <w:rPr>
          <w:rFonts w:ascii="Arial" w:cs="Arial" w:eastAsia="Arial" w:hAnsi="Arial"/>
          <w:sz w:val="18"/>
          <w:szCs w:val="18"/>
          <w:color w:val="auto"/>
        </w:rPr>
        <w:t>For additional information on the components of Other expense (income), net, refer to Note 16. Other Expense (Income), Net of the Condensed Consolidated Financial Statements included in Part I, Item 1.</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 The following table displays our Income from continuing operations before income tax, Income tax expense (benefit)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and Effective tax rate for the three months ended March 31, 2021 and 2020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47,783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21,249</w:t>
            </w:r>
          </w:p>
        </w:tc>
      </w:tr>
      <w:tr>
        <w:trPr>
          <w:trHeight w:val="226"/>
        </w:trPr>
        <w:tc>
          <w:tcPr>
            <w:tcW w:w="8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(136,332)</w:t>
            </w:r>
          </w:p>
        </w:tc>
      </w:tr>
      <w:tr>
        <w:trPr>
          <w:trHeight w:val="227"/>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(641.6)%</w:t>
            </w:r>
          </w:p>
        </w:tc>
      </w:tr>
    </w:tbl>
    <w:p>
      <w:pPr>
        <w:spacing w:after="0" w:line="94" w:lineRule="exact"/>
        <w:rPr>
          <w:sz w:val="20"/>
          <w:szCs w:val="20"/>
          <w:color w:val="auto"/>
        </w:rPr>
      </w:pPr>
    </w:p>
    <w:p>
      <w:pPr>
        <w:ind w:right="260" w:firstLine="480"/>
        <w:spacing w:after="0" w:line="257"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81" w:lineRule="exact"/>
        <w:rPr>
          <w:sz w:val="20"/>
          <w:szCs w:val="20"/>
          <w:color w:val="auto"/>
        </w:rPr>
      </w:pPr>
    </w:p>
    <w:p>
      <w:pPr>
        <w:ind w:right="40" w:firstLine="480"/>
        <w:spacing w:after="0" w:line="267" w:lineRule="auto"/>
        <w:rPr>
          <w:sz w:val="20"/>
          <w:szCs w:val="20"/>
          <w:color w:val="auto"/>
        </w:rPr>
      </w:pPr>
      <w:r>
        <w:rPr>
          <w:rFonts w:ascii="Arial" w:cs="Arial" w:eastAsia="Arial" w:hAnsi="Arial"/>
          <w:sz w:val="18"/>
          <w:szCs w:val="18"/>
          <w:color w:val="auto"/>
        </w:rPr>
        <w:t>The change in Income tax expense (benefit) for the three months ended March 31, 2021 compared to the prior year period primarily relates to the 2020 discrete tax benefit for the CARES Act and changes in the geographic mix of pre-tax earnings.</w:t>
      </w:r>
    </w:p>
    <w:p>
      <w:pPr>
        <w:spacing w:after="0" w:line="73" w:lineRule="exact"/>
        <w:rPr>
          <w:sz w:val="20"/>
          <w:szCs w:val="20"/>
          <w:color w:val="auto"/>
        </w:rPr>
      </w:pPr>
    </w:p>
    <w:p>
      <w:pPr>
        <w:ind w:right="20" w:firstLine="480"/>
        <w:spacing w:after="0" w:line="252"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and certain other foreign tax jurisdictions as of March 31,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6" w:lineRule="exact"/>
        <w:rPr>
          <w:sz w:val="20"/>
          <w:szCs w:val="20"/>
          <w:color w:val="auto"/>
        </w:rPr>
      </w:pPr>
    </w:p>
    <w:p>
      <w:pPr>
        <w:ind w:right="80" w:firstLine="480"/>
        <w:spacing w:after="0" w:line="288" w:lineRule="auto"/>
        <w:rPr>
          <w:sz w:val="20"/>
          <w:szCs w:val="20"/>
          <w:color w:val="auto"/>
        </w:rPr>
      </w:pPr>
      <w:r>
        <w:rPr>
          <w:rFonts w:ascii="Arial" w:cs="Arial" w:eastAsia="Arial" w:hAnsi="Arial"/>
          <w:sz w:val="16"/>
          <w:szCs w:val="16"/>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17. Income Taxes of the Condensed Consolidated Financial Statements included in Part I, Item 1.</w:t>
      </w:r>
    </w:p>
    <w:p>
      <w:pPr>
        <w:spacing w:after="0" w:line="61" w:lineRule="exact"/>
        <w:rPr>
          <w:sz w:val="20"/>
          <w:szCs w:val="20"/>
          <w:color w:val="auto"/>
        </w:rPr>
      </w:pPr>
    </w:p>
    <w:p>
      <w:pPr>
        <w:ind w:firstLine="480"/>
        <w:spacing w:after="0" w:line="268" w:lineRule="auto"/>
        <w:rPr>
          <w:sz w:val="20"/>
          <w:szCs w:val="20"/>
          <w:color w:val="auto"/>
        </w:rPr>
      </w:pPr>
      <w:r>
        <w:rPr>
          <w:rFonts w:ascii="Arial" w:cs="Arial" w:eastAsia="Arial" w:hAnsi="Arial"/>
          <w:sz w:val="17"/>
          <w:szCs w:val="17"/>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of this report for more information.</w:t>
      </w:r>
    </w:p>
    <w:p>
      <w:pPr>
        <w:spacing w:after="0" w:line="76" w:lineRule="exact"/>
        <w:rPr>
          <w:sz w:val="20"/>
          <w:szCs w:val="20"/>
          <w:color w:val="auto"/>
        </w:rPr>
      </w:pPr>
    </w:p>
    <w:p>
      <w:pPr>
        <w:ind w:right="680" w:firstLine="480"/>
        <w:spacing w:after="0" w:line="267" w:lineRule="auto"/>
        <w:rPr>
          <w:sz w:val="20"/>
          <w:szCs w:val="20"/>
          <w:color w:val="auto"/>
        </w:rPr>
      </w:pPr>
      <w:r>
        <w:rPr>
          <w:rFonts w:ascii="Arial" w:cs="Arial" w:eastAsia="Arial" w:hAnsi="Arial"/>
          <w:sz w:val="18"/>
          <w:szCs w:val="18"/>
          <w:color w:val="auto"/>
        </w:rPr>
        <w:t>For additional information on our income taxes, including information about the impact of the CARES Act, see Note 17. Income Taxes of the Condensed Consolidated Financial Statements included in Part I, Item 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300" w:firstLine="480"/>
        <w:spacing w:after="0" w:line="304" w:lineRule="auto"/>
        <w:rPr>
          <w:sz w:val="20"/>
          <w:szCs w:val="20"/>
          <w:color w:val="auto"/>
        </w:rPr>
      </w:pPr>
      <w:r>
        <w:rPr>
          <w:rFonts w:ascii="Arial" w:cs="Arial" w:eastAsia="Arial" w:hAnsi="Arial"/>
          <w:sz w:val="16"/>
          <w:szCs w:val="16"/>
          <w:b w:val="1"/>
          <w:bCs w:val="1"/>
          <w:i w:val="1"/>
          <w:iCs w:val="1"/>
          <w:color w:val="auto"/>
        </w:rPr>
        <w:t xml:space="preserve">Discontinued operations, net of tax. </w:t>
      </w:r>
      <w:r>
        <w:rPr>
          <w:rFonts w:ascii="Arial" w:cs="Arial" w:eastAsia="Arial" w:hAnsi="Arial"/>
          <w:sz w:val="16"/>
          <w:szCs w:val="16"/>
          <w:color w:val="auto"/>
        </w:rPr>
        <w:t>The operating results of the Company’s Astora business, which the Board resolved to wind down in 2016,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as Discontinued operations, net of tax in the Condensed Consolidated Statements of Operations for all periods presented. The following table provides the operating results of Astora Discontinued operations, net of tax, for the three months ended March 31, 2021 and 2020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w:t>
            </w:r>
          </w:p>
        </w:tc>
      </w:tr>
      <w:tr>
        <w:trPr>
          <w:trHeight w:val="226"/>
        </w:trPr>
        <w:tc>
          <w:tcPr>
            <w:tcW w:w="842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(33,517)</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(27,651)</w:t>
            </w:r>
          </w:p>
        </w:tc>
      </w:tr>
    </w:tbl>
    <w:p>
      <w:pPr>
        <w:spacing w:after="0" w:line="96" w:lineRule="exact"/>
        <w:rPr>
          <w:sz w:val="20"/>
          <w:szCs w:val="20"/>
          <w:color w:val="auto"/>
        </w:rPr>
      </w:pPr>
    </w:p>
    <w:p>
      <w:pPr>
        <w:ind w:right="220" w:firstLine="480"/>
        <w:spacing w:after="0" w:line="253" w:lineRule="auto"/>
        <w:rPr>
          <w:sz w:val="20"/>
          <w:szCs w:val="20"/>
          <w:color w:val="auto"/>
        </w:rPr>
      </w:pPr>
      <w:r>
        <w:rPr>
          <w:rFonts w:ascii="Arial" w:cs="Arial" w:eastAsia="Arial" w:hAnsi="Arial"/>
          <w:sz w:val="18"/>
          <w:szCs w:val="18"/>
          <w:color w:val="auto"/>
        </w:rPr>
        <w:t>Amounts included in the Litigation-related and other contingencies, net line of the table above are for mesh-related litigation. The remaining pre-tax amounts during the three months ended March 31, 2021 and 2020 were primarily related to mesh-related legal defense costs and certain other items. For additional discussion of mesh-related matters, refer to Note 13. Commitments and Contingencies of the Condensed Consolidated Financial Statements included in Part I, Item 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19" w:lineRule="exact"/>
        <w:rPr>
          <w:sz w:val="20"/>
          <w:szCs w:val="20"/>
          <w:color w:val="auto"/>
        </w:rPr>
      </w:pPr>
    </w:p>
    <w:p>
      <w:pPr>
        <w:ind w:right="160" w:firstLine="480"/>
        <w:spacing w:after="0" w:line="253" w:lineRule="auto"/>
        <w:rPr>
          <w:sz w:val="20"/>
          <w:szCs w:val="20"/>
          <w:color w:val="auto"/>
        </w:rPr>
      </w:pPr>
      <w:r>
        <w:rPr>
          <w:rFonts w:ascii="Arial" w:cs="Arial" w:eastAsia="Arial" w:hAnsi="Arial"/>
          <w:sz w:val="18"/>
          <w:szCs w:val="18"/>
          <w:color w:val="auto"/>
        </w:rPr>
        <w:t>Refer to Note 5. Segment Results of the Condensed Consolidated Financial Statements included in Part I, Item 1 for further details regarding our reportable segments and Segment adjusted income from continuing operations before income tax (the measure we use to evaluate segment performance), as well as reconciliations of Total consolidated income from continuing operations before income tax, which is determined in accordance with U.S. GAAP, to our Total segment adjusted income from continuing operations before income tax.</w:t>
      </w:r>
    </w:p>
    <w:p>
      <w:pPr>
        <w:spacing w:after="0" w:line="87" w:lineRule="exact"/>
        <w:rPr>
          <w:sz w:val="20"/>
          <w:szCs w:val="20"/>
          <w:color w:val="auto"/>
        </w:rPr>
      </w:pPr>
    </w:p>
    <w:p>
      <w:pPr>
        <w:ind w:right="40" w:firstLine="480"/>
        <w:spacing w:after="0" w:line="266" w:lineRule="auto"/>
        <w:rPr>
          <w:sz w:val="20"/>
          <w:szCs w:val="20"/>
          <w:color w:val="auto"/>
        </w:rPr>
      </w:pPr>
      <w:r>
        <w:rPr>
          <w:rFonts w:ascii="Arial" w:cs="Arial" w:eastAsia="Arial" w:hAnsi="Arial"/>
          <w:sz w:val="17"/>
          <w:szCs w:val="17"/>
          <w:color w:val="auto"/>
        </w:rPr>
        <w:t>We refer to Segment adjusted income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from continuing operations before income tax may be useful to investors as we are aware that certain of our significant shareholders utilize Segment adjusted income from continuing operations before income tax to evaluate our financial performance. Finally, Segment adjusted income from continuing operations before income tax is utilized in the calculation of other financial measures not determined in accordance with U.S. GAAP that are used by the Compensation &amp; Human Capital Committee of the Company’s Board in assessing the performance and compensation of substantially all of our employees, including our executive officers.</w:t>
      </w:r>
    </w:p>
    <w:p>
      <w:pPr>
        <w:spacing w:after="0" w:line="76" w:lineRule="exact"/>
        <w:rPr>
          <w:sz w:val="20"/>
          <w:szCs w:val="20"/>
          <w:color w:val="auto"/>
        </w:rPr>
      </w:pPr>
    </w:p>
    <w:p>
      <w:pPr>
        <w:ind w:right="60" w:firstLine="480"/>
        <w:spacing w:after="0" w:line="284" w:lineRule="auto"/>
        <w:rPr>
          <w:sz w:val="20"/>
          <w:szCs w:val="20"/>
          <w:color w:val="auto"/>
        </w:rPr>
      </w:pPr>
      <w:r>
        <w:rPr>
          <w:rFonts w:ascii="Arial" w:cs="Arial" w:eastAsia="Arial" w:hAnsi="Arial"/>
          <w:sz w:val="16"/>
          <w:szCs w:val="16"/>
          <w:color w:val="auto"/>
        </w:rPr>
        <w:t>There are limitations to using financial measures such as Segment adjusted income from continuing operations before income tax. Other companies in our industry may define Segment adjusted income from continuing operations before income tax differently than we do. As a result, it may be difficult to use Segment adjusted income from continuing operations before income tax or similarly named adjusted financial measures that other companies may use to compare the performance of those companies to our performance. Because of these limitations, Segment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5. Segment Results of the Condensed Consolidated Financial Statements included in Part I, Item 1, reconciliations of Total consolidated income from continuing operations before income tax, which is determined in accordance with U.S. GAAP, to our Total segment adjusted income from continuing operations before income tax.</w:t>
      </w:r>
    </w:p>
    <w:p>
      <w:pPr>
        <w:spacing w:after="0" w:line="66" w:lineRule="exact"/>
        <w:rPr>
          <w:sz w:val="20"/>
          <w:szCs w:val="20"/>
          <w:color w:val="auto"/>
        </w:rPr>
      </w:pPr>
    </w:p>
    <w:p>
      <w:pPr>
        <w:ind w:right="520" w:firstLine="480"/>
        <w:spacing w:after="0" w:line="267"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months ended March 31, 2021 and 2020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 Change</w:t>
            </w:r>
          </w:p>
        </w:tc>
      </w:tr>
      <w:tr>
        <w:trPr>
          <w:trHeight w:val="185"/>
        </w:trPr>
        <w:tc>
          <w:tcPr>
            <w:tcW w:w="7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 vs. 2020</w:t>
            </w:r>
          </w:p>
        </w:tc>
      </w:tr>
      <w:tr>
        <w:trPr>
          <w:trHeight w:val="22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336,390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Pharmaceuticals (1)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w:t>
            </w:r>
          </w:p>
        </w:tc>
      </w:tr>
      <w:tr>
        <w:trPr>
          <w:trHeight w:val="246"/>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revenues from external customers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820,405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480" w:hanging="313"/>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40" w:firstLine="480"/>
        <w:spacing w:after="0" w:line="267"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and 2020 (dollars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 Change</w:t>
            </w:r>
          </w:p>
        </w:tc>
      </w:tr>
      <w:tr>
        <w:trPr>
          <w:trHeight w:val="185"/>
        </w:trPr>
        <w:tc>
          <w:tcPr>
            <w:tcW w:w="7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 vs. 2020</w:t>
            </w:r>
          </w:p>
        </w:tc>
      </w:tr>
      <w:tr>
        <w:trPr>
          <w:trHeight w:val="20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7060" w:type="dxa"/>
            <w:vAlign w:val="bottom"/>
          </w:tcPr>
          <w:p>
            <w:pPr>
              <w:ind w:left="140"/>
              <w:spacing w:after="0" w:line="226"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95,270</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89,072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27"/>
        </w:trPr>
        <w:tc>
          <w:tcPr>
            <w:tcW w:w="706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6"/>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Specialty (1)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r>
      <w:tr>
        <w:trPr>
          <w:trHeight w:val="22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06"/>
        </w:trPr>
        <w:tc>
          <w:tcPr>
            <w:tcW w:w="7060" w:type="dxa"/>
            <w:vAlign w:val="bottom"/>
          </w:tcPr>
          <w:p>
            <w:pPr>
              <w:ind w:left="20"/>
              <w:spacing w:after="0" w:line="205" w:lineRule="exact"/>
              <w:rPr>
                <w:sz w:val="20"/>
                <w:szCs w:val="20"/>
                <w:color w:val="auto"/>
              </w:rPr>
            </w:pPr>
            <w:r>
              <w:rPr>
                <w:rFonts w:ascii="Arial" w:cs="Arial" w:eastAsia="Arial" w:hAnsi="Arial"/>
                <w:sz w:val="18"/>
                <w:szCs w:val="18"/>
                <w:i w:val="1"/>
                <w:iCs w:val="1"/>
                <w:color w:val="auto"/>
              </w:rPr>
              <w:t>Established Products: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7"/>
        </w:trPr>
        <w:tc>
          <w:tcPr>
            <w:tcW w:w="7060" w:type="dxa"/>
            <w:vAlign w:val="bottom"/>
            <w:shd w:val="clear" w:color="auto" w:fill="CCEEFF"/>
          </w:tcPr>
          <w:p>
            <w:pPr>
              <w:ind w:left="140"/>
              <w:spacing w:after="0" w:line="228"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7060" w:type="dxa"/>
            <w:vAlign w:val="bottom"/>
          </w:tcPr>
          <w:p>
            <w:pPr>
              <w:ind w:left="140"/>
              <w:spacing w:after="0" w:line="226"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27"/>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Established (2)</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4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204,073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0" w:lineRule="exact"/>
        <w:rPr>
          <w:sz w:val="20"/>
          <w:szCs w:val="20"/>
          <w:color w:val="auto"/>
        </w:rPr>
      </w:pPr>
    </w:p>
    <w:p>
      <w:pPr>
        <w:ind w:left="480" w:hanging="313"/>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Products included within Other Specialty include NASCOBAL</w:t>
      </w:r>
      <w:r>
        <w:rPr>
          <w:rFonts w:ascii="Arial" w:cs="Arial" w:eastAsia="Arial" w:hAnsi="Arial"/>
          <w:sz w:val="9"/>
          <w:szCs w:val="9"/>
          <w:color w:val="auto"/>
        </w:rPr>
        <w:t>®</w:t>
      </w:r>
      <w:r>
        <w:rPr>
          <w:rFonts w:ascii="Arial" w:cs="Arial" w:eastAsia="Arial" w:hAnsi="Arial"/>
          <w:sz w:val="14"/>
          <w:szCs w:val="14"/>
          <w:color w:val="auto"/>
        </w:rPr>
        <w:t xml:space="preserve"> Nasal Spray and AVEED</w:t>
      </w:r>
      <w:r>
        <w:rPr>
          <w:rFonts w:ascii="Arial" w:cs="Arial" w:eastAsia="Arial" w:hAnsi="Arial"/>
          <w:sz w:val="9"/>
          <w:szCs w:val="9"/>
          <w:color w:val="auto"/>
        </w:rPr>
        <w:t>®</w:t>
      </w:r>
      <w:r>
        <w:rPr>
          <w:rFonts w:ascii="Arial" w:cs="Arial" w:eastAsia="Arial" w:hAnsi="Arial"/>
          <w:sz w:val="14"/>
          <w:szCs w:val="14"/>
          <w:color w:val="auto"/>
        </w:rPr>
        <w:t>.</w:t>
      </w:r>
    </w:p>
    <w:p>
      <w:pPr>
        <w:ind w:left="480" w:hanging="313"/>
        <w:spacing w:after="0" w:line="238" w:lineRule="auto"/>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 xml:space="preserve"> and LIDODERM</w:t>
      </w:r>
      <w:r>
        <w:rPr>
          <w:rFonts w:ascii="Arial" w:cs="Arial" w:eastAsia="Arial" w:hAnsi="Arial"/>
          <w:sz w:val="9"/>
          <w:szCs w:val="9"/>
          <w:color w:val="auto"/>
        </w:rPr>
        <w:t>®</w:t>
      </w:r>
      <w:r>
        <w:rPr>
          <w:rFonts w:ascii="Arial" w:cs="Arial" w:eastAsia="Arial" w:hAnsi="Arial"/>
          <w:sz w:val="14"/>
          <w:szCs w:val="14"/>
          <w:color w:val="auto"/>
        </w:rPr>
        <w:t>.</w:t>
      </w:r>
    </w:p>
    <w:p>
      <w:pPr>
        <w:ind w:left="480" w:right="120" w:hanging="313"/>
        <w:spacing w:after="0" w:line="249" w:lineRule="auto"/>
        <w:tabs>
          <w:tab w:leader="none" w:pos="47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three months ended March 31, 2021 and/or any product having revenues in excess of $25 million during any quarterly period in 2021 or 2020.</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Specialty Products</w:t>
      </w:r>
    </w:p>
    <w:p>
      <w:pPr>
        <w:spacing w:after="0" w:line="113" w:lineRule="exact"/>
        <w:rPr>
          <w:sz w:val="20"/>
          <w:szCs w:val="20"/>
          <w:color w:val="auto"/>
        </w:rPr>
      </w:pPr>
    </w:p>
    <w:p>
      <w:pPr>
        <w:ind w:right="360" w:firstLine="480"/>
        <w:spacing w:after="0" w:line="222" w:lineRule="auto"/>
        <w:rPr>
          <w:sz w:val="20"/>
          <w:szCs w:val="20"/>
          <w:color w:val="auto"/>
        </w:rPr>
      </w:pPr>
      <w:r>
        <w:rPr>
          <w:rFonts w:ascii="Arial" w:cs="Arial" w:eastAsia="Arial" w:hAnsi="Arial"/>
          <w:sz w:val="18"/>
          <w:szCs w:val="18"/>
          <w:color w:val="auto"/>
        </w:rPr>
        <w:t>The increase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months ended March 31, 2021 was primarily attributable to increased price and demand-related volume, partially offset by inventory destocking as compared to the first quarter of 2020.</w:t>
      </w:r>
    </w:p>
    <w:p>
      <w:pPr>
        <w:spacing w:after="0" w:line="97" w:lineRule="exact"/>
        <w:rPr>
          <w:sz w:val="20"/>
          <w:szCs w:val="20"/>
          <w:color w:val="auto"/>
        </w:rPr>
      </w:pPr>
    </w:p>
    <w:p>
      <w:pPr>
        <w:ind w:right="400" w:firstLine="480"/>
        <w:spacing w:after="0" w:line="222" w:lineRule="auto"/>
        <w:rPr>
          <w:sz w:val="20"/>
          <w:szCs w:val="20"/>
          <w:color w:val="auto"/>
        </w:rPr>
      </w:pPr>
      <w:r>
        <w:rPr>
          <w:rFonts w:ascii="Arial" w:cs="Arial" w:eastAsia="Arial" w:hAnsi="Arial"/>
          <w:sz w:val="18"/>
          <w:szCs w:val="18"/>
          <w:color w:val="auto"/>
        </w:rPr>
        <w:t>The increase in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for the three months ended March 31, 2021 was primarily attributable to increased volumes, partially offset by decreased price.</w:t>
      </w:r>
    </w:p>
    <w:p>
      <w:pPr>
        <w:spacing w:after="0" w:line="97" w:lineRule="exact"/>
        <w:rPr>
          <w:sz w:val="20"/>
          <w:szCs w:val="20"/>
          <w:color w:val="auto"/>
        </w:rPr>
      </w:pPr>
    </w:p>
    <w:p>
      <w:pPr>
        <w:ind w:right="520" w:firstLine="480"/>
        <w:spacing w:after="0" w:line="267" w:lineRule="auto"/>
        <w:rPr>
          <w:sz w:val="20"/>
          <w:szCs w:val="20"/>
          <w:color w:val="auto"/>
        </w:rPr>
      </w:pPr>
      <w:r>
        <w:rPr>
          <w:rFonts w:ascii="Arial" w:cs="Arial" w:eastAsia="Arial" w:hAnsi="Arial"/>
          <w:sz w:val="18"/>
          <w:szCs w:val="18"/>
          <w:color w:val="auto"/>
        </w:rPr>
        <w:t>The decrease in Other Specialty Products revenues for the three months ended March 31, 2021 was primarily attributable to decreased price and volumes.</w:t>
      </w:r>
    </w:p>
    <w:p>
      <w:pPr>
        <w:spacing w:after="0" w:line="73" w:lineRule="exact"/>
        <w:rPr>
          <w:sz w:val="20"/>
          <w:szCs w:val="20"/>
          <w:color w:val="auto"/>
        </w:rPr>
      </w:pPr>
    </w:p>
    <w:p>
      <w:pPr>
        <w:ind w:right="620" w:firstLine="480"/>
        <w:spacing w:after="0" w:line="267" w:lineRule="auto"/>
        <w:rPr>
          <w:sz w:val="20"/>
          <w:szCs w:val="20"/>
          <w:color w:val="auto"/>
        </w:rPr>
      </w:pPr>
      <w:r>
        <w:rPr>
          <w:rFonts w:ascii="Arial" w:cs="Arial" w:eastAsia="Arial" w:hAnsi="Arial"/>
          <w:sz w:val="18"/>
          <w:szCs w:val="18"/>
          <w:color w:val="auto"/>
        </w:rPr>
        <w:t>Refer to the “COVID-19 Update and Other Key Trends” section above for additional discussion of the impacts of COVID-19 on our physician administered products.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Established Products</w:t>
      </w:r>
    </w:p>
    <w:p>
      <w:pPr>
        <w:spacing w:after="0" w:line="113" w:lineRule="exact"/>
        <w:rPr>
          <w:sz w:val="20"/>
          <w:szCs w:val="20"/>
          <w:color w:val="auto"/>
        </w:rPr>
      </w:pPr>
    </w:p>
    <w:p>
      <w:pPr>
        <w:ind w:right="80" w:firstLine="480"/>
        <w:spacing w:after="0" w:line="222" w:lineRule="auto"/>
        <w:rPr>
          <w:sz w:val="20"/>
          <w:szCs w:val="20"/>
          <w:color w:val="auto"/>
        </w:rPr>
      </w:pPr>
      <w:r>
        <w:rPr>
          <w:rFonts w:ascii="Arial" w:cs="Arial" w:eastAsia="Arial" w:hAnsi="Arial"/>
          <w:sz w:val="18"/>
          <w:szCs w:val="18"/>
          <w:color w:val="auto"/>
        </w:rPr>
        <w:t>The decrease in PERCOCET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months ended March 31, 2021 was primarily attributable to volume decreases, partially offset by price increases.</w:t>
      </w:r>
    </w:p>
    <w:p>
      <w:pPr>
        <w:spacing w:after="0" w:line="97" w:lineRule="exact"/>
        <w:rPr>
          <w:sz w:val="20"/>
          <w:szCs w:val="20"/>
          <w:color w:val="auto"/>
        </w:rPr>
      </w:pPr>
    </w:p>
    <w:p>
      <w:pPr>
        <w:ind w:right="180" w:firstLine="480"/>
        <w:spacing w:after="0" w:line="222" w:lineRule="auto"/>
        <w:rPr>
          <w:sz w:val="20"/>
          <w:szCs w:val="20"/>
          <w:color w:val="auto"/>
        </w:rPr>
      </w:pPr>
      <w:r>
        <w:rPr>
          <w:rFonts w:ascii="Arial" w:cs="Arial" w:eastAsia="Arial" w:hAnsi="Arial"/>
          <w:sz w:val="18"/>
          <w:szCs w:val="18"/>
          <w:color w:val="auto"/>
        </w:rPr>
        <w:t>The increase in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months ended March 31, 2021 was primarily attributable to a temporary supply disruption in the first half of 2020, which was subsequently resolved in the third quarter of 2020.</w:t>
      </w:r>
    </w:p>
    <w:p>
      <w:pPr>
        <w:spacing w:after="0" w:line="97" w:lineRule="exact"/>
        <w:rPr>
          <w:sz w:val="20"/>
          <w:szCs w:val="20"/>
          <w:color w:val="auto"/>
        </w:rPr>
      </w:pPr>
    </w:p>
    <w:p>
      <w:pPr>
        <w:ind w:right="360" w:firstLine="480"/>
        <w:spacing w:after="0" w:line="267" w:lineRule="auto"/>
        <w:rPr>
          <w:sz w:val="20"/>
          <w:szCs w:val="20"/>
          <w:color w:val="auto"/>
        </w:rPr>
      </w:pPr>
      <w:r>
        <w:rPr>
          <w:rFonts w:ascii="Arial" w:cs="Arial" w:eastAsia="Arial" w:hAnsi="Arial"/>
          <w:sz w:val="18"/>
          <w:szCs w:val="18"/>
          <w:color w:val="auto"/>
        </w:rPr>
        <w:t>The decrease in Other Established Products revenues for the three months ended March 31, 2021 was primarily attributable to price decreases as a result of ongoing competitive pressures and certain other factors, partially offset by net volume increases.</w:t>
      </w:r>
    </w:p>
    <w:p>
      <w:pPr>
        <w:spacing w:after="0" w:line="73" w:lineRule="exact"/>
        <w:rPr>
          <w:sz w:val="20"/>
          <w:szCs w:val="20"/>
          <w:color w:val="auto"/>
        </w:rPr>
      </w:pPr>
    </w:p>
    <w:p>
      <w:pPr>
        <w:ind w:right="240" w:firstLine="480"/>
        <w:spacing w:after="0" w:line="26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and 2020 (dollars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 Change</w:t>
            </w:r>
          </w:p>
        </w:tc>
      </w:tr>
      <w:tr>
        <w:trPr>
          <w:trHeight w:val="185"/>
        </w:trPr>
        <w:tc>
          <w:tcPr>
            <w:tcW w:w="7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 vs. 2020</w:t>
            </w:r>
          </w:p>
        </w:tc>
      </w:tr>
      <w:tr>
        <w:trPr>
          <w:trHeight w:val="221"/>
        </w:trPr>
        <w:tc>
          <w:tcPr>
            <w:tcW w:w="7060" w:type="dxa"/>
            <w:vAlign w:val="bottom"/>
            <w:shd w:val="clear" w:color="auto" w:fill="CCEEFF"/>
          </w:tcPr>
          <w:p>
            <w:pPr>
              <w:ind w:left="20"/>
              <w:spacing w:after="0" w:line="221"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7"/>
        </w:trPr>
        <w:tc>
          <w:tcPr>
            <w:tcW w:w="7060" w:type="dxa"/>
            <w:vAlign w:val="bottom"/>
          </w:tcPr>
          <w:p>
            <w:pPr>
              <w:ind w:left="20"/>
              <w:spacing w:after="0" w:line="226"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0"/>
        </w:trPr>
        <w:tc>
          <w:tcPr>
            <w:tcW w:w="7060" w:type="dxa"/>
            <w:vAlign w:val="bottom"/>
          </w:tcPr>
          <w:p>
            <w:pPr>
              <w:ind w:left="140"/>
              <w:spacing w:after="0" w:line="205" w:lineRule="exact"/>
              <w:rPr>
                <w:sz w:val="20"/>
                <w:szCs w:val="20"/>
                <w:color w:val="auto"/>
              </w:rPr>
            </w:pPr>
            <w:r>
              <w:rPr>
                <w:rFonts w:ascii="Arial" w:cs="Arial" w:eastAsia="Arial" w:hAnsi="Arial"/>
                <w:sz w:val="18"/>
                <w:szCs w:val="18"/>
                <w:color w:val="auto"/>
              </w:rPr>
              <w:t>Total Sterile Injectables (2)</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480" w:hanging="313"/>
        <w:spacing w:after="0" w:line="198" w:lineRule="auto"/>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ertapenem for injection, APLISOL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others.</w:t>
      </w:r>
    </w:p>
    <w:p>
      <w:pPr>
        <w:ind w:left="480" w:right="60" w:hanging="313"/>
        <w:spacing w:after="0" w:line="249" w:lineRule="auto"/>
        <w:tabs>
          <w:tab w:leader="none" w:pos="47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the three months ended March 31, 2021 and/or any product having revenues in excess of $25 million during any quarterly period in 2021 or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60" w:firstLine="480"/>
        <w:spacing w:after="0" w:line="236" w:lineRule="auto"/>
        <w:rPr>
          <w:sz w:val="20"/>
          <w:szCs w:val="20"/>
          <w:color w:val="auto"/>
        </w:rPr>
      </w:pPr>
      <w:r>
        <w:rPr>
          <w:rFonts w:ascii="Arial" w:cs="Arial" w:eastAsia="Arial" w:hAnsi="Arial"/>
          <w:sz w:val="18"/>
          <w:szCs w:val="18"/>
          <w:color w:val="auto"/>
        </w:rPr>
        <w:t>The increase in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months ended March 31, 2021 was primarily attributable to price, as well as increased volumes resulting from the impacts of COVID-19 described above. Although there has been a resurgence of COVID-19 that is expected to continue in the coming months, we expect sales volumes to decrease toward pre-COVID-19 levels beginning in the second quarter of 2021 and continuing into the second half of 2021 to the extent hospitalizations related to COVID-19 decline.</w:t>
      </w:r>
    </w:p>
    <w:p>
      <w:pPr>
        <w:spacing w:after="0" w:line="89" w:lineRule="exact"/>
        <w:rPr>
          <w:sz w:val="20"/>
          <w:szCs w:val="20"/>
          <w:color w:val="auto"/>
        </w:rPr>
      </w:pPr>
    </w:p>
    <w:p>
      <w:pPr>
        <w:ind w:right="40" w:firstLine="480"/>
        <w:spacing w:after="0" w:line="210" w:lineRule="auto"/>
        <w:rPr>
          <w:sz w:val="20"/>
          <w:szCs w:val="20"/>
          <w:color w:val="auto"/>
        </w:rPr>
      </w:pPr>
      <w:r>
        <w:rPr>
          <w:rFonts w:ascii="Arial" w:cs="Arial" w:eastAsia="Arial" w:hAnsi="Arial"/>
          <w:sz w:val="18"/>
          <w:szCs w:val="18"/>
          <w:color w:val="auto"/>
        </w:rPr>
        <w:t>As of March 31, 2021, we have 14 patents covering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listed in the Orange Book, including with respect to presentations that have not yet been commercialized, and additional patents pending with the PTO. The FDA requires any applicant seeking FDA approval for vasopressin prior to patent expiry and relying on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reference-listed drug to notify us of its filing before the FDA will issue an approval. As further discussed in Note 13. Commitments and Contingencies of the Condensed Consolidated Financial Statements included in Part I, Item 1 under the heading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Matters,” we have received notice letters from certain other pharmaceutical companies advising of the filing by such companies of ANDAs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We have taken and plan to continue to take actions in our best interest to protect our rights with respect to VASOSTRICT</w:t>
      </w:r>
      <w:r>
        <w:rPr>
          <w:rFonts w:ascii="Arial" w:cs="Arial" w:eastAsia="Arial" w:hAnsi="Arial"/>
          <w:sz w:val="23"/>
          <w:szCs w:val="23"/>
          <w:color w:val="auto"/>
          <w:vertAlign w:val="superscript"/>
        </w:rPr>
        <w:t>®</w:t>
      </w:r>
      <w:r>
        <w:rPr>
          <w:rFonts w:ascii="Arial" w:cs="Arial" w:eastAsia="Arial" w:hAnsi="Arial"/>
          <w:sz w:val="18"/>
          <w:szCs w:val="18"/>
          <w:color w:val="auto"/>
        </w:rPr>
        <w:t>. The introduction of any competing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significant reductions to our market share, revenues and cash flows, both in the short term and long term, and could have a material adverse effect on our business, financial condition, results of operations and cash flows.</w:t>
      </w:r>
    </w:p>
    <w:p>
      <w:pPr>
        <w:spacing w:after="0" w:line="94" w:lineRule="exact"/>
        <w:rPr>
          <w:sz w:val="20"/>
          <w:szCs w:val="20"/>
          <w:color w:val="auto"/>
        </w:rPr>
      </w:pPr>
    </w:p>
    <w:p>
      <w:pPr>
        <w:ind w:right="100" w:firstLine="480"/>
        <w:spacing w:after="0" w:line="214" w:lineRule="auto"/>
        <w:rPr>
          <w:sz w:val="20"/>
          <w:szCs w:val="20"/>
          <w:color w:val="auto"/>
        </w:rPr>
      </w:pPr>
      <w:r>
        <w:rPr>
          <w:rFonts w:ascii="Arial" w:cs="Arial" w:eastAsia="Arial" w:hAnsi="Arial"/>
          <w:sz w:val="18"/>
          <w:szCs w:val="18"/>
          <w:color w:val="auto"/>
        </w:rPr>
        <w:t>The decrease in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months ended March 31, 2021 was primarily attributable to the impact of competitive entrants. The introduction of one or more additional competing versions of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further reductions to our market share and could have a material adverse effect on our business, financial condition, results of operations and cash flows.</w:t>
      </w:r>
    </w:p>
    <w:p>
      <w:pPr>
        <w:spacing w:after="0" w:line="97" w:lineRule="exact"/>
        <w:rPr>
          <w:sz w:val="20"/>
          <w:szCs w:val="20"/>
          <w:color w:val="auto"/>
        </w:rPr>
      </w:pPr>
    </w:p>
    <w:p>
      <w:pPr>
        <w:ind w:right="320" w:firstLine="480"/>
        <w:spacing w:after="0" w:line="267" w:lineRule="auto"/>
        <w:rPr>
          <w:sz w:val="20"/>
          <w:szCs w:val="20"/>
          <w:color w:val="auto"/>
        </w:rPr>
      </w:pPr>
      <w:r>
        <w:rPr>
          <w:rFonts w:ascii="Arial" w:cs="Arial" w:eastAsia="Arial" w:hAnsi="Arial"/>
          <w:sz w:val="18"/>
          <w:szCs w:val="18"/>
          <w:color w:val="auto"/>
        </w:rPr>
        <w:t>The decrease in Other Sterile Injectables revenues for the three months ended March 31, 2021 was primarily attributable to decreased volumes and price across multiple products within the product portfolio that have been impacted by competitive pressures.</w:t>
      </w:r>
    </w:p>
    <w:p>
      <w:pPr>
        <w:spacing w:after="0" w:line="73" w:lineRule="exact"/>
        <w:rPr>
          <w:sz w:val="20"/>
          <w:szCs w:val="20"/>
          <w:color w:val="auto"/>
        </w:rPr>
      </w:pPr>
    </w:p>
    <w:p>
      <w:pPr>
        <w:ind w:right="60" w:firstLine="480"/>
        <w:spacing w:after="0" w:line="273" w:lineRule="auto"/>
        <w:rPr>
          <w:sz w:val="20"/>
          <w:szCs w:val="20"/>
          <w:color w:val="auto"/>
        </w:rPr>
      </w:pPr>
      <w:r>
        <w:rPr>
          <w:rFonts w:ascii="Arial" w:cs="Arial" w:eastAsia="Arial" w:hAnsi="Arial"/>
          <w:sz w:val="17"/>
          <w:szCs w:val="17"/>
          <w:i w:val="1"/>
          <w:iCs w:val="1"/>
          <w:color w:val="auto"/>
        </w:rPr>
        <w:t xml:space="preserve">Generic Pharmaceuticals. </w:t>
      </w:r>
      <w:r>
        <w:rPr>
          <w:rFonts w:ascii="Arial" w:cs="Arial" w:eastAsia="Arial" w:hAnsi="Arial"/>
          <w:sz w:val="17"/>
          <w:szCs w:val="17"/>
          <w:color w:val="auto"/>
        </w:rPr>
        <w:t>The decrease in Generic Pharmaceuticals revenues for the three months ended March 31, 2021 was primarily attributable to</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pressures on certain generic products. Additionally, during the three months ended March 31, 2020, certain products in this segment experienced increases in revenues as a result of the COVID-19 pandemic that did not reoccur to the same extent during the three months ended March 31, 2021. These decreases were partially offset by increased revenues from certain recent product launches.</w:t>
      </w:r>
    </w:p>
    <w:p>
      <w:pPr>
        <w:spacing w:after="0" w:line="70" w:lineRule="exact"/>
        <w:rPr>
          <w:sz w:val="20"/>
          <w:szCs w:val="20"/>
          <w:color w:val="auto"/>
        </w:rPr>
      </w:pPr>
    </w:p>
    <w:p>
      <w:pPr>
        <w:ind w:right="380" w:firstLine="480"/>
        <w:spacing w:after="0" w:line="297" w:lineRule="auto"/>
        <w:rPr>
          <w:sz w:val="20"/>
          <w:szCs w:val="20"/>
          <w:color w:val="auto"/>
        </w:rPr>
      </w:pPr>
      <w:r>
        <w:rPr>
          <w:rFonts w:ascii="Arial" w:cs="Arial" w:eastAsia="Arial" w:hAnsi="Arial"/>
          <w:sz w:val="17"/>
          <w:szCs w:val="17"/>
          <w:i w:val="1"/>
          <w:iCs w:val="1"/>
          <w:color w:val="auto"/>
        </w:rPr>
        <w:t>International Pharmaceuticals</w:t>
      </w:r>
      <w:r>
        <w:rPr>
          <w:rFonts w:ascii="Arial" w:cs="Arial" w:eastAsia="Arial" w:hAnsi="Arial"/>
          <w:sz w:val="17"/>
          <w:szCs w:val="17"/>
          <w:color w:val="auto"/>
        </w:rPr>
        <w:t>. The decrease in International Pharmaceuticals revenues for the three months ended March 31, 2021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competitive pressures in certain international markets and the impact of certain product discontinuation activities.</w:t>
      </w:r>
    </w:p>
    <w:p>
      <w:pPr>
        <w:spacing w:after="0" w:line="49" w:lineRule="exact"/>
        <w:rPr>
          <w:sz w:val="20"/>
          <w:szCs w:val="20"/>
          <w:color w:val="auto"/>
        </w:rPr>
      </w:pPr>
    </w:p>
    <w:p>
      <w:pPr>
        <w:ind w:right="20" w:firstLine="480"/>
        <w:spacing w:after="0" w:line="297" w:lineRule="auto"/>
        <w:rPr>
          <w:sz w:val="20"/>
          <w:szCs w:val="20"/>
          <w:color w:val="auto"/>
        </w:rPr>
      </w:pPr>
      <w:r>
        <w:rPr>
          <w:rFonts w:ascii="Arial" w:cs="Arial" w:eastAsia="Arial" w:hAnsi="Arial"/>
          <w:sz w:val="17"/>
          <w:szCs w:val="17"/>
          <w:b w:val="1"/>
          <w:bCs w:val="1"/>
          <w:i w:val="1"/>
          <w:iCs w:val="1"/>
          <w:color w:val="auto"/>
        </w:rPr>
        <w:t xml:space="preserve">Segment adjusted income from continuing operations before income tax. </w:t>
      </w:r>
      <w:r>
        <w:rPr>
          <w:rFonts w:ascii="Arial" w:cs="Arial" w:eastAsia="Arial" w:hAnsi="Arial"/>
          <w:sz w:val="17"/>
          <w:szCs w:val="17"/>
          <w:color w:val="auto"/>
        </w:rPr>
        <w:t>The following table displays our Segment adjusted income from continuing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before income tax by reportable segment for the three months ended March 31, 2021 and 2020 (dollars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 Change</w:t>
            </w:r>
          </w:p>
        </w:tc>
      </w:tr>
      <w:tr>
        <w:trPr>
          <w:trHeight w:val="185"/>
        </w:trPr>
        <w:tc>
          <w:tcPr>
            <w:tcW w:w="70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2021 vs. 2020</w:t>
            </w:r>
          </w:p>
        </w:tc>
      </w:tr>
      <w:tr>
        <w:trPr>
          <w:trHeight w:val="22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242,639</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263,896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14,197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96" w:lineRule="exact"/>
        <w:rPr>
          <w:sz w:val="20"/>
          <w:szCs w:val="20"/>
          <w:color w:val="auto"/>
        </w:rPr>
      </w:pPr>
    </w:p>
    <w:p>
      <w:pPr>
        <w:ind w:right="60" w:firstLine="480"/>
        <w:spacing w:after="0" w:line="219"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decrease in Segment adjusted income from continuing operations before income tax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was primarily attributable to increased costs 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the gross margin effect of increased revenues, as further described above, the reduction to royalty payments relating to the BioSpecifics acquisition and favorable changes in product mix.</w:t>
      </w:r>
    </w:p>
    <w:p>
      <w:pPr>
        <w:spacing w:after="0" w:line="99" w:lineRule="exact"/>
        <w:rPr>
          <w:sz w:val="20"/>
          <w:szCs w:val="20"/>
          <w:color w:val="auto"/>
        </w:rPr>
      </w:pPr>
    </w:p>
    <w:p>
      <w:pPr>
        <w:ind w:right="180" w:firstLine="480"/>
        <w:spacing w:after="0" w:line="257" w:lineRule="auto"/>
        <w:rPr>
          <w:sz w:val="20"/>
          <w:szCs w:val="20"/>
          <w:color w:val="auto"/>
        </w:rPr>
      </w:pPr>
      <w:r>
        <w:rPr>
          <w:rFonts w:ascii="Arial" w:cs="Arial" w:eastAsia="Arial" w:hAnsi="Arial"/>
          <w:sz w:val="18"/>
          <w:szCs w:val="18"/>
          <w:color w:val="auto"/>
        </w:rPr>
        <w:t>When compared to 2020, we expect this segment’s 2021 Segment adjusted income from continuing operations before income tax to reflect increased gross margins as a result of both the increase in revenues described above and the reduction to royalty payments relating to the BioSpecifics acquisition as described above, partially offset by increased operating expenses, including increased costs 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significantly increased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1" w:lineRule="exact"/>
        <w:rPr>
          <w:sz w:val="20"/>
          <w:szCs w:val="20"/>
          <w:color w:val="auto"/>
        </w:rPr>
      </w:pPr>
    </w:p>
    <w:p>
      <w:pPr>
        <w:ind w:right="240" w:firstLine="480"/>
        <w:spacing w:after="0" w:line="257" w:lineRule="auto"/>
        <w:rPr>
          <w:sz w:val="20"/>
          <w:szCs w:val="20"/>
          <w:color w:val="auto"/>
        </w:rPr>
      </w:pPr>
      <w:r>
        <w:rPr>
          <w:rFonts w:ascii="Arial" w:cs="Arial" w:eastAsia="Arial" w:hAnsi="Arial"/>
          <w:sz w:val="18"/>
          <w:szCs w:val="18"/>
          <w:i w:val="1"/>
          <w:iCs w:val="1"/>
          <w:color w:val="auto"/>
        </w:rPr>
        <w:t>Sterile Injectables</w:t>
      </w:r>
      <w:r>
        <w:rPr>
          <w:rFonts w:ascii="Arial" w:cs="Arial" w:eastAsia="Arial" w:hAnsi="Arial"/>
          <w:sz w:val="18"/>
          <w:szCs w:val="18"/>
          <w:color w:val="auto"/>
        </w:rPr>
        <w:t>. The decrease in Segment adjusted income from continuing operations before income tax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primarily attributable to the gross margin effect of the decreased revenues further described above, as well as increased costs associated with our R&amp;D investments in this segment.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100" w:firstLine="480"/>
        <w:spacing w:after="0" w:line="267"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 in Segment adjusted income from continuing operations before income tax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was primarily attributable to the gross margin effects of the decreased revenues further described above.</w:t>
      </w:r>
    </w:p>
    <w:p>
      <w:pPr>
        <w:spacing w:after="0" w:line="73" w:lineRule="exact"/>
        <w:rPr>
          <w:sz w:val="20"/>
          <w:szCs w:val="20"/>
          <w:color w:val="auto"/>
        </w:rPr>
      </w:pPr>
    </w:p>
    <w:p>
      <w:pPr>
        <w:ind w:right="240" w:firstLine="480"/>
        <w:spacing w:after="0" w:line="297" w:lineRule="auto"/>
        <w:rPr>
          <w:sz w:val="20"/>
          <w:szCs w:val="20"/>
          <w:color w:val="auto"/>
        </w:rPr>
      </w:pPr>
      <w:r>
        <w:rPr>
          <w:rFonts w:ascii="Arial" w:cs="Arial" w:eastAsia="Arial" w:hAnsi="Arial"/>
          <w:sz w:val="17"/>
          <w:szCs w:val="17"/>
          <w:i w:val="1"/>
          <w:iCs w:val="1"/>
          <w:color w:val="auto"/>
        </w:rPr>
        <w:t xml:space="preserve">International Pharmaceuticals. </w:t>
      </w:r>
      <w:r>
        <w:rPr>
          <w:rFonts w:ascii="Arial" w:cs="Arial" w:eastAsia="Arial" w:hAnsi="Arial"/>
          <w:sz w:val="17"/>
          <w:szCs w:val="17"/>
          <w:color w:val="auto"/>
        </w:rPr>
        <w:t>The decrease in Segment adjusted income from continuing operations before income tax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2021 was primarily attributable to the gross margin effects of the decreased revenues further described above.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80" w:firstLine="480"/>
        <w:spacing w:after="0" w:line="250" w:lineRule="auto"/>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 operations, licenses, milestone payments, capital expenditures, mergers and acquisitions (such as the recent acquisition of BioSpecifics), contingent liabilities, debt service payments, income taxes and litigation-related matters, including in connection with vaginal mesh matters and other matters. The Company’s working capital was $1,099.7 million at March 31, 2021 compared to working capital of $1,159.4 million at December 31, 2020. The amounts at March 31, 2021 and December 31, 2020 include restricted cash and cash equivalents of $111.2 million and $127.0 million, respectively, held in QSFs for mesh-related matters. Although these amounts in QSFs are included in working capital, they are required to be used for mesh product liability settlement agreements.</w:t>
      </w:r>
    </w:p>
    <w:p>
      <w:pPr>
        <w:spacing w:after="0" w:line="90"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Cash and cash equivalents, which primarily consisted of bank deposits and money market accounts, totaled $1,427.8 million at March 31, 2021 compared to $1,213.4 million at December 31, 2020.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To the extent COVID-19 has resulted in any increase to our Cash and cash equivalents, including as a result of any increase in revenues as described above, such increase could be temporary. Additionally,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w:t>
      </w:r>
    </w:p>
    <w:p>
      <w:pPr>
        <w:spacing w:after="0" w:line="65" w:lineRule="exact"/>
        <w:rPr>
          <w:sz w:val="20"/>
          <w:szCs w:val="20"/>
          <w:color w:val="auto"/>
        </w:rPr>
      </w:pPr>
    </w:p>
    <w:p>
      <w:pPr>
        <w:ind w:right="80" w:firstLine="480"/>
        <w:spacing w:after="0" w:line="286" w:lineRule="auto"/>
        <w:rPr>
          <w:sz w:val="20"/>
          <w:szCs w:val="20"/>
          <w:color w:val="auto"/>
        </w:rPr>
      </w:pPr>
      <w:r>
        <w:rPr>
          <w:rFonts w:ascii="Arial" w:cs="Arial" w:eastAsia="Arial" w:hAnsi="Arial"/>
          <w:sz w:val="16"/>
          <w:szCs w:val="16"/>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w:t>
      </w:r>
    </w:p>
    <w:p>
      <w:pPr>
        <w:spacing w:after="0" w:line="65" w:lineRule="exact"/>
        <w:rPr>
          <w:sz w:val="20"/>
          <w:szCs w:val="20"/>
          <w:color w:val="auto"/>
        </w:rPr>
      </w:pPr>
    </w:p>
    <w:p>
      <w:pPr>
        <w:ind w:right="60" w:firstLine="480"/>
        <w:spacing w:after="0" w:line="250" w:lineRule="auto"/>
        <w:rPr>
          <w:sz w:val="20"/>
          <w:szCs w:val="20"/>
          <w:color w:val="auto"/>
        </w:rPr>
      </w:pPr>
      <w:r>
        <w:rPr>
          <w:rFonts w:ascii="Arial" w:cs="Arial" w:eastAsia="Arial" w:hAnsi="Arial"/>
          <w:sz w:val="18"/>
          <w:szCs w:val="18"/>
          <w:color w:val="auto"/>
        </w:rPr>
        <w:t>We may also, from time to time, seek to enter into certain transactions to reduce our leverage and/or interest expense and/or to extend the maturities of our outstanding indebtedness or obtain greater covenant flexibility.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including requiring us to take charges. Further, the terms of any such transactions, including the amount of any exchange consideration and terms of any refinanced debt, could also be less favorable than we have been able to obtain in the past.</w:t>
      </w:r>
    </w:p>
    <w:p>
      <w:pPr>
        <w:spacing w:after="0" w:line="90" w:lineRule="exact"/>
        <w:rPr>
          <w:sz w:val="20"/>
          <w:szCs w:val="20"/>
          <w:color w:val="auto"/>
        </w:rPr>
      </w:pPr>
    </w:p>
    <w:p>
      <w:pPr>
        <w:ind w:right="60" w:firstLine="480"/>
        <w:spacing w:after="0" w:line="267" w:lineRule="auto"/>
        <w:rPr>
          <w:sz w:val="20"/>
          <w:szCs w:val="20"/>
          <w:color w:val="auto"/>
        </w:rPr>
      </w:pPr>
      <w:r>
        <w:rPr>
          <w:rFonts w:ascii="Arial" w:cs="Arial" w:eastAsia="Arial" w:hAnsi="Arial"/>
          <w:sz w:val="17"/>
          <w:szCs w:val="17"/>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280" w:firstLine="480"/>
        <w:spacing w:after="0" w:line="253"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governing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As of March 31, 2021, approximately $2.0 billion was outstanding under the Term Loan Facility, approximately $0.3 billion was outstanding under the Revolving Credit Facility and approximately $6.1 billion was outstanding under the senior secured and senior unsecured notes.</w:t>
      </w:r>
    </w:p>
    <w:p>
      <w:pPr>
        <w:spacing w:after="0" w:line="87" w:lineRule="exact"/>
        <w:rPr>
          <w:sz w:val="20"/>
          <w:szCs w:val="20"/>
          <w:color w:val="auto"/>
        </w:rPr>
      </w:pPr>
    </w:p>
    <w:p>
      <w:pPr>
        <w:jc w:val="both"/>
        <w:ind w:right="260" w:firstLine="480"/>
        <w:spacing w:after="0" w:line="257" w:lineRule="auto"/>
        <w:rPr>
          <w:sz w:val="20"/>
          <w:szCs w:val="20"/>
          <w:color w:val="auto"/>
        </w:rPr>
      </w:pPr>
      <w:r>
        <w:rPr>
          <w:rFonts w:ascii="Arial" w:cs="Arial" w:eastAsia="Arial" w:hAnsi="Arial"/>
          <w:sz w:val="18"/>
          <w:szCs w:val="18"/>
          <w:color w:val="auto"/>
        </w:rPr>
        <w:t>After giving effect to previous borrowings and issued and outstanding letters of credit, approximately $0.7 billion of remaining credit was available under the Revolving Credit Facility at March 31, 2021. The Company’s outstanding debt agreements contain a number of restrictive covenants, including certain limitations on the Company’s ability to incur additional indebtedness.</w:t>
      </w:r>
    </w:p>
    <w:p>
      <w:pPr>
        <w:spacing w:after="0" w:line="81"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The Credit Agreement and the indentures governing our various senior secured notes and the 6.00% Senior Notes due 2028 contain certain covenants. As of March 31, 2021 and December 31, 2020, the Company was in compliance with all such covenants. We have eliminated substantially all of the restrictive covenants and certain events of default in the indentures governing our senior unsecured notes, except for those in the indenture governing the 6.00% Senior Notes due 2028.</w:t>
      </w:r>
    </w:p>
    <w:p>
      <w:pPr>
        <w:spacing w:after="0" w:line="87" w:lineRule="exact"/>
        <w:rPr>
          <w:sz w:val="20"/>
          <w:szCs w:val="20"/>
          <w:color w:val="auto"/>
        </w:rPr>
      </w:pPr>
    </w:p>
    <w:p>
      <w:pPr>
        <w:ind w:right="240" w:firstLine="480"/>
        <w:spacing w:after="0" w:line="257" w:lineRule="auto"/>
        <w:rPr>
          <w:sz w:val="20"/>
          <w:szCs w:val="20"/>
          <w:color w:val="auto"/>
        </w:rPr>
      </w:pPr>
      <w:r>
        <w:rPr>
          <w:rFonts w:ascii="Arial" w:cs="Arial" w:eastAsia="Arial" w:hAnsi="Arial"/>
          <w:sz w:val="18"/>
          <w:szCs w:val="18"/>
          <w:color w:val="auto"/>
        </w:rPr>
        <w:t>Refer to Note 12. Debt of the Condensed Consolidated Financial Statements included in Part I, Item 1 of this report and Note 15. Debt in the Consolidated Financial Statements included in Part IV, Item 15 of the Annual Report for additional information about our indebtedness, including our debt refinancing transactions and information about covenants, maturities, interest rates, security and priority.</w:t>
      </w:r>
    </w:p>
    <w:p>
      <w:pPr>
        <w:spacing w:after="0" w:line="81" w:lineRule="exact"/>
        <w:rPr>
          <w:sz w:val="20"/>
          <w:szCs w:val="20"/>
          <w:color w:val="auto"/>
        </w:rPr>
      </w:pPr>
    </w:p>
    <w:p>
      <w:pPr>
        <w:ind w:right="300" w:firstLine="480"/>
        <w:spacing w:after="0" w:line="26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with a negative outlook, respectively. No report of any rating agency is being incorporated by reference herein.</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 xml:space="preserve">Working capital. </w:t>
      </w:r>
      <w:r>
        <w:rPr>
          <w:rFonts w:ascii="Arial" w:cs="Arial" w:eastAsia="Arial" w:hAnsi="Arial"/>
          <w:sz w:val="16"/>
          <w:szCs w:val="16"/>
          <w:color w:val="auto"/>
        </w:rPr>
        <w:t>The components of our working capital and our liquidity at March 31, 2021 and December 31, 2020 are below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2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6"/>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2,495,231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2,413,258</w:t>
            </w:r>
          </w:p>
        </w:tc>
        <w:tc>
          <w:tcPr>
            <w:tcW w:w="0" w:type="dxa"/>
            <w:vAlign w:val="bottom"/>
          </w:tcPr>
          <w:p>
            <w:pPr>
              <w:spacing w:after="0"/>
              <w:rPr>
                <w:sz w:val="1"/>
                <w:szCs w:val="1"/>
                <w:color w:val="auto"/>
              </w:rPr>
            </w:pPr>
          </w:p>
        </w:tc>
      </w:tr>
      <w:tr>
        <w:trPr>
          <w:trHeight w:val="226"/>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total current liabilities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1,253,824</w:t>
            </w:r>
          </w:p>
        </w:tc>
        <w:tc>
          <w:tcPr>
            <w:tcW w:w="0" w:type="dxa"/>
            <w:vAlign w:val="bottom"/>
          </w:tcPr>
          <w:p>
            <w:pPr>
              <w:spacing w:after="0"/>
              <w:rPr>
                <w:sz w:val="1"/>
                <w:szCs w:val="1"/>
                <w:color w:val="auto"/>
              </w:rPr>
            </w:pPr>
          </w:p>
        </w:tc>
      </w:tr>
      <w:tr>
        <w:trPr>
          <w:trHeight w:val="24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1,159,434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199"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Net working capital decreased by $59.7 million from December 31, 2020 to March 31, 2021. This decrease was driven in part by the following activity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2021: (i) the reclassification of $180.3 million of debt maturing in January 2022 from noncurrent to current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liabilities; (ii) the incurrence of costs and fees related to the March 2021 Refinancing Transactions, which are further described in Note 12. Debt of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Financial Statements included in Part I, Item 1 of this report; and (iii) Capital expenditures, excluding capitalized interest,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$16.7 million. These decreases were partially offset by the favorable impact to net current assets resulting from operations during the three months ended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02" w:lineRule="exact"/>
        <w:rPr>
          <w:sz w:val="20"/>
          <w:szCs w:val="20"/>
          <w:color w:val="auto"/>
        </w:rPr>
      </w:pPr>
    </w:p>
    <w:p>
      <w:pPr>
        <w:ind w:right="400" w:firstLine="480"/>
        <w:spacing w:after="0" w:line="267" w:lineRule="auto"/>
        <w:rPr>
          <w:sz w:val="20"/>
          <w:szCs w:val="20"/>
          <w:color w:val="auto"/>
        </w:rPr>
      </w:pPr>
      <w:r>
        <w:rPr>
          <w:rFonts w:ascii="Arial" w:cs="Arial" w:eastAsia="Arial" w:hAnsi="Arial"/>
          <w:sz w:val="18"/>
          <w:szCs w:val="18"/>
          <w:color w:val="auto"/>
        </w:rPr>
        <w:t>The following table summarizes our Condensed Consolidated Statements of Cash Flows for the three months ended March 31, 2021 and 2020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243,840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62,556</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(15,963)</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(14,483)</w:t>
            </w:r>
          </w:p>
        </w:tc>
      </w:tr>
      <w:tr>
        <w:trPr>
          <w:trHeight w:val="227"/>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21"/>
        </w:trPr>
        <w:tc>
          <w:tcPr>
            <w:tcW w:w="8420" w:type="dxa"/>
            <w:vAlign w:val="bottom"/>
          </w:tcPr>
          <w:p>
            <w:pPr>
              <w:ind w:left="2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30,216</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80"/>
        <w:spacing w:after="0" w:line="252"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160" w:firstLine="480"/>
        <w:spacing w:after="0" w:line="267" w:lineRule="auto"/>
        <w:rPr>
          <w:sz w:val="20"/>
          <w:szCs w:val="20"/>
          <w:color w:val="auto"/>
        </w:rPr>
      </w:pPr>
      <w:r>
        <w:rPr>
          <w:rFonts w:ascii="Arial" w:cs="Arial" w:eastAsia="Arial" w:hAnsi="Arial"/>
          <w:sz w:val="17"/>
          <w:szCs w:val="17"/>
          <w:color w:val="auto"/>
        </w:rPr>
        <w:t>The $181.3 million increase in Net cash provided by operating activities during the three months ended March 31, 2021 compared to the prior year period was primarily due to our results of operations as described above and the timing of cash collections and cash payments related to our operations, as well as a decrease of approximately $44.0 million in cash outflows for certain mesh-related matters and a decrease of approximately $39.7 million in cash outflows for interest payments as a result of the timing and amounts of interest payments related to our indebtedness. We currently expect to fund all of the remaining payments under all previously executed settlement agreements during 2021, which could result in reductions to our operating cash flows. For additional information about mesh-related matters, refer to Note 13. Commitments and Contingencies of the Condensed Consolidated Financial Statements included in Part I, Item 1.</w:t>
      </w:r>
    </w:p>
    <w:p>
      <w:pPr>
        <w:spacing w:after="0" w:line="77" w:lineRule="exact"/>
        <w:rPr>
          <w:sz w:val="20"/>
          <w:szCs w:val="20"/>
          <w:color w:val="auto"/>
        </w:rPr>
      </w:pPr>
    </w:p>
    <w:p>
      <w:pPr>
        <w:ind w:right="100" w:firstLine="480"/>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$1.1 million increase in Net cash used in investing activities during the three months ended March 31, 2021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period was partially attributable to a decrease in Proceeds from sale of business and other assets, net of $3.3 million and certain other items, partially offset by a decrease in Capital expenditures, excluding capitalized interest of $2.9 million.</w:t>
      </w:r>
    </w:p>
    <w:p>
      <w:pPr>
        <w:spacing w:after="0" w:line="81" w:lineRule="exact"/>
        <w:rPr>
          <w:sz w:val="20"/>
          <w:szCs w:val="20"/>
          <w:color w:val="auto"/>
        </w:rPr>
      </w:pPr>
    </w:p>
    <w:p>
      <w:pPr>
        <w:ind w:right="320" w:firstLine="48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three months ended March 31, 2021, Net cash used in financing activities primarily related to the March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Transactions, including the payment of approximately $40.9 million of associated costs and fees. The remaining amount primarily related to Payments of tax withholding for restricted shares of $4.9 million.</w:t>
      </w:r>
    </w:p>
    <w:p>
      <w:pPr>
        <w:spacing w:after="0" w:line="81" w:lineRule="exact"/>
        <w:rPr>
          <w:sz w:val="20"/>
          <w:szCs w:val="20"/>
          <w:color w:val="auto"/>
        </w:rPr>
      </w:pPr>
    </w:p>
    <w:p>
      <w:pPr>
        <w:ind w:right="260" w:firstLine="480"/>
        <w:spacing w:after="0" w:line="267" w:lineRule="auto"/>
        <w:rPr>
          <w:sz w:val="20"/>
          <w:szCs w:val="20"/>
          <w:color w:val="auto"/>
        </w:rPr>
      </w:pPr>
      <w:r>
        <w:rPr>
          <w:rFonts w:ascii="Arial" w:cs="Arial" w:eastAsia="Arial" w:hAnsi="Arial"/>
          <w:sz w:val="18"/>
          <w:szCs w:val="18"/>
          <w:color w:val="auto"/>
        </w:rPr>
        <w:t>During the three months ended March 31, 2020, Net cash used in financing activities related primarily to Repayments of term loans of $8.5 million and Payments of tax withholding for restricted shares of $4.4 million.</w:t>
      </w:r>
    </w:p>
    <w:p>
      <w:pPr>
        <w:spacing w:after="0" w:line="73" w:lineRule="exact"/>
        <w:rPr>
          <w:sz w:val="20"/>
          <w:szCs w:val="20"/>
          <w:color w:val="auto"/>
        </w:rPr>
      </w:pPr>
    </w:p>
    <w:p>
      <w:pPr>
        <w:ind w:right="40" w:firstLine="480"/>
        <w:spacing w:after="0" w:line="25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As of March 31, 2021, there were no material changes in our contractual obligations from those disclosed in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except for those related to the financing transactions described in Note 12. Debt of the Condensed Consolidated Financial Statements included in Part I, Item 1.</w:t>
      </w:r>
    </w:p>
    <w:p>
      <w:pPr>
        <w:spacing w:after="0" w:line="81"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Our quarterly results have fluctuated in the past and may continue to fluctuate. These fluctuations may be due to the timing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launches, purchasing patterns of our customers, market acceptance of our products, the impact of competitive products and pricing, certain actions taken by us which may impact the availability of our products, asset impairment charges, charges related to litigation, restructuring costs including separation benefits, acquisition transaction costs, the impact of financing transactions, upfront, milestone and certain other payments made or accrued pursuant to licensing agreements and changes in the fair value of financial instruments and contingent assets and liabilities recorded as part of acquisitions.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 The impact of COVID-19 may heighten these fluctuations in our operating results.</w:t>
      </w:r>
    </w:p>
    <w:p>
      <w:pPr>
        <w:spacing w:after="0" w:line="79" w:lineRule="exact"/>
        <w:rPr>
          <w:sz w:val="20"/>
          <w:szCs w:val="20"/>
          <w:color w:val="auto"/>
        </w:rPr>
      </w:pPr>
    </w:p>
    <w:p>
      <w:pPr>
        <w:ind w:right="280" w:firstLine="480"/>
        <w:spacing w:after="0" w:line="253" w:lineRule="auto"/>
        <w:rPr>
          <w:sz w:val="20"/>
          <w:szCs w:val="20"/>
          <w:color w:val="auto"/>
        </w:rPr>
      </w:pPr>
      <w:r>
        <w:rPr>
          <w:rFonts w:ascii="Arial" w:cs="Arial" w:eastAsia="Arial" w:hAnsi="Arial"/>
          <w:sz w:val="18"/>
          <w:szCs w:val="18"/>
          <w:color w:val="auto"/>
        </w:rPr>
        <w:t>Additionally, the current economic crisis and increased unemployment rates resulting from COVID-19 have significantly reduced individual disposable income and depressed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9" w:lineRule="exact"/>
        <w:rPr>
          <w:sz w:val="20"/>
          <w:szCs w:val="20"/>
          <w:color w:val="auto"/>
        </w:rPr>
      </w:pPr>
    </w:p>
    <w:p>
      <w:pPr>
        <w:ind w:right="420" w:firstLine="480"/>
        <w:spacing w:after="0" w:line="267" w:lineRule="auto"/>
        <w:rPr>
          <w:sz w:val="20"/>
          <w:szCs w:val="20"/>
          <w:color w:val="auto"/>
        </w:rPr>
      </w:pPr>
      <w:r>
        <w:rPr>
          <w:rFonts w:ascii="Arial" w:cs="Arial" w:eastAsia="Arial" w:hAnsi="Arial"/>
          <w:sz w:val="18"/>
          <w:szCs w:val="18"/>
          <w:color w:val="auto"/>
        </w:rPr>
        <w:t>Significant changes to our critical accounting estimates since December 31, 2020 are detailed below. For additional discussion of the Company’s critical accounting estimates, see “Critical Accounting Estimates” in Item 7 of the Annual Report.</w:t>
      </w:r>
    </w:p>
    <w:p>
      <w:pPr>
        <w:spacing w:after="0" w:line="73" w:lineRule="exact"/>
        <w:rPr>
          <w:sz w:val="20"/>
          <w:szCs w:val="20"/>
          <w:color w:val="auto"/>
        </w:rPr>
      </w:pPr>
    </w:p>
    <w:p>
      <w:pPr>
        <w:ind w:right="140" w:firstLine="480"/>
        <w:spacing w:after="0" w:line="295" w:lineRule="auto"/>
        <w:rPr>
          <w:sz w:val="20"/>
          <w:szCs w:val="20"/>
          <w:color w:val="auto"/>
        </w:rPr>
      </w:pPr>
      <w:r>
        <w:rPr>
          <w:rFonts w:ascii="Arial" w:cs="Arial" w:eastAsia="Arial" w:hAnsi="Arial"/>
          <w:sz w:val="16"/>
          <w:szCs w:val="16"/>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which could result in the fair value of a reporting unit being less than its carrying amount in an impairment test.</w:t>
      </w:r>
    </w:p>
    <w:p>
      <w:pPr>
        <w:spacing w:after="0" w:line="55" w:lineRule="exact"/>
        <w:rPr>
          <w:sz w:val="20"/>
          <w:szCs w:val="20"/>
          <w:color w:val="auto"/>
        </w:rPr>
      </w:pPr>
    </w:p>
    <w:p>
      <w:pPr>
        <w:ind w:right="420" w:firstLine="480"/>
        <w:spacing w:after="0" w:line="330" w:lineRule="auto"/>
        <w:rPr>
          <w:sz w:val="20"/>
          <w:szCs w:val="20"/>
          <w:color w:val="auto"/>
        </w:rPr>
      </w:pPr>
      <w:r>
        <w:rPr>
          <w:rFonts w:ascii="Arial" w:cs="Arial" w:eastAsia="Arial" w:hAnsi="Arial"/>
          <w:sz w:val="16"/>
          <w:szCs w:val="16"/>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100" w:firstLine="480"/>
        <w:spacing w:after="0" w:line="253" w:lineRule="auto"/>
        <w:rPr>
          <w:sz w:val="20"/>
          <w:szCs w:val="20"/>
          <w:color w:val="auto"/>
        </w:rPr>
      </w:pPr>
      <w:r>
        <w:rPr>
          <w:rFonts w:ascii="Arial" w:cs="Arial" w:eastAsia="Arial" w:hAnsi="Arial"/>
          <w:sz w:val="17"/>
          <w:szCs w:val="17"/>
          <w:color w:val="auto"/>
        </w:rPr>
        <w:t>Additionally, as further discussed above under the heading “RESULTS OF OPERATIONS,” our Generic Pharmaceuticals segment and certain of the products in our Sterile Injectables segment are subject to risks and uncertainties related to future competition, including the potential introduction of generic versions of VASOSTRICT</w:t>
      </w:r>
      <w:r>
        <w:rPr>
          <w:rFonts w:ascii="Arial" w:cs="Arial" w:eastAsia="Arial" w:hAnsi="Arial"/>
          <w:sz w:val="22"/>
          <w:szCs w:val="22"/>
          <w:color w:val="auto"/>
          <w:vertAlign w:val="superscript"/>
        </w:rPr>
        <w:t>®</w:t>
      </w:r>
      <w:r>
        <w:rPr>
          <w:rFonts w:ascii="Arial" w:cs="Arial" w:eastAsia="Arial" w:hAnsi="Arial"/>
          <w:sz w:val="17"/>
          <w:szCs w:val="17"/>
          <w:color w:val="auto"/>
        </w:rPr>
        <w:t>. If actual results for these segments differ from our expectations, as a result of competition or otherwise, and/or if we make changes to our assumptions for these segments relating to competition or any other risks or uncertainties, the estimated future revenues and cash flows could be significantly reduced, which could ultimately result in asset impairment charges that may be material. As of March 31, 2021, the carrying amount of goodwill associated with our Sterile Injectables segment was approximately $2.7 billion.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right="520" w:firstLine="480"/>
        <w:spacing w:after="0" w:line="267" w:lineRule="auto"/>
        <w:rPr>
          <w:sz w:val="20"/>
          <w:szCs w:val="20"/>
          <w:color w:val="auto"/>
        </w:rPr>
      </w:pPr>
      <w:r>
        <w:rPr>
          <w:rFonts w:ascii="Arial" w:cs="Arial" w:eastAsia="Arial" w:hAnsi="Arial"/>
          <w:sz w:val="18"/>
          <w:szCs w:val="18"/>
          <w:color w:val="auto"/>
        </w:rPr>
        <w:t>Refer to Note 2. Summary of Significant Accounting Policies of the Condensed Consolidated Financial Statements included in Part I, Item 1, as applicable.</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w:t>
      </w:r>
    </w:p>
    <w:p>
      <w:pPr>
        <w:spacing w:after="0" w:line="113" w:lineRule="exact"/>
        <w:rPr>
          <w:sz w:val="20"/>
          <w:szCs w:val="20"/>
          <w:color w:val="auto"/>
        </w:rPr>
      </w:pPr>
    </w:p>
    <w:p>
      <w:pPr>
        <w:ind w:firstLine="480"/>
        <w:spacing w:after="0" w:line="270" w:lineRule="auto"/>
        <w:rPr>
          <w:sz w:val="20"/>
          <w:szCs w:val="20"/>
          <w:color w:val="auto"/>
        </w:rPr>
      </w:pPr>
      <w:r>
        <w:rPr>
          <w:rFonts w:ascii="Arial" w:cs="Arial" w:eastAsia="Arial" w:hAnsi="Arial"/>
          <w:sz w:val="17"/>
          <w:szCs w:val="17"/>
          <w:color w:val="auto"/>
        </w:rPr>
        <w:t>Our exposure to interest rate risk relates primarily to our variable-rate indebtedness associated with our Credit Facilities. At March 31, 2021 and December 31, 2020, the aggregate principal amounts of such variable-rate indebtedness were $2,300.0 million and $3,595.5 million, respectively. Borrowings under the Credit Facilities may from time to time bear interest at variable rates, in certain cases subject to a floor. At March 31, 2021 and December 31, 2020, a hypothetical 1% increase in the applicable rate over the floor would have resulted in $23.0 million and $36.0 million, respectively, of incremental interest expense (representing the annual rate of expense) related to our variable-rate debt borrowings.</w:t>
      </w:r>
    </w:p>
    <w:p>
      <w:pPr>
        <w:spacing w:after="0" w:line="73" w:lineRule="exact"/>
        <w:rPr>
          <w:sz w:val="20"/>
          <w:szCs w:val="20"/>
          <w:color w:val="auto"/>
        </w:rPr>
      </w:pPr>
    </w:p>
    <w:p>
      <w:pPr>
        <w:ind w:right="1000" w:firstLine="480"/>
        <w:spacing w:after="0" w:line="26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2021 and December 31, 2020, we had no other assets or liabilities with significant interest rate sensitivity.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3" w:lineRule="exact"/>
        <w:rPr>
          <w:sz w:val="20"/>
          <w:szCs w:val="20"/>
          <w:color w:val="auto"/>
        </w:rPr>
      </w:pPr>
    </w:p>
    <w:p>
      <w:pPr>
        <w:ind w:right="40" w:firstLine="480"/>
        <w:spacing w:after="0" w:line="267" w:lineRule="auto"/>
        <w:rPr>
          <w:sz w:val="20"/>
          <w:szCs w:val="20"/>
          <w:color w:val="auto"/>
        </w:rPr>
      </w:pPr>
      <w:r>
        <w:rPr>
          <w:rFonts w:ascii="Arial" w:cs="Arial" w:eastAsia="Arial" w:hAnsi="Arial"/>
          <w:sz w:val="17"/>
          <w:szCs w:val="17"/>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77" w:lineRule="exact"/>
        <w:rPr>
          <w:sz w:val="20"/>
          <w:szCs w:val="20"/>
          <w:color w:val="auto"/>
        </w:rPr>
      </w:pPr>
    </w:p>
    <w:p>
      <w:pPr>
        <w:ind w:right="100" w:firstLine="480"/>
        <w:spacing w:after="0" w:line="252" w:lineRule="auto"/>
        <w:rPr>
          <w:sz w:val="20"/>
          <w:szCs w:val="20"/>
          <w:color w:val="auto"/>
        </w:rPr>
      </w:pPr>
      <w:r>
        <w:rPr>
          <w:rFonts w:ascii="Arial" w:cs="Arial" w:eastAsia="Arial" w:hAnsi="Arial"/>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expense (income), net in the Condensed Consolidated Statements of Operations. Refer to Note 16. Other Expense (Income), Net of the Condensed Consolidated Financial Statements included in Part I, Item 1 for the amounts of Foreign currency loss (gain), net.</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Based on the Company’s significant foreign currency denominated intercompany loans, we separately considered the hypothetical impact of a 10%</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change in the underlying currencies of our foreign currency denominated intercompany loans, relative to the U.S. dollar, at March 31, 2021 and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 10% change at March 31, 2021 would have resulted in approximately $10 million in incremental foreign currency losses on such date.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 10% change at December 31, 2020 would have resulted in approximately $11 million in incremental foreign currency losses on such date.</w:t>
      </w:r>
    </w:p>
    <w:p>
      <w:pPr>
        <w:spacing w:after="0" w:line="14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3"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March 31, 2021. Based on that evaluation, the Company’s Chief Executive Officer and Principal Financial Officer concluded that the Company’s disclosure controls and procedures were effective as of March 31, 2021.</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3" w:lineRule="exact"/>
        <w:rPr>
          <w:sz w:val="20"/>
          <w:szCs w:val="20"/>
          <w:color w:val="auto"/>
        </w:rPr>
      </w:pPr>
    </w:p>
    <w:p>
      <w:pPr>
        <w:ind w:firstLine="480"/>
        <w:spacing w:after="0" w:line="26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March 31, 2021 that have materially affected, or are reasonably likely to materially affect, the Company’s internal control over financial reporting.</w:t>
      </w:r>
    </w:p>
    <w:p>
      <w:pPr>
        <w:spacing w:after="0" w:line="39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19" w:lineRule="exact"/>
        <w:rPr>
          <w:sz w:val="20"/>
          <w:szCs w:val="20"/>
          <w:color w:val="auto"/>
        </w:rPr>
      </w:pPr>
    </w:p>
    <w:p>
      <w:pPr>
        <w:ind w:right="240" w:firstLine="480"/>
        <w:spacing w:after="0" w:line="267" w:lineRule="auto"/>
        <w:rPr>
          <w:sz w:val="20"/>
          <w:szCs w:val="20"/>
          <w:color w:val="auto"/>
        </w:rPr>
      </w:pPr>
      <w:r>
        <w:rPr>
          <w:rFonts w:ascii="Arial" w:cs="Arial" w:eastAsia="Arial" w:hAnsi="Arial"/>
          <w:sz w:val="18"/>
          <w:szCs w:val="18"/>
          <w:color w:val="auto"/>
        </w:rPr>
        <w:t>The disclosures under Note 13. Commitments and Contingencies of the Condensed Consolidated Financial Statements included in Part I, Item 1 are incorporated into this Part II, Item 1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120" w:firstLine="480"/>
        <w:spacing w:after="0" w:line="267" w:lineRule="auto"/>
        <w:rPr>
          <w:sz w:val="20"/>
          <w:szCs w:val="20"/>
          <w:color w:val="auto"/>
        </w:rPr>
      </w:pPr>
      <w:r>
        <w:rPr>
          <w:rFonts w:ascii="Arial" w:cs="Arial" w:eastAsia="Arial" w:hAnsi="Arial"/>
          <w:sz w:val="18"/>
          <w:szCs w:val="18"/>
          <w:color w:val="auto"/>
        </w:rPr>
        <w:t>For a discussion of our risk factors, see the information in Part I, Item 1A. “Risk Factors” in the Annual Report. There have been no material changes to our risk factors from those described in the Annual Report except as set forth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Related Risks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financial condition may be adversely affected by legislation.</w:t>
      </w:r>
    </w:p>
    <w:p>
      <w:pPr>
        <w:spacing w:after="0" w:line="119" w:lineRule="exact"/>
        <w:rPr>
          <w:sz w:val="20"/>
          <w:szCs w:val="20"/>
          <w:color w:val="auto"/>
        </w:rPr>
      </w:pPr>
    </w:p>
    <w:p>
      <w:pPr>
        <w:ind w:right="380" w:firstLine="480"/>
        <w:spacing w:after="0" w:line="273" w:lineRule="auto"/>
        <w:rPr>
          <w:sz w:val="20"/>
          <w:szCs w:val="20"/>
          <w:color w:val="auto"/>
        </w:rPr>
      </w:pPr>
      <w:r>
        <w:rPr>
          <w:rFonts w:ascii="Arial" w:cs="Arial" w:eastAsia="Arial" w:hAnsi="Arial"/>
          <w:sz w:val="17"/>
          <w:szCs w:val="17"/>
          <w:color w:val="auto"/>
        </w:rPr>
        <w:t>We cannot predict with any certainty how existing laws may be applied or how laws or legal standards may change in the future. Current or future legislation, whether state or federal, or in any of the non-U.S. jurisdictions with authority over our operations, may have a material adverse effect on our business, financial condition, results of operations and cash flows. For example, the effect of Substance Use-Disorder Prevention that Promotes Opioid Recovery and Treatment for Patients and Communities Act (H.R. 6), enacted in October 2018, is still uncertain.</w:t>
      </w:r>
    </w:p>
    <w:p>
      <w:pPr>
        <w:spacing w:after="0" w:line="70" w:lineRule="exact"/>
        <w:rPr>
          <w:sz w:val="20"/>
          <w:szCs w:val="20"/>
          <w:color w:val="auto"/>
        </w:rPr>
      </w:pPr>
    </w:p>
    <w:p>
      <w:pPr>
        <w:ind w:firstLine="480"/>
        <w:spacing w:after="0" w:line="281" w:lineRule="auto"/>
        <w:rPr>
          <w:sz w:val="20"/>
          <w:szCs w:val="20"/>
          <w:color w:val="auto"/>
        </w:rPr>
      </w:pPr>
      <w:r>
        <w:rPr>
          <w:rFonts w:ascii="Arial" w:cs="Arial" w:eastAsia="Arial" w:hAnsi="Arial"/>
          <w:sz w:val="16"/>
          <w:szCs w:val="16"/>
          <w:color w:val="auto"/>
        </w:rPr>
        <w:t>In addition, in April 2018, New York enacted a statute called the Opioid Stewardship Act (the Stewardship Act), which, among other things, provided for certain manufacturers and distributors of certain opioids in the state of New York (the Contributing Parties) to make payments to a newly created Opioid Stewardship Fund (the Fund). By its terms, the Stewardship Act required Contributing Parties to pay a combined total of up to $100 million annually into the Fund, with each Contributing Party’s share based on the total amount of morphine milligram equivalents (MME) of certain opioids sold or distributed by the Contributing Party in the state of New York during the preceding calendar year, subject to potential adjustments by the New York State Department of Health. Failure of a Contributing Party to make required reports or pay its ratable share, or a Contributing Party passing on the cost of its ratable share to a purchaser, could subject the Contributing Party to penalties. In December 2018, a federal district court struck down the Stewardship Act as unconstitutional. In September 2020, an appellate court reversed on procedural grounds the district court’s decision and a petition for rehearing of the appellate court decision was denied in December 2020. An amendment to the Stewardship Act made clear that the law applies only to New York opioid sales or distributions for calendar years 2017 and 2018. To the extent that further court decisions do not strike down the Stewardship Act and we are deemed to be a Contributing Party, we could face liability under the Stewardship Act but we believe any such liability would be one-time in nature because the liability would be retroactively imposed only on sales in 2017 and 2018. Additionally, other entities may attempt to seek reimbursement from Endo for payments made related to products manufactured by Endo and distributed in New York. Furthermore, the application of the Stewardship Act may require additional regulatory guidance, which could be substantially delayed, increasing the uncertainty as to the ultimate effect of the Stewardship Act on us. If we are ultimately deemed to be a Contributing Party under the Stewardship Act, or similar legislation that could be enacted by New York or other jurisdictions, compliance with those laws could have a material adverse effect on our business, financial condition, results of operations and cash flows.</w:t>
      </w:r>
    </w:p>
    <w:p>
      <w:pPr>
        <w:spacing w:after="0" w:line="72" w:lineRule="exact"/>
        <w:rPr>
          <w:sz w:val="20"/>
          <w:szCs w:val="20"/>
          <w:color w:val="auto"/>
        </w:rPr>
      </w:pPr>
    </w:p>
    <w:p>
      <w:pPr>
        <w:ind w:right="100" w:firstLine="480"/>
        <w:spacing w:after="0" w:line="273" w:lineRule="auto"/>
        <w:rPr>
          <w:sz w:val="20"/>
          <w:szCs w:val="20"/>
          <w:color w:val="auto"/>
        </w:rPr>
      </w:pPr>
      <w:r>
        <w:rPr>
          <w:rFonts w:ascii="Arial" w:cs="Arial" w:eastAsia="Arial" w:hAnsi="Arial"/>
          <w:sz w:val="17"/>
          <w:szCs w:val="17"/>
          <w:color w:val="auto"/>
        </w:rPr>
        <w:t>In the meantime, in April 2019, New York enacted an excise tax on the first sale of every opioid unit in New York at the rate of one quarter of a cent per MME where wholesale acquisition cost (WAC) is less than $0.50 and one and one half cents per MME where WAC is equal to or greater than $0.50. For purposes of this statute, “opioid” does not include buprenorphine, methadone or morphine and “sale” does not include transfers of title from a manufacturer in New York to a purchaser outside New York when the opioid unit will be used or consumed outside New York.</w:t>
      </w:r>
    </w:p>
    <w:p>
      <w:pPr>
        <w:spacing w:after="0" w:line="70" w:lineRule="exact"/>
        <w:rPr>
          <w:sz w:val="20"/>
          <w:szCs w:val="20"/>
          <w:color w:val="auto"/>
        </w:rPr>
      </w:pPr>
    </w:p>
    <w:p>
      <w:pPr>
        <w:ind w:right="60" w:firstLine="480"/>
        <w:spacing w:after="0" w:line="285" w:lineRule="auto"/>
        <w:rPr>
          <w:sz w:val="20"/>
          <w:szCs w:val="20"/>
          <w:color w:val="auto"/>
        </w:rPr>
      </w:pPr>
      <w:r>
        <w:rPr>
          <w:rFonts w:ascii="Arial" w:cs="Arial" w:eastAsia="Arial" w:hAnsi="Arial"/>
          <w:sz w:val="16"/>
          <w:szCs w:val="16"/>
          <w:color w:val="auto"/>
        </w:rPr>
        <w:t>In October 2018, the Canadian province of British Columbia enacted a statute called the Opioid Damages and Health Care Costs Recovery Act, which allows the British Columbia government to file a direct action against opioid manufacturers and wholesalers to recover the health care costs it has incurred, and will incur, resulting from an “opioid-related wrong.” The statute defines “opioid-related wrong” to include any breach of a common law, equitable or statutory duty or obligation owed to persons in British Columbia who have been or might be exposed to an opioid product. The statute, among other effects, erases limitation periods for certain claims, reverses certain burdens of proof as to causation, allows the use of population-based evidence and restricts discovery of certain documents. Similar legislation has been enacted in other Canadian provinces including Alberta, Manitoba, Newfoundland and Labrador, Nova Scotia, Ontario, Prince Edward Island and Saskatchewan. It is possible that these statutes, or similar statutes enacted by other jurisdictions, and resultant litigation, could have a material adverse effect on our business, financial condition, results of operations and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In Canada, the prices of patented pharmaceutical products are subject to regulation by the Patented Medicine Prices Review Board (PMPRB). Under the Canadian Patent Act and Patented Medicines Regulations, patentees of inventions that pertain to pharmaceutical products sold in Canada are required to file price and sales information about their patented pharmaceutical products with the PMPRB. The PMPRB reviews this information on an ongoing basis to ensure that the prices of patented pharmaceuticals sold in Canada are not excessive, based upon price tests established by the PMPRB. There is a risk that the price of our pharmaceutical products could be found to be excessive because the price as set at launch is non-compliant with the PMPRB’s guidelines, or because our average sale prices over time are not compliant with the guidelines. Furthermore, amendments expected to come into force on July 1, 2021 will introduce a number of changes to the regulation of Canadian drug prices by the PMPRB. The PMPRB guidelines will be updated to introduce new price tests to account for changes introduced by the amendments. The application of the new price tests under the guidelines could result in the current prices of our pharmaceutical products being deemed to be excessive. Failure by us to comply with the current or future guidelines could ultimately result in us reducing the prices of the pharmaceutical products we sell in Canada and/or making a payment to the Canadian government to offset revenues deemed by the PMPRB to be excessive, which could ultimately reduce the revenues and cash flows of our International Pharmaceuticals segment and could have a material adverse effect on our business, financial condition, results of operations and cash flows.</w:t>
      </w:r>
    </w:p>
    <w:p>
      <w:pPr>
        <w:spacing w:after="0" w:line="71" w:lineRule="exact"/>
        <w:rPr>
          <w:sz w:val="20"/>
          <w:szCs w:val="20"/>
          <w:color w:val="auto"/>
        </w:rPr>
      </w:pPr>
    </w:p>
    <w:p>
      <w:pPr>
        <w:ind w:right="60" w:firstLine="480"/>
        <w:spacing w:after="0" w:line="267" w:lineRule="auto"/>
        <w:rPr>
          <w:sz w:val="20"/>
          <w:szCs w:val="20"/>
          <w:color w:val="auto"/>
        </w:rPr>
      </w:pPr>
      <w:r>
        <w:rPr>
          <w:rFonts w:ascii="Arial" w:cs="Arial" w:eastAsia="Arial" w:hAnsi="Arial"/>
          <w:sz w:val="18"/>
          <w:szCs w:val="18"/>
          <w:color w:val="auto"/>
        </w:rPr>
        <w:t>It is possible that these or other changes in law could have a material adverse effect on our business, financial condition, results of operations and cash flows. See “Governmental Regulation” in Part I, Item 1 of the Annual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risks related to our global operations may adversely impact our revenues, results of operations and financial condition.</w:t>
      </w:r>
    </w:p>
    <w:p>
      <w:pPr>
        <w:spacing w:after="0" w:line="119" w:lineRule="exact"/>
        <w:rPr>
          <w:sz w:val="20"/>
          <w:szCs w:val="20"/>
          <w:color w:val="auto"/>
        </w:rPr>
      </w:pPr>
    </w:p>
    <w:p>
      <w:pPr>
        <w:ind w:right="20" w:firstLine="480"/>
        <w:spacing w:after="0" w:line="283" w:lineRule="auto"/>
        <w:rPr>
          <w:sz w:val="20"/>
          <w:szCs w:val="20"/>
          <w:color w:val="auto"/>
        </w:rPr>
      </w:pPr>
      <w:r>
        <w:rPr>
          <w:rFonts w:ascii="Arial" w:cs="Arial" w:eastAsia="Arial" w:hAnsi="Arial"/>
          <w:sz w:val="16"/>
          <w:szCs w:val="16"/>
          <w:color w:val="auto"/>
        </w:rPr>
        <w:t>During the three months ended March 31, 2021, approximately 3% of our total revenues were from customers outside the U.S. Some of these sales were to governmental entities and other organizations with extended payment terms. Conducting business internationally, including the sourcing, manufacturing, development, sale and distribution of our products and services across international borders, subjects us to extensive U.S. and foreign governmental trade regulations, such as various anti-bribery laws, including the U.S. Foreign Corrupt Practices Act (FCPA), export control laws, customs and import laws, and anti-boycott laws. The FCPA and similar anti-corruption laws in other jurisdictions generally prohibit companies and their intermediaries from making improper payments to government officials for the purpose of obtaining or retaining business. We cannot provide assurance that our internal controls and procedures will always protect us from criminal acts committed by our employees or third parties with whom we work. If we are found liable for violations of the FCPA or other applicable laws and regulations, either due to our own acts or out of inadvertence, or due to the acts or inadvertence of others, we could suffer significant criminal, civil and administrative penalties, including, but not limited to, imprisonment of individuals, fines, denial of export privileges, seizure of shipments, restrictions on certain business activities and exclusion or debarment from government contracting, as well as reputational harm. Also, the failure to comply with applicable legal and regulatory obligations could result in the disruption of our shipping and sales activities.</w:t>
      </w:r>
    </w:p>
    <w:p>
      <w:pPr>
        <w:spacing w:after="0" w:line="66" w:lineRule="exact"/>
        <w:rPr>
          <w:sz w:val="20"/>
          <w:szCs w:val="20"/>
          <w:color w:val="auto"/>
        </w:rPr>
      </w:pPr>
    </w:p>
    <w:p>
      <w:pPr>
        <w:ind w:right="40" w:firstLine="480"/>
        <w:spacing w:after="0" w:line="264" w:lineRule="auto"/>
        <w:rPr>
          <w:sz w:val="20"/>
          <w:szCs w:val="20"/>
          <w:color w:val="auto"/>
        </w:rPr>
      </w:pPr>
      <w:r>
        <w:rPr>
          <w:rFonts w:ascii="Arial" w:cs="Arial" w:eastAsia="Arial" w:hAnsi="Arial"/>
          <w:sz w:val="17"/>
          <w:szCs w:val="17"/>
          <w:color w:val="auto"/>
        </w:rPr>
        <w:t>In addition, some countries where we source, develop, manufacture or sell products are subject to political, economic and/or social instability. Our non-U.S. R&amp;D, manufacturing and sales operations expose us and our employees, representatives, agents and distributors to risks inherent in operating in non-U.S. jurisdictions. For example, we currently perform certain R&amp;D and manufacturing operations in India and plan to expand these operations, including through investment in a new manufacturing site we are constructing in Indore. A disruption in our Indian operations could have a material adverse effect on our business, financial condition, results of operations and cash flows. These risks include:</w:t>
      </w:r>
    </w:p>
    <w:p>
      <w:pPr>
        <w:spacing w:after="0" w:line="2" w:lineRule="exact"/>
        <w:rPr>
          <w:sz w:val="20"/>
          <w:szCs w:val="20"/>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additional U.S. and non-U.S. governmental controls or regulations;</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6" w:lineRule="exact"/>
        <w:rPr>
          <w:rFonts w:ascii="Arial" w:cs="Arial" w:eastAsia="Arial" w:hAnsi="Arial"/>
          <w:sz w:val="18"/>
          <w:szCs w:val="18"/>
          <w:color w:val="auto"/>
        </w:rPr>
      </w:pPr>
    </w:p>
    <w:p>
      <w:pPr>
        <w:ind w:left="880" w:right="160" w:hanging="234"/>
        <w:spacing w:after="0" w:line="247" w:lineRule="auto"/>
        <w:tabs>
          <w:tab w:leader="none" w:pos="8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continued business with the sanctioned country, company, person or entity;</w:t>
      </w:r>
    </w:p>
    <w:p>
      <w:pPr>
        <w:ind w:left="880" w:right="280" w:hanging="234"/>
        <w:spacing w:after="0" w:line="278" w:lineRule="auto"/>
        <w:tabs>
          <w:tab w:leader="none" w:pos="8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economic and political instability or disruptions, including local and regional instability, or disruptions due to natural disasters, such as severe weather and geological events, disruptions due to civil unrest and hostilities, rioting, military activity, terror attacks or armed hostilities;</w:t>
      </w: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new trade restrictions including foreign exchange controls;</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supply disruptions and increases in energy and transportation costs;</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global tax laws and/or the imposition by tax authorities of significant fines, penalties and additional taxes;</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 w:lineRule="exact"/>
        <w:rPr>
          <w:rFonts w:ascii="Arial" w:cs="Arial" w:eastAsia="Arial" w:hAnsi="Arial"/>
          <w:sz w:val="18"/>
          <w:szCs w:val="18"/>
          <w:color w:val="auto"/>
        </w:rPr>
      </w:pP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local, regional and international competitors;</w:t>
      </w:r>
    </w:p>
    <w:p>
      <w:pPr>
        <w:spacing w:after="0" w:line="6" w:lineRule="exact"/>
        <w:rPr>
          <w:rFonts w:ascii="Arial" w:cs="Arial" w:eastAsia="Arial" w:hAnsi="Arial"/>
          <w:sz w:val="18"/>
          <w:szCs w:val="18"/>
          <w:color w:val="auto"/>
        </w:rPr>
      </w:pPr>
    </w:p>
    <w:p>
      <w:pPr>
        <w:ind w:left="880" w:right="240" w:hanging="234"/>
        <w:spacing w:after="0" w:line="247" w:lineRule="auto"/>
        <w:tabs>
          <w:tab w:leader="none" w:pos="8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cultural differences and additional employment regulations, union workforce negotiations and potential disputes in the jurisdictions in which we operate;</w:t>
      </w:r>
    </w:p>
    <w:p>
      <w:pPr>
        <w:ind w:left="880" w:hanging="234"/>
        <w:spacing w:after="0"/>
        <w:tabs>
          <w:tab w:leader="none" w:pos="88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difficulties and costs of obtaining and maintaining labs, R&amp;D sites, manufacturing facilities and other locations in which we operate;</w:t>
      </w:r>
    </w:p>
    <w:p>
      <w:pPr>
        <w:spacing w:after="0" w:line="17" w:lineRule="exact"/>
        <w:rPr>
          <w:rFonts w:ascii="Arial" w:cs="Arial" w:eastAsia="Arial" w:hAnsi="Arial"/>
          <w:sz w:val="17"/>
          <w:szCs w:val="17"/>
          <w:b w:val="1"/>
          <w:bCs w:val="1"/>
          <w:i w:val="1"/>
          <w:iCs w:val="1"/>
          <w:color w:val="auto"/>
        </w:rPr>
      </w:pPr>
    </w:p>
    <w:p>
      <w:pPr>
        <w:ind w:left="880" w:right="160" w:hanging="234"/>
        <w:spacing w:after="0" w:line="214" w:lineRule="exact"/>
        <w:tabs>
          <w:tab w:leader="none" w:pos="8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COVID</w:t>
      </w:r>
      <w:r>
        <w:rPr>
          <w:rFonts w:ascii="MS PGothic" w:cs="MS PGothic" w:eastAsia="MS PGothic" w:hAnsi="MS PGothic"/>
          <w:sz w:val="18"/>
          <w:szCs w:val="18"/>
          <w:color w:val="auto"/>
        </w:rPr>
        <w:t>‐</w:t>
      </w:r>
      <w:r>
        <w:rPr>
          <w:rFonts w:ascii="Arial" w:cs="Arial" w:eastAsia="Arial" w:hAnsi="Arial"/>
          <w:sz w:val="18"/>
          <w:szCs w:val="18"/>
          <w:color w:val="auto"/>
        </w:rPr>
        <w:t>19 or other outbreaks, epidemics or pandemics as described in the risk factor “Widespread health problems, including the recent global coronavirus, could materially and adversely affect our business” set forth in this report;</w:t>
      </w:r>
    </w:p>
    <w:p>
      <w:pPr>
        <w:ind w:left="880" w:hanging="23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ind w:left="880" w:hanging="23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7" w:lineRule="exact"/>
        <w:rPr>
          <w:rFonts w:ascii="Arial" w:cs="Arial" w:eastAsia="Arial" w:hAnsi="Arial"/>
          <w:sz w:val="18"/>
          <w:szCs w:val="18"/>
          <w:color w:val="auto"/>
        </w:rPr>
      </w:pPr>
    </w:p>
    <w:p>
      <w:pPr>
        <w:ind w:left="880" w:hanging="23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different legal and political standards due to our conducting business in foreign countries.</w:t>
      </w:r>
    </w:p>
    <w:p>
      <w:pPr>
        <w:spacing w:after="0" w:line="102"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We also face the risk that some of our competitors have more experience with operations in such countries or with international operations generally and may be able to manage unexpected crises more easily. Furthermore, whether due to language, cultural or other differences, public and other statements that we make may be misinterpreted, misconstrued or taken out of context in different jurisdictions. Moreover, the internal political stability of, or the relationship between, any country or countries where we conduct business operations may deteriorate, including relationships between the U.S. and other countries. Changes in other countries’ economic conditions, product pricing, political stability or the state of relations between any such countries are difficult to predict and could adversely affect our operations, payment and credit terms and our ability to collect foreign receivables. Any such changes could lead to a decline in our profitability and/or adversely impact our ability to do business. Any meaningful deterioration of the political or social stability in and/or diplomatic relations between any countries in which we or our partners and suppliers do business could have a material adverse effect on our business, financial condition, results of operations and cash flows. A substantial slowdown of the global economy, or major national economies, could negatively affect growth in the markets in which we operate. Such a slowdown could result in national governments making significant cuts to their public spending, including national healthcare budgets, or reducing the level of reimbursement they are willing and able to provide to us for our products and, as a result, adversely affect our revenues, financial condition or results of operations. We have little influence over these factors and changes could have a material adverse effect on our business, financial condition, results of operations and cash flows.</w:t>
      </w:r>
    </w:p>
    <w:p>
      <w:pPr>
        <w:spacing w:after="0" w:line="68" w:lineRule="exact"/>
        <w:rPr>
          <w:sz w:val="20"/>
          <w:szCs w:val="20"/>
          <w:color w:val="auto"/>
        </w:rPr>
      </w:pPr>
    </w:p>
    <w:p>
      <w:pPr>
        <w:ind w:right="80" w:firstLine="480"/>
        <w:spacing w:after="0" w:line="267" w:lineRule="auto"/>
        <w:rPr>
          <w:sz w:val="20"/>
          <w:szCs w:val="20"/>
          <w:color w:val="auto"/>
        </w:rPr>
      </w:pPr>
      <w:r>
        <w:rPr>
          <w:rFonts w:ascii="Arial" w:cs="Arial" w:eastAsia="Arial" w:hAnsi="Arial"/>
          <w:sz w:val="18"/>
          <w:szCs w:val="18"/>
          <w:color w:val="auto"/>
        </w:rPr>
        <w:t>We cannot provide assurance that one or more of these factors will not harm our business. Risks associated with our non-U.S. R&amp;D, manufacturing or sales could have a material adverse effect on our business, financial condition, results of operations and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Widespread health problems, including the recent global coronavirus, could materially and adversely affect our business.</w:t>
      </w:r>
    </w:p>
    <w:p>
      <w:pPr>
        <w:spacing w:after="0" w:line="119" w:lineRule="exact"/>
        <w:rPr>
          <w:sz w:val="20"/>
          <w:szCs w:val="20"/>
          <w:color w:val="auto"/>
        </w:rPr>
      </w:pPr>
    </w:p>
    <w:p>
      <w:pPr>
        <w:ind w:right="20" w:firstLine="480"/>
        <w:spacing w:after="0" w:line="265" w:lineRule="auto"/>
        <w:rPr>
          <w:sz w:val="20"/>
          <w:szCs w:val="20"/>
          <w:color w:val="auto"/>
        </w:rPr>
      </w:pPr>
      <w:r>
        <w:rPr>
          <w:rFonts w:ascii="Arial" w:cs="Arial" w:eastAsia="Arial" w:hAnsi="Arial"/>
          <w:sz w:val="17"/>
          <w:szCs w:val="17"/>
          <w:color w:val="auto"/>
        </w:rPr>
        <w:t>Public health outbreaks, epidemics or pandemics, such as the coronavirus, could materially and adversely impact our business. For example, the COVID-19 pandemic has resulted in global business and economic disruption and extreme volatility in the financial markets as many jurisdictions have placed restrictions on travel and non-essential business operations and implemented social distancing, shelter-in-place, quarantine and other similar measures for their residents to contain the spread of the virus. In response to these public health directives and orders, we have implemented alternative working practices and work-from-home requirements for appropriate employees, as well as temperature screenings, health questionnaires, social distancing, modified schedules, shift rotation and other similar policies at our manufacturing facilities. We launched a hybrid approach selling model as of June 1, 2020 for our field employees, which allows virtual and/or live engagement with healthcare providers and other customers. We have also limited international and domestic travel. The effects of COVID-19, including these public health directives and orders and our policies, have had an impact on our business and may in the future materially disrupt our business (including our manufacturing and supply chain operations by significantly reducing our output), negatively impact our productivity and delay our product development programs.</w:t>
      </w:r>
    </w:p>
    <w:p>
      <w:pPr>
        <w:spacing w:after="0" w:line="81" w:lineRule="exact"/>
        <w:rPr>
          <w:sz w:val="20"/>
          <w:szCs w:val="20"/>
          <w:color w:val="auto"/>
        </w:rPr>
      </w:pPr>
    </w:p>
    <w:p>
      <w:pPr>
        <w:ind w:right="40" w:firstLine="480"/>
        <w:spacing w:after="0" w:line="282" w:lineRule="auto"/>
        <w:rPr>
          <w:sz w:val="20"/>
          <w:szCs w:val="20"/>
          <w:color w:val="auto"/>
        </w:rPr>
      </w:pPr>
      <w:r>
        <w:rPr>
          <w:rFonts w:ascii="Arial" w:cs="Arial" w:eastAsia="Arial" w:hAnsi="Arial"/>
          <w:sz w:val="16"/>
          <w:szCs w:val="16"/>
          <w:color w:val="auto"/>
        </w:rPr>
        <w:t xml:space="preserve">The pandemic may have significant impacts on third-party arrangements, including those with our manufacturing, supply chain and distribution partners, information technology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Due to these disruptions and other factors, including changes in our workforce availability and increased demand for some of our critical care products during this pandemic, our ability to meet our obligations to third-party distribution partners may be negatively impacted. As a result, we have delivered, and in the future we or our third-party providers may deliver, notices of the occurrence of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or similar events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 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80"/>
        <w:spacing w:after="0" w:line="257" w:lineRule="auto"/>
        <w:rPr>
          <w:sz w:val="20"/>
          <w:szCs w:val="20"/>
          <w:color w:val="auto"/>
        </w:rPr>
      </w:pPr>
      <w:r>
        <w:rPr>
          <w:rFonts w:ascii="Arial" w:cs="Arial" w:eastAsia="Arial" w:hAnsi="Arial"/>
          <w:sz w:val="17"/>
          <w:szCs w:val="17"/>
          <w:color w:val="auto"/>
        </w:rPr>
        <w:t>We have experienced, and expect to continue to experience, changes in customer demand as the COVID-19 pandemic continues to evolve, which are difficult to predict. The current economic crisis and increased unemployment rates resulting from COVID-19 have the potential to significantly reduce individual disposable income and depress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 including those that use certain of our products. For example, beginning in the last two weeks of the first quarter of 2020, 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experienced significantly decreased sales volumes due to reduced physician office activity and patient office visits compared to the prior year because of the COVID-19 pandemic. Furthermore, we are unable to predict the impact that COVID-19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COVID-19 both domestically and abroad and better able to address changes in customer demand.</w:t>
      </w:r>
    </w:p>
    <w:p>
      <w:pPr>
        <w:spacing w:after="0" w:line="88" w:lineRule="exact"/>
        <w:rPr>
          <w:sz w:val="20"/>
          <w:szCs w:val="20"/>
          <w:color w:val="auto"/>
        </w:rPr>
      </w:pPr>
    </w:p>
    <w:p>
      <w:pPr>
        <w:ind w:right="40" w:firstLine="480"/>
        <w:spacing w:after="0" w:line="274" w:lineRule="auto"/>
        <w:rPr>
          <w:sz w:val="20"/>
          <w:szCs w:val="20"/>
          <w:color w:val="auto"/>
        </w:rPr>
      </w:pPr>
      <w:r>
        <w:rPr>
          <w:rFonts w:ascii="Arial" w:cs="Arial" w:eastAsia="Arial" w:hAnsi="Arial"/>
          <w:sz w:val="16"/>
          <w:szCs w:val="16"/>
          <w:color w:val="auto"/>
        </w:rPr>
        <w:t>Additionally, our product development programs have been, and may continue to be, adversely affected by the pandemic and the prioritization of production during this pandemic. The public health directives in response to COVID-19 requiring social distancing and restricting non-essential business operations have in certain cases caused and may continue to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could be subject to delays beyond our control as regulators, such as the FDA, focus on COVID-19. For example, as a result of COVID-19 and its impact on medical aesthetics physician office closures and consumer spending, we moved the product launch of QWO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 spring 2021. In addition, we have assessed, and expect to continue to assess, the timeline for commercialization of other products.</w:t>
      </w:r>
    </w:p>
    <w:p>
      <w:pPr>
        <w:spacing w:after="0" w:line="66" w:lineRule="exact"/>
        <w:rPr>
          <w:sz w:val="20"/>
          <w:szCs w:val="20"/>
          <w:color w:val="auto"/>
        </w:rPr>
      </w:pPr>
    </w:p>
    <w:p>
      <w:pPr>
        <w:ind w:right="40" w:firstLine="480"/>
        <w:spacing w:after="0" w:line="285" w:lineRule="auto"/>
        <w:rPr>
          <w:sz w:val="20"/>
          <w:szCs w:val="20"/>
          <w:color w:val="auto"/>
        </w:rPr>
      </w:pPr>
      <w:r>
        <w:rPr>
          <w:rFonts w:ascii="Arial" w:cs="Arial" w:eastAsia="Arial" w:hAnsi="Arial"/>
          <w:sz w:val="16"/>
          <w:szCs w:val="16"/>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 In addition, a recession or market correction resulting from the spread of COVID-19 could materially affect our business and the value of our ordinary shares.</w:t>
      </w:r>
    </w:p>
    <w:p>
      <w:pPr>
        <w:spacing w:after="0" w:line="65" w:lineRule="exact"/>
        <w:rPr>
          <w:sz w:val="20"/>
          <w:szCs w:val="20"/>
          <w:color w:val="auto"/>
        </w:rPr>
      </w:pPr>
    </w:p>
    <w:p>
      <w:pPr>
        <w:ind w:right="60" w:firstLine="480"/>
        <w:spacing w:after="0" w:line="252" w:lineRule="auto"/>
        <w:rPr>
          <w:sz w:val="20"/>
          <w:szCs w:val="20"/>
          <w:color w:val="auto"/>
        </w:rPr>
      </w:pPr>
      <w:r>
        <w:rPr>
          <w:rFonts w:ascii="Arial" w:cs="Arial" w:eastAsia="Arial" w:hAnsi="Arial"/>
          <w:sz w:val="18"/>
          <w:szCs w:val="18"/>
          <w:color w:val="auto"/>
        </w:rPr>
        <w:t>Additionally, COVID-19 could increase the magnitude of many of the other risks described herein and have other adverse effects on our operations that we are not able to predict. For example, the global economic disruptions and volatility in the financial markets could further depress our ability to obtain or renew insurance on satisfactory terms or at all. Further, we may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spacing w:after="0" w:line="86" w:lineRule="exact"/>
        <w:rPr>
          <w:sz w:val="20"/>
          <w:szCs w:val="20"/>
          <w:color w:val="auto"/>
        </w:rPr>
      </w:pPr>
    </w:p>
    <w:p>
      <w:pPr>
        <w:ind w:firstLine="480"/>
        <w:spacing w:after="0" w:line="250" w:lineRule="auto"/>
        <w:rPr>
          <w:sz w:val="20"/>
          <w:szCs w:val="20"/>
          <w:color w:val="auto"/>
        </w:rPr>
      </w:pPr>
      <w:r>
        <w:rPr>
          <w:rFonts w:ascii="Arial" w:cs="Arial" w:eastAsia="Arial" w:hAnsi="Arial"/>
          <w:sz w:val="18"/>
          <w:szCs w:val="18"/>
          <w:color w:val="auto"/>
        </w:rPr>
        <w:t>The magnitude of the effect of COVID-19 on our business will depend, in part, on the length and severity of the restrictions (including the effects of any “re-opening” actions and plans) and other limitations on our ability to conduct our business in the ordinary course, as well as the availability of effective treatments or vaccines. The longer the pandemic continues, or if there is an additional resurgence of COVID-19 cases in any geography such as the recent resurgence in India, the more severe the impacts described above could be on both our domestic and international business. The extent, length and consequences of the pandemic are uncertain and impossible to predict, but could be material. COVID-19 and other similar outbreaks, epidemics or pandemics could have a material adverse effect on our business, financial condition, results of operations and cash flows and could cause significant volatility in the trading prices of our securities.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Related Risks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IRS and other taxing authorities may continue to challenge our tax positions and we may not be able to successfully maintain such positions.</w:t>
      </w:r>
    </w:p>
    <w:p>
      <w:pPr>
        <w:spacing w:after="0" w:line="142" w:lineRule="exact"/>
        <w:rPr>
          <w:sz w:val="20"/>
          <w:szCs w:val="20"/>
          <w:color w:val="auto"/>
        </w:rPr>
      </w:pPr>
    </w:p>
    <w:p>
      <w:pPr>
        <w:ind w:right="80" w:firstLine="480"/>
        <w:spacing w:after="0" w:line="266" w:lineRule="auto"/>
        <w:rPr>
          <w:sz w:val="20"/>
          <w:szCs w:val="20"/>
          <w:color w:val="auto"/>
        </w:rPr>
      </w:pPr>
      <w:r>
        <w:rPr>
          <w:rFonts w:ascii="Arial" w:cs="Arial" w:eastAsia="Arial" w:hAnsi="Arial"/>
          <w:sz w:val="17"/>
          <w:szCs w:val="17"/>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On December 31, 2020, the IRS issued a TAM that we previously disclosed we were expecting to receive. On April 23, 2021, we received draft NOPAs from the IRS consistent with the TAM. For additional information, including a discussion of related recent developments and their potential impact on us, refer to Note 17. Income Taxes of the Condensed Consolidated Financial Statements included in Part I, Item 1.</w:t>
      </w:r>
    </w:p>
    <w:p>
      <w:pPr>
        <w:spacing w:after="0" w:line="79"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w:t>
      </w:r>
    </w:p>
    <w:p>
      <w:pPr>
        <w:spacing w:after="0" w:line="86"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Responding to or defending any challenge or proposed adjustment to our tax positions is expensive, consumes time and other resources and diverts management’s attention. We cannot predict whether taxing authorities will conduct an audit challenging any of our tax positions, the cost involved in responding to and defending any such audit and resulting litigation, or the outcome. If we are unsuccessful in any of these matters, we may be required to pay taxes for prior periods, interest, fines or penalties, and may be obligated to pay increased taxes in the future or repay certain tax refunds, any of which could require us to reduce our operating costs, decrease efforts in support of our products or seek to raise additional funds, all of which could have a material adverse effect on our business, financial condition, results of operations and cash flows.</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March 31, 2021.</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6"/>
          </w:tcPr>
          <w:p>
            <w:pPr>
              <w:spacing w:after="0"/>
              <w:rPr>
                <w:sz w:val="20"/>
                <w:szCs w:val="20"/>
                <w:color w:val="auto"/>
              </w:rPr>
            </w:pPr>
            <w:r>
              <w:rPr>
                <w:rFonts w:ascii="Arial" w:cs="Arial" w:eastAsia="Arial" w:hAnsi="Arial"/>
                <w:sz w:val="14"/>
                <w:szCs w:val="14"/>
                <w:b w:val="1"/>
                <w:bCs w:val="1"/>
                <w:color w:val="auto"/>
              </w:rPr>
              <w:t>Incorporated by Reference from:</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380" w:type="dxa"/>
            <w:vAlign w:val="bottom"/>
            <w:gridSpan w:val="29"/>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File Number</w:t>
            </w:r>
          </w:p>
        </w:tc>
        <w:tc>
          <w:tcPr>
            <w:tcW w:w="104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Filing Type</w:t>
            </w:r>
          </w:p>
        </w:tc>
        <w:tc>
          <w:tcPr>
            <w:tcW w:w="11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Indenture, dated as of March 25, 2021, among Endo Luxembourg Finance</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March 25, 2021</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24"/>
          </w:tcPr>
          <w:p>
            <w:pPr>
              <w:spacing w:after="0" w:line="154" w:lineRule="exact"/>
              <w:rPr>
                <w:rFonts w:ascii="Arial" w:cs="Arial" w:eastAsia="Arial" w:hAnsi="Arial"/>
                <w:sz w:val="17"/>
                <w:szCs w:val="17"/>
                <w:color w:val="0000FF"/>
                <w:w w:val="92"/>
              </w:rPr>
            </w:pPr>
            <w:hyperlink r:id="rId75">
              <w:r>
                <w:rPr>
                  <w:rFonts w:ascii="Arial" w:cs="Arial" w:eastAsia="Arial" w:hAnsi="Arial"/>
                  <w:sz w:val="17"/>
                  <w:szCs w:val="17"/>
                  <w:color w:val="0000FF"/>
                  <w:w w:val="92"/>
                </w:rPr>
                <w:t>Company I S.à r.l., Endo U.S. Inc., the guarantors named therein and Wells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Arial" w:cs="Arial" w:eastAsia="Arial" w:hAnsi="Arial"/>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60" w:type="dxa"/>
            <w:vAlign w:val="bottom"/>
            <w:tcBorders>
              <w:bottom w:val="single" w:sz="8" w:color="0000FF"/>
            </w:tcBorders>
            <w:gridSpan w:val="28"/>
          </w:tcPr>
          <w:p>
            <w:pPr>
              <w:spacing w:after="0" w:line="154" w:lineRule="exact"/>
              <w:rPr>
                <w:rFonts w:ascii="Arial" w:cs="Arial" w:eastAsia="Arial" w:hAnsi="Arial"/>
                <w:sz w:val="17"/>
                <w:szCs w:val="17"/>
                <w:color w:val="0000FF"/>
                <w:w w:val="94"/>
              </w:rPr>
            </w:pPr>
            <w:hyperlink r:id="rId75">
              <w:r>
                <w:rPr>
                  <w:rFonts w:ascii="Arial" w:cs="Arial" w:eastAsia="Arial" w:hAnsi="Arial"/>
                  <w:sz w:val="17"/>
                  <w:szCs w:val="17"/>
                  <w:color w:val="0000FF"/>
                  <w:w w:val="94"/>
                </w:rPr>
                <w:t>Fargo Bank, National Association, as trustee, relating to the 6.125% Senior</w:t>
              </w:r>
            </w:hyperlink>
          </w:p>
        </w:tc>
        <w:tc>
          <w:tcPr>
            <w:tcW w:w="20" w:type="dxa"/>
            <w:vAlign w:val="bottom"/>
            <w:tcBorders>
              <w:bottom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29"/>
          </w:tcPr>
          <w:p>
            <w:pPr>
              <w:spacing w:after="0" w:line="154" w:lineRule="exact"/>
              <w:rPr>
                <w:rFonts w:ascii="Arial" w:cs="Arial" w:eastAsia="Arial" w:hAnsi="Arial"/>
                <w:sz w:val="17"/>
                <w:szCs w:val="17"/>
                <w:color w:val="0000FF"/>
                <w:w w:val="95"/>
              </w:rPr>
            </w:pPr>
            <w:hyperlink r:id="rId75">
              <w:r>
                <w:rPr>
                  <w:rFonts w:ascii="Arial" w:cs="Arial" w:eastAsia="Arial" w:hAnsi="Arial"/>
                  <w:sz w:val="17"/>
                  <w:szCs w:val="17"/>
                  <w:color w:val="0000FF"/>
                  <w:w w:val="95"/>
                </w:rPr>
                <w:t>Secured Notes due 2029 (including Form of 6.125% Senior Secured Notes</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40" w:type="dxa"/>
            <w:vAlign w:val="bottom"/>
            <w:tcBorders>
              <w:top w:val="single" w:sz="8" w:color="0000FF"/>
            </w:tcBorders>
            <w:gridSpan w:val="27"/>
          </w:tcPr>
          <w:p>
            <w:pPr>
              <w:spacing w:after="0" w:line="154" w:lineRule="exact"/>
              <w:rPr>
                <w:rFonts w:ascii="Arial" w:cs="Arial" w:eastAsia="Arial" w:hAnsi="Arial"/>
                <w:sz w:val="17"/>
                <w:szCs w:val="17"/>
                <w:color w:val="0000FF"/>
              </w:rPr>
            </w:pPr>
            <w:hyperlink r:id="rId75">
              <w:r>
                <w:rPr>
                  <w:rFonts w:ascii="Arial" w:cs="Arial" w:eastAsia="Arial" w:hAnsi="Arial"/>
                  <w:sz w:val="17"/>
                  <w:szCs w:val="17"/>
                  <w:color w:val="0000FF"/>
                </w:rPr>
                <w:t>due 2029)</w:t>
              </w:r>
            </w:hyperlink>
          </w:p>
        </w:tc>
        <w:tc>
          <w:tcPr>
            <w:tcW w:w="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Amendment and Restatement Agreement, dated as of March 25, 2021, by</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March 25, 2021</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4" w:lineRule="exact"/>
              <w:rPr>
                <w:rFonts w:ascii="Arial" w:cs="Arial" w:eastAsia="Arial" w:hAnsi="Arial"/>
                <w:sz w:val="17"/>
                <w:szCs w:val="17"/>
                <w:color w:val="0000FF"/>
                <w:w w:val="95"/>
              </w:rPr>
            </w:pPr>
            <w:hyperlink r:id="rId76">
              <w:r>
                <w:rPr>
                  <w:rFonts w:ascii="Arial" w:cs="Arial" w:eastAsia="Arial" w:hAnsi="Arial"/>
                  <w:sz w:val="17"/>
                  <w:szCs w:val="17"/>
                  <w:color w:val="0000FF"/>
                  <w:w w:val="95"/>
                </w:rPr>
                <w:t>and among Endo International plc, Endo Luxembourg Finance Company</w:t>
              </w:r>
            </w:hyperlink>
          </w:p>
        </w:tc>
        <w:tc>
          <w:tcPr>
            <w:tcW w:w="160" w:type="dxa"/>
            <w:vAlign w:val="bottom"/>
            <w:gridSpan w:val="8"/>
          </w:tcPr>
          <w:p>
            <w:pPr>
              <w:jc w:val="right"/>
              <w:ind w:right="100"/>
              <w:spacing w:after="0" w:line="154" w:lineRule="exact"/>
              <w:rPr>
                <w:rFonts w:ascii="Arial" w:cs="Arial" w:eastAsia="Arial" w:hAnsi="Arial"/>
                <w:sz w:val="17"/>
                <w:szCs w:val="17"/>
                <w:color w:val="0000FF"/>
                <w:w w:val="83"/>
              </w:rPr>
            </w:pPr>
            <w:hyperlink r:id="rId76">
              <w:r>
                <w:rPr>
                  <w:rFonts w:ascii="Arial" w:cs="Arial" w:eastAsia="Arial" w:hAnsi="Arial"/>
                  <w:sz w:val="17"/>
                  <w:szCs w:val="17"/>
                  <w:color w:val="0000FF"/>
                  <w:w w:val="83"/>
                </w:rPr>
                <w:t>I</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Arial" w:cs="Arial" w:eastAsia="Arial" w:hAnsi="Arial"/>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20" w:type="dxa"/>
            <w:vAlign w:val="bottom"/>
            <w:tcBorders>
              <w:top w:val="single" w:sz="8" w:color="0000FF"/>
            </w:tcBorders>
            <w:gridSpan w:val="26"/>
          </w:tcPr>
          <w:p>
            <w:pPr>
              <w:spacing w:after="0" w:line="154" w:lineRule="exact"/>
              <w:rPr>
                <w:rFonts w:ascii="Arial" w:cs="Arial" w:eastAsia="Arial" w:hAnsi="Arial"/>
                <w:sz w:val="17"/>
                <w:szCs w:val="17"/>
                <w:color w:val="0000FF"/>
              </w:rPr>
            </w:pPr>
            <w:hyperlink r:id="rId76">
              <w:r>
                <w:rPr>
                  <w:rFonts w:ascii="Arial" w:cs="Arial" w:eastAsia="Arial" w:hAnsi="Arial"/>
                  <w:sz w:val="17"/>
                  <w:szCs w:val="17"/>
                  <w:color w:val="0000FF"/>
                </w:rPr>
                <w:t>S.à r.l., Endo LLC, the lenders and other parties party thereto and</w:t>
              </w:r>
            </w:hyperlink>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29"/>
          </w:tcPr>
          <w:p>
            <w:pPr>
              <w:spacing w:after="0" w:line="154" w:lineRule="exact"/>
              <w:rPr>
                <w:rFonts w:ascii="Arial" w:cs="Arial" w:eastAsia="Arial" w:hAnsi="Arial"/>
                <w:sz w:val="17"/>
                <w:szCs w:val="17"/>
                <w:color w:val="0000FF"/>
              </w:rPr>
            </w:pPr>
            <w:hyperlink r:id="rId76">
              <w:r>
                <w:rPr>
                  <w:rFonts w:ascii="Arial" w:cs="Arial" w:eastAsia="Arial" w:hAnsi="Arial"/>
                  <w:sz w:val="17"/>
                  <w:szCs w:val="17"/>
                  <w:color w:val="0000FF"/>
                </w:rPr>
                <w:t>JPMorgan Chase Bank, N.A. as administrative agent, issuing bank and</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76">
              <w:r>
                <w:rPr>
                  <w:rFonts w:ascii="Arial" w:cs="Arial" w:eastAsia="Arial" w:hAnsi="Arial"/>
                  <w:sz w:val="17"/>
                  <w:szCs w:val="17"/>
                  <w:color w:val="0000FF"/>
                </w:rPr>
                <w:t>swingline lender</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Form of Stock Award Agreement under the Endo International plc</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3"/>
              </w:rPr>
            </w:pPr>
            <w:hyperlink w:anchor="page55">
              <w:r>
                <w:rPr>
                  <w:rFonts w:ascii="Arial" w:cs="Arial" w:eastAsia="Arial" w:hAnsi="Arial"/>
                  <w:sz w:val="17"/>
                  <w:szCs w:val="17"/>
                  <w:color w:val="0000FF"/>
                  <w:w w:val="93"/>
                </w:rPr>
                <w:t>Amended and Restated 2015 Stock Incentive Plan</w:t>
              </w:r>
            </w:hyperlink>
          </w:p>
        </w:tc>
        <w:tc>
          <w:tcPr>
            <w:tcW w:w="11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Form of Performance Award Agreement under the Endo International plc</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3"/>
              </w:rPr>
            </w:pPr>
            <w:hyperlink w:anchor="page65">
              <w:r>
                <w:rPr>
                  <w:rFonts w:ascii="Arial" w:cs="Arial" w:eastAsia="Arial" w:hAnsi="Arial"/>
                  <w:sz w:val="17"/>
                  <w:szCs w:val="17"/>
                  <w:color w:val="0000FF"/>
                  <w:w w:val="93"/>
                </w:rPr>
                <w:t>Amended and Restated 2015 Stock Incentive Plan</w:t>
              </w:r>
            </w:hyperlink>
          </w:p>
        </w:tc>
        <w:tc>
          <w:tcPr>
            <w:tcW w:w="16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1"/>
              </w:rPr>
            </w:pPr>
            <w:hyperlink w:anchor="page86">
              <w:r>
                <w:rPr>
                  <w:rFonts w:ascii="Arial" w:cs="Arial" w:eastAsia="Arial" w:hAnsi="Arial"/>
                  <w:sz w:val="18"/>
                  <w:szCs w:val="18"/>
                  <w:color w:val="0000FF"/>
                  <w:w w:val="91"/>
                </w:rPr>
                <w:t>Form of Long-Term Cash Award Agreement under the Endo International</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9"/>
          </w:tcPr>
          <w:p>
            <w:pPr>
              <w:spacing w:after="0" w:line="154" w:lineRule="exact"/>
              <w:rPr>
                <w:rFonts w:ascii="Arial" w:cs="Arial" w:eastAsia="Arial" w:hAnsi="Arial"/>
                <w:sz w:val="17"/>
                <w:szCs w:val="17"/>
                <w:color w:val="0000FF"/>
                <w:w w:val="93"/>
              </w:rPr>
            </w:pPr>
            <w:hyperlink w:anchor="page86">
              <w:r>
                <w:rPr>
                  <w:rFonts w:ascii="Arial" w:cs="Arial" w:eastAsia="Arial" w:hAnsi="Arial"/>
                  <w:sz w:val="17"/>
                  <w:szCs w:val="17"/>
                  <w:color w:val="0000FF"/>
                  <w:w w:val="93"/>
                </w:rPr>
                <w:t>plc Amended and Restated 2015 Stock Incentive Plan</w:t>
              </w:r>
            </w:hyperlink>
          </w:p>
        </w:tc>
        <w:tc>
          <w:tcPr>
            <w:tcW w:w="144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Executive Employment Agreement between Endo Ventures Limited and</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April 29, 2021</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2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77">
              <w:r>
                <w:rPr>
                  <w:rFonts w:ascii="Arial" w:cs="Arial" w:eastAsia="Arial" w:hAnsi="Arial"/>
                  <w:sz w:val="17"/>
                  <w:szCs w:val="17"/>
                  <w:color w:val="0000FF"/>
                </w:rPr>
                <w:t>George Apostol, effective April 29,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Arial" w:cs="Arial" w:eastAsia="Arial" w:hAnsi="Arial"/>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Cash Continuity Arrangement between Endo and George Apostol, dated</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w w:val="92"/>
              </w:rPr>
            </w:pPr>
            <w:hyperlink w:anchor="page97">
              <w:r>
                <w:rPr>
                  <w:rFonts w:ascii="Arial" w:cs="Arial" w:eastAsia="Arial" w:hAnsi="Arial"/>
                  <w:sz w:val="17"/>
                  <w:szCs w:val="17"/>
                  <w:color w:val="0000FF"/>
                  <w:w w:val="92"/>
                </w:rPr>
                <w:t>November 5, 2020</w:t>
              </w:r>
            </w:hyperlink>
          </w:p>
        </w:tc>
        <w:tc>
          <w:tcPr>
            <w:tcW w:w="3840" w:type="dxa"/>
            <w:vAlign w:val="bottom"/>
            <w:tcBorders>
              <w:top w:val="single" w:sz="8" w:color="0000FF"/>
            </w:tcBorders>
            <w:gridSpan w:val="15"/>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10"/>
          </w:tcPr>
          <w:p>
            <w:pPr>
              <w:spacing w:after="0" w:line="154" w:lineRule="exact"/>
              <w:rPr>
                <w:rFonts w:ascii="Arial" w:cs="Arial" w:eastAsia="Arial" w:hAnsi="Arial"/>
                <w:sz w:val="17"/>
                <w:szCs w:val="17"/>
                <w:color w:val="0000FF"/>
                <w:w w:val="94"/>
              </w:rPr>
            </w:pPr>
            <w:hyperlink w:anchor="page99">
              <w:r>
                <w:rPr>
                  <w:rFonts w:ascii="Arial" w:cs="Arial" w:eastAsia="Arial" w:hAnsi="Arial"/>
                  <w:sz w:val="17"/>
                  <w:szCs w:val="17"/>
                  <w:color w:val="0000FF"/>
                  <w:w w:val="94"/>
                </w:rPr>
                <w:t>pursuant to Section 302 of the Sarbanes-Oxley Act of 2002</w:t>
              </w:r>
            </w:hyperlink>
          </w:p>
        </w:tc>
        <w:tc>
          <w:tcPr>
            <w:tcW w:w="5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6"/>
              </w:rPr>
            </w:pPr>
            <w:hyperlink w:anchor="page100">
              <w:r>
                <w:rPr>
                  <w:rFonts w:ascii="Arial" w:cs="Arial" w:eastAsia="Arial" w:hAnsi="Arial"/>
                  <w:sz w:val="18"/>
                  <w:szCs w:val="18"/>
                  <w:color w:val="0000FF"/>
                  <w:w w:val="96"/>
                </w:rPr>
                <w:t>Certification of the Chief Financial Officer of Endo pursuant to Section</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6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w:anchor="page100">
              <w:r>
                <w:rPr>
                  <w:rFonts w:ascii="Arial" w:cs="Arial" w:eastAsia="Arial" w:hAnsi="Arial"/>
                  <w:sz w:val="17"/>
                  <w:szCs w:val="17"/>
                  <w:color w:val="0000FF"/>
                </w:rPr>
                <w:t>302 of the Sarbanes-Oxley Act of 2002</w:t>
              </w:r>
            </w:hyperlink>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40" w:type="dxa"/>
            <w:vAlign w:val="bottom"/>
            <w:tcBorders>
              <w:top w:val="single" w:sz="8" w:color="0000FF"/>
            </w:tcBorders>
            <w:gridSpan w:val="14"/>
          </w:tcPr>
          <w:p>
            <w:pPr>
              <w:spacing w:after="0" w:line="154" w:lineRule="exact"/>
              <w:rPr>
                <w:rFonts w:ascii="Arial" w:cs="Arial" w:eastAsia="Arial" w:hAnsi="Arial"/>
                <w:sz w:val="17"/>
                <w:szCs w:val="17"/>
                <w:color w:val="0000FF"/>
                <w:w w:val="92"/>
              </w:rPr>
            </w:pPr>
            <w:hyperlink w:anchor="page101">
              <w:r>
                <w:rPr>
                  <w:rFonts w:ascii="Arial" w:cs="Arial" w:eastAsia="Arial" w:hAnsi="Arial"/>
                  <w:sz w:val="17"/>
                  <w:szCs w:val="17"/>
                  <w:color w:val="0000FF"/>
                  <w:w w:val="92"/>
                </w:rPr>
                <w:t>pursuant to 18 U.S.C. Section 1350, as adopted pursuant to Section</w:t>
              </w:r>
            </w:hyperlink>
          </w:p>
        </w:tc>
        <w:tc>
          <w:tcPr>
            <w:tcW w:w="640" w:type="dxa"/>
            <w:vAlign w:val="bottom"/>
            <w:gridSpan w:val="15"/>
          </w:tcPr>
          <w:p>
            <w:pPr>
              <w:jc w:val="right"/>
              <w:ind w:right="120"/>
              <w:spacing w:after="0" w:line="154" w:lineRule="exact"/>
              <w:rPr>
                <w:rFonts w:ascii="Arial" w:cs="Arial" w:eastAsia="Arial" w:hAnsi="Arial"/>
                <w:sz w:val="17"/>
                <w:szCs w:val="17"/>
                <w:color w:val="0000FF"/>
              </w:rPr>
            </w:pPr>
            <w:hyperlink w:anchor="page101">
              <w:r>
                <w:rPr>
                  <w:rFonts w:ascii="Arial" w:cs="Arial" w:eastAsia="Arial" w:hAnsi="Arial"/>
                  <w:sz w:val="17"/>
                  <w:szCs w:val="17"/>
                  <w:color w:val="0000FF"/>
                </w:rPr>
                <w:t>906 of</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w w:val="93"/>
              </w:rPr>
            </w:pPr>
            <w:hyperlink w:anchor="page101">
              <w:r>
                <w:rPr>
                  <w:rFonts w:ascii="Arial" w:cs="Arial" w:eastAsia="Arial" w:hAnsi="Arial"/>
                  <w:sz w:val="17"/>
                  <w:szCs w:val="17"/>
                  <w:color w:val="0000FF"/>
                  <w:w w:val="93"/>
                </w:rPr>
                <w:t>the Sarbanes-Oxley Act of 2002</w:t>
              </w:r>
            </w:hyperlink>
          </w:p>
        </w:tc>
        <w:tc>
          <w:tcPr>
            <w:tcW w:w="302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7"/>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7"/>
                <w:szCs w:val="17"/>
                <w:color w:val="auto"/>
              </w:rPr>
            </w:pPr>
          </w:p>
        </w:tc>
        <w:tc>
          <w:tcPr>
            <w:tcW w:w="5380" w:type="dxa"/>
            <w:vAlign w:val="bottom"/>
            <w:gridSpan w:val="29"/>
          </w:tcPr>
          <w:p>
            <w:pP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Certification of the Chief Financial Officer of Endo pursuant to 18 U.S.C.</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4" w:lineRule="exact"/>
              <w:rPr>
                <w:rFonts w:ascii="Arial" w:cs="Arial" w:eastAsia="Arial" w:hAnsi="Arial"/>
                <w:sz w:val="17"/>
                <w:szCs w:val="17"/>
                <w:color w:val="0000FF"/>
                <w:w w:val="94"/>
              </w:rPr>
            </w:pPr>
            <w:hyperlink w:anchor="page102">
              <w:r>
                <w:rPr>
                  <w:rFonts w:ascii="Arial" w:cs="Arial" w:eastAsia="Arial" w:hAnsi="Arial"/>
                  <w:sz w:val="17"/>
                  <w:szCs w:val="17"/>
                  <w:color w:val="0000FF"/>
                  <w:w w:val="94"/>
                </w:rPr>
                <w:t>Section 1350, as adopted pursuant to Section 906 of the Sarbanes-Oxley</w:t>
              </w:r>
            </w:hyperlink>
          </w:p>
        </w:tc>
        <w:tc>
          <w:tcPr>
            <w:tcW w:w="14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5"/>
              </w:rPr>
            </w:pPr>
            <w:hyperlink w:anchor="page102">
              <w:r>
                <w:rPr>
                  <w:rFonts w:ascii="Arial" w:cs="Arial" w:eastAsia="Arial" w:hAnsi="Arial"/>
                  <w:sz w:val="17"/>
                  <w:szCs w:val="17"/>
                  <w:color w:val="0000FF"/>
                  <w:w w:val="95"/>
                </w:rPr>
                <w:t>Act of 2002</w:t>
              </w:r>
            </w:hyperlink>
          </w:p>
        </w:tc>
        <w:tc>
          <w:tcPr>
            <w:tcW w:w="4300" w:type="dxa"/>
            <w:vAlign w:val="bottom"/>
            <w:tcBorders>
              <w:top w:val="single" w:sz="8" w:color="0000FF"/>
            </w:tcBorders>
            <w:gridSpan w:val="16"/>
          </w:tcPr>
          <w:p>
            <w:pPr>
              <w:spacing w:after="0"/>
              <w:rPr>
                <w:sz w:val="13"/>
                <w:szCs w:val="13"/>
                <w:color w:val="auto"/>
              </w:rPr>
            </w:pPr>
          </w:p>
        </w:tc>
        <w:tc>
          <w:tcPr>
            <w:tcW w:w="240" w:type="dxa"/>
            <w:vAlign w:val="bottom"/>
            <w:gridSpan w:val="11"/>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101.INS</w:t>
            </w:r>
          </w:p>
        </w:tc>
        <w:tc>
          <w:tcPr>
            <w:tcW w:w="5380" w:type="dxa"/>
            <w:vAlign w:val="bottom"/>
            <w:gridSpan w:val="29"/>
          </w:tcPr>
          <w:p>
            <w:pPr>
              <w:spacing w:after="0" w:line="195" w:lineRule="exact"/>
              <w:rPr>
                <w:sz w:val="20"/>
                <w:szCs w:val="20"/>
                <w:color w:val="auto"/>
              </w:rPr>
            </w:pPr>
            <w:r>
              <w:rPr>
                <w:rFonts w:ascii="Arial" w:cs="Arial" w:eastAsia="Arial" w:hAnsi="Arial"/>
                <w:sz w:val="18"/>
                <w:szCs w:val="18"/>
                <w:color w:val="auto"/>
                <w:w w:val="90"/>
              </w:rPr>
              <w:t>iXBRL Instance Document - the instance document does not appear in the</w:t>
            </w:r>
          </w:p>
        </w:tc>
        <w:tc>
          <w:tcPr>
            <w:tcW w:w="3120" w:type="dxa"/>
            <w:vAlign w:val="bottom"/>
            <w:gridSpan w:val="6"/>
          </w:tcPr>
          <w:p>
            <w:pPr>
              <w:spacing w:after="0" w:line="195" w:lineRule="exact"/>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80" w:type="dxa"/>
            <w:vAlign w:val="bottom"/>
            <w:gridSpan w:val="29"/>
          </w:tcPr>
          <w:p>
            <w:pPr>
              <w:spacing w:after="0" w:line="173" w:lineRule="exact"/>
              <w:rPr>
                <w:sz w:val="20"/>
                <w:szCs w:val="20"/>
                <w:color w:val="auto"/>
              </w:rPr>
            </w:pPr>
            <w:r>
              <w:rPr>
                <w:rFonts w:ascii="Arial" w:cs="Arial" w:eastAsia="Arial" w:hAnsi="Arial"/>
                <w:sz w:val="18"/>
                <w:szCs w:val="18"/>
                <w:color w:val="auto"/>
                <w:w w:val="91"/>
              </w:rPr>
              <w:t>interactive data file because its XBRL tags are embedded within the inline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gridSpan w:val="29"/>
          </w:tcPr>
          <w:p>
            <w:pPr>
              <w:spacing w:after="0"/>
              <w:rPr>
                <w:sz w:val="20"/>
                <w:szCs w:val="20"/>
                <w:color w:val="auto"/>
              </w:rPr>
            </w:pPr>
            <w:r>
              <w:rPr>
                <w:rFonts w:ascii="Arial" w:cs="Arial" w:eastAsia="Arial" w:hAnsi="Arial"/>
                <w:sz w:val="18"/>
                <w:szCs w:val="18"/>
                <w:color w:val="auto"/>
              </w:rPr>
              <w:t>XBRL document.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80" w:type="dxa"/>
            <w:vAlign w:val="bottom"/>
            <w:gridSpan w:val="29"/>
          </w:tcPr>
          <w:p>
            <w:pPr>
              <w:spacing w:after="0"/>
              <w:rPr>
                <w:sz w:val="20"/>
                <w:szCs w:val="20"/>
                <w:color w:val="auto"/>
              </w:rPr>
            </w:pPr>
            <w:r>
              <w:rPr>
                <w:rFonts w:ascii="Arial" w:cs="Arial" w:eastAsia="Arial" w:hAnsi="Arial"/>
                <w:sz w:val="18"/>
                <w:szCs w:val="18"/>
                <w:color w:val="auto"/>
              </w:rPr>
              <w:t>iXBRL Taxonomy Extension Schema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80" w:type="dxa"/>
            <w:vAlign w:val="bottom"/>
            <w:gridSpan w:val="29"/>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80" w:type="dxa"/>
            <w:vAlign w:val="bottom"/>
            <w:gridSpan w:val="29"/>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80" w:type="dxa"/>
            <w:vAlign w:val="bottom"/>
            <w:gridSpan w:val="29"/>
          </w:tcPr>
          <w:p>
            <w:pPr>
              <w:spacing w:after="0"/>
              <w:rPr>
                <w:sz w:val="20"/>
                <w:szCs w:val="20"/>
                <w:color w:val="auto"/>
              </w:rPr>
            </w:pPr>
            <w:r>
              <w:rPr>
                <w:rFonts w:ascii="Arial" w:cs="Arial" w:eastAsia="Arial" w:hAnsi="Arial"/>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80" w:type="dxa"/>
            <w:vAlign w:val="bottom"/>
            <w:gridSpan w:val="29"/>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6"/>
        </w:trPr>
        <w:tc>
          <w:tcPr>
            <w:tcW w:w="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104</w:t>
            </w:r>
          </w:p>
        </w:tc>
        <w:tc>
          <w:tcPr>
            <w:tcW w:w="420" w:type="dxa"/>
            <w:vAlign w:val="bottom"/>
          </w:tcPr>
          <w:p>
            <w:pPr>
              <w:spacing w:after="0"/>
              <w:rPr>
                <w:sz w:val="15"/>
                <w:szCs w:val="15"/>
                <w:color w:val="auto"/>
              </w:rPr>
            </w:pPr>
          </w:p>
        </w:tc>
        <w:tc>
          <w:tcPr>
            <w:tcW w:w="5380" w:type="dxa"/>
            <w:vAlign w:val="bottom"/>
            <w:gridSpan w:val="29"/>
          </w:tcPr>
          <w:p>
            <w:pPr>
              <w:spacing w:after="0" w:line="176" w:lineRule="exact"/>
              <w:rPr>
                <w:sz w:val="20"/>
                <w:szCs w:val="20"/>
                <w:color w:val="auto"/>
              </w:rPr>
            </w:pPr>
            <w:r>
              <w:rPr>
                <w:rFonts w:ascii="Arial" w:cs="Arial" w:eastAsia="Arial" w:hAnsi="Arial"/>
                <w:sz w:val="18"/>
                <w:szCs w:val="18"/>
                <w:color w:val="auto"/>
                <w:w w:val="96"/>
              </w:rPr>
              <w:t>Cover Page Interactive Data File, formatted in iXBRL and contained in</w:t>
            </w:r>
          </w:p>
        </w:tc>
        <w:tc>
          <w:tcPr>
            <w:tcW w:w="3120" w:type="dxa"/>
            <w:vAlign w:val="bottom"/>
            <w:gridSpan w:val="6"/>
          </w:tcPr>
          <w:p>
            <w:pPr>
              <w:spacing w:after="0" w:line="176" w:lineRule="exact"/>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gridSpan w:val="29"/>
          </w:tcPr>
          <w:p>
            <w:pPr>
              <w:spacing w:after="0"/>
              <w:rPr>
                <w:sz w:val="20"/>
                <w:szCs w:val="20"/>
                <w:color w:val="auto"/>
              </w:rPr>
            </w:pPr>
            <w:r>
              <w:rPr>
                <w:rFonts w:ascii="Arial" w:cs="Arial" w:eastAsia="Arial" w:hAnsi="Arial"/>
                <w:sz w:val="18"/>
                <w:szCs w:val="18"/>
                <w:color w:val="auto"/>
              </w:rPr>
              <w:t>Exhibit 101</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73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20" w:type="dxa"/>
            <w:vAlign w:val="bottom"/>
            <w:gridSpan w:val="15"/>
          </w:tcPr>
          <w:p>
            <w:pPr>
              <w:ind w:left="46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480"/>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12065</wp:posOffset>
            </wp:positionV>
            <wp:extent cx="4408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408805" cy="8255"/>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(Registrant)</w:t>
      </w:r>
    </w:p>
    <w:p>
      <w:pPr>
        <w:spacing w:after="0" w:line="30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BLAISE COLEMAN</w:t>
      </w:r>
    </w:p>
    <w:p>
      <w:pPr>
        <w:spacing w:after="0" w:line="17"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-100965</wp:posOffset>
            </wp:positionV>
            <wp:extent cx="44088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408805" cy="8255"/>
                    </a:xfrm>
                    <a:prstGeom prst="rect">
                      <a:avLst/>
                    </a:prstGeom>
                    <a:noFill/>
                  </pic:spPr>
                </pic:pic>
              </a:graphicData>
            </a:graphic>
          </wp:anchor>
        </w:drawing>
      </w:r>
    </w:p>
    <w:p>
      <w:pPr>
        <w:spacing w:after="0" w:line="11"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26"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Executive Officer)</w:t>
      </w:r>
    </w:p>
    <w:p>
      <w:pPr>
        <w:spacing w:after="0" w:line="24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MARK T. BRADLEY</w:t>
      </w:r>
    </w:p>
    <w:p>
      <w:pPr>
        <w:spacing w:after="0" w:line="17"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-100965</wp:posOffset>
            </wp:positionV>
            <wp:extent cx="4408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4408805" cy="8255"/>
                    </a:xfrm>
                    <a:prstGeom prst="rect">
                      <a:avLst/>
                    </a:prstGeom>
                    <a:noFill/>
                  </pic:spPr>
                </pic:pic>
              </a:graphicData>
            </a:graphic>
          </wp:anchor>
        </w:drawing>
      </w:r>
    </w:p>
    <w:p>
      <w:pPr>
        <w:spacing w:after="0" w:line="11"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26"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Financial Officer)</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118" w:right="459" w:bottom="1440" w:gutter="0" w:footer="0" w:header="0"/>
        </w:sectPr>
      </w:pPr>
    </w:p>
    <w:bookmarkStart w:id="54" w:name="page55"/>
    <w:bookmarkEnd w:id="54"/>
    <w:p>
      <w:pPr>
        <w:jc w:val="right"/>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color w:val="auto"/>
        </w:rPr>
        <w:t>Grant No.</w:t>
      </w:r>
    </w:p>
    <w:p>
      <w:pPr>
        <w:spacing w:after="0" w:line="112"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ENDO INTERNATIONAL PLC</w:t>
      </w:r>
    </w:p>
    <w:p>
      <w:pPr>
        <w:spacing w:after="0" w:line="36"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STOCK AWARD AGREEMENT</w:t>
      </w:r>
    </w:p>
    <w:p>
      <w:pPr>
        <w:spacing w:after="0" w:line="12" w:lineRule="exact"/>
        <w:rPr>
          <w:sz w:val="20"/>
          <w:szCs w:val="20"/>
          <w:color w:val="auto"/>
        </w:rPr>
      </w:pPr>
    </w:p>
    <w:p>
      <w:pPr>
        <w:ind w:left="2220"/>
        <w:spacing w:after="0"/>
        <w:rPr>
          <w:sz w:val="20"/>
          <w:szCs w:val="20"/>
          <w:color w:val="auto"/>
        </w:rPr>
      </w:pPr>
      <w:r>
        <w:rPr>
          <w:rFonts w:ascii="Arial" w:cs="Arial" w:eastAsia="Arial" w:hAnsi="Arial"/>
          <w:sz w:val="21"/>
          <w:szCs w:val="21"/>
          <w:b w:val="1"/>
          <w:bCs w:val="1"/>
          <w:color w:val="auto"/>
        </w:rPr>
        <w:t>UNDER THE AMENDED AND RESTATED 2015 STOCK INCENTIVE PLAN</w:t>
      </w:r>
    </w:p>
    <w:p>
      <w:pPr>
        <w:spacing w:after="0" w:line="13" w:lineRule="exact"/>
        <w:rPr>
          <w:sz w:val="20"/>
          <w:szCs w:val="20"/>
          <w:color w:val="auto"/>
        </w:rPr>
      </w:pPr>
    </w:p>
    <w:p>
      <w:pPr>
        <w:ind w:right="100" w:firstLine="480"/>
        <w:spacing w:after="0" w:line="257" w:lineRule="auto"/>
        <w:rPr>
          <w:sz w:val="20"/>
          <w:szCs w:val="20"/>
          <w:color w:val="auto"/>
        </w:rPr>
      </w:pPr>
      <w:r>
        <w:rPr>
          <w:rFonts w:ascii="Arial" w:cs="Arial" w:eastAsia="Arial" w:hAnsi="Arial"/>
          <w:sz w:val="21"/>
          <w:szCs w:val="21"/>
          <w:color w:val="auto"/>
        </w:rPr>
        <w:t>This Stock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21"/>
          <w:szCs w:val="21"/>
          <w:color w:val="auto"/>
        </w:rPr>
        <w:t>Name of Participant:</w:t>
      </w:r>
    </w:p>
    <w:p>
      <w:pPr>
        <w:spacing w:after="0" w:line="305" w:lineRule="exact"/>
        <w:rPr>
          <w:sz w:val="20"/>
          <w:szCs w:val="20"/>
          <w:color w:val="auto"/>
        </w:rPr>
      </w:pPr>
    </w:p>
    <w:p>
      <w:pPr>
        <w:ind w:left="980"/>
        <w:spacing w:after="0"/>
        <w:rPr>
          <w:sz w:val="20"/>
          <w:szCs w:val="20"/>
          <w:color w:val="auto"/>
        </w:rPr>
      </w:pPr>
      <w:r>
        <w:rPr>
          <w:rFonts w:ascii="Arial" w:cs="Arial" w:eastAsia="Arial" w:hAnsi="Arial"/>
          <w:sz w:val="21"/>
          <w:szCs w:val="21"/>
          <w:color w:val="auto"/>
        </w:rPr>
        <w:t>Number of Stock Awards:</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21"/>
          <w:szCs w:val="21"/>
          <w:color w:val="auto"/>
        </w:rPr>
        <w:t>Date of Grant:</w:t>
      </w:r>
    </w:p>
    <w:p>
      <w:pPr>
        <w:spacing w:after="0" w:line="92" w:lineRule="exact"/>
        <w:rPr>
          <w:sz w:val="20"/>
          <w:szCs w:val="20"/>
          <w:color w:val="auto"/>
        </w:rPr>
      </w:pPr>
    </w:p>
    <w:p>
      <w:pPr>
        <w:ind w:left="5280" w:right="540" w:hanging="4304"/>
        <w:spacing w:after="0" w:line="308" w:lineRule="auto"/>
        <w:tabs>
          <w:tab w:leader="none" w:pos="5260" w:val="left"/>
        </w:tabs>
        <w:rPr>
          <w:sz w:val="20"/>
          <w:szCs w:val="20"/>
          <w:color w:val="auto"/>
        </w:rPr>
      </w:pPr>
      <w:r>
        <w:rPr>
          <w:rFonts w:ascii="Arial" w:cs="Arial" w:eastAsia="Arial" w:hAnsi="Arial"/>
          <w:sz w:val="21"/>
          <w:szCs w:val="21"/>
          <w:color w:val="auto"/>
        </w:rPr>
        <w:t>Vesting Dates:</w:t>
      </w:r>
      <w:r>
        <w:rPr>
          <w:sz w:val="20"/>
          <w:szCs w:val="20"/>
          <w:color w:val="auto"/>
        </w:rPr>
        <w:tab/>
      </w:r>
      <w:r>
        <w:rPr>
          <w:rFonts w:ascii="Arial" w:cs="Arial" w:eastAsia="Arial" w:hAnsi="Arial"/>
          <w:sz w:val="21"/>
          <w:szCs w:val="21"/>
          <w:color w:val="auto"/>
        </w:rPr>
        <w:t>Stock Awards vest ratably over the first, second, and third anniversaries of the Date of Grant</w:t>
      </w:r>
    </w:p>
    <w:p>
      <w:pPr>
        <w:spacing w:after="0" w:line="140" w:lineRule="exact"/>
        <w:rPr>
          <w:sz w:val="20"/>
          <w:szCs w:val="20"/>
          <w:color w:val="auto"/>
        </w:rPr>
      </w:pPr>
    </w:p>
    <w:p>
      <w:pPr>
        <w:ind w:left="640" w:right="180" w:firstLine="6"/>
        <w:spacing w:after="0" w:line="336" w:lineRule="auto"/>
        <w:tabs>
          <w:tab w:leader="none" w:pos="12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Grant of Stock Awards</w:t>
      </w:r>
      <w:r>
        <w:rPr>
          <w:rFonts w:ascii="Arial" w:cs="Arial" w:eastAsia="Arial" w:hAnsi="Arial"/>
          <w:sz w:val="19"/>
          <w:szCs w:val="19"/>
          <w:color w:val="auto"/>
        </w:rPr>
        <w:t>. The Company hereby grants to the Participant the total number of restricted stock units set forth above (the “Stock Awards”), subject to all of the terms and conditions of this Award Agreement and the Plan.</w:t>
      </w:r>
    </w:p>
    <w:p>
      <w:pPr>
        <w:spacing w:after="0" w:line="1" w:lineRule="exact"/>
        <w:rPr>
          <w:rFonts w:ascii="Arial" w:cs="Arial" w:eastAsia="Arial" w:hAnsi="Arial"/>
          <w:sz w:val="19"/>
          <w:szCs w:val="19"/>
          <w:color w:val="auto"/>
        </w:rPr>
      </w:pPr>
    </w:p>
    <w:p>
      <w:pPr>
        <w:ind w:left="640" w:right="120" w:firstLine="6"/>
        <w:spacing w:after="0" w:line="273" w:lineRule="auto"/>
        <w:tabs>
          <w:tab w:leader="none" w:pos="128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Form of Payment and Vesting</w:t>
      </w:r>
      <w:r>
        <w:rPr>
          <w:rFonts w:ascii="Arial" w:cs="Arial" w:eastAsia="Arial" w:hAnsi="Arial"/>
          <w:sz w:val="20"/>
          <w:szCs w:val="20"/>
          <w:color w:val="auto"/>
        </w:rPr>
        <w:t>. The Stock Award granted hereunder shall vest on the vesting dates set forth above, provided that the Participant is employed by the Company or one of its Subsidiaries on the applicable vesting date (except as set forth in Paragraph 4 of this Agreement). The Participant shall be entitled to receive one share of Company Stock in respect of each vested Stock Award as soon as practicable following the applicable vesting date, but no later than the later to occur of (a) the end of the calendar year in which the applicable vesting date occurs and (b) the fifteenth day of the third calendar month following the applicable vesting date.</w:t>
      </w:r>
    </w:p>
    <w:p>
      <w:pPr>
        <w:spacing w:after="0" w:line="56" w:lineRule="exact"/>
        <w:rPr>
          <w:rFonts w:ascii="Arial" w:cs="Arial" w:eastAsia="Arial" w:hAnsi="Arial"/>
          <w:sz w:val="20"/>
          <w:szCs w:val="20"/>
          <w:color w:val="auto"/>
        </w:rPr>
      </w:pPr>
    </w:p>
    <w:p>
      <w:pPr>
        <w:ind w:left="640" w:right="120" w:firstLine="6"/>
        <w:spacing w:after="0" w:line="261" w:lineRule="auto"/>
        <w:tabs>
          <w:tab w:leader="none" w:pos="128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Restrictions</w:t>
      </w:r>
      <w:r>
        <w:rPr>
          <w:rFonts w:ascii="Arial" w:cs="Arial" w:eastAsia="Arial" w:hAnsi="Arial"/>
          <w:sz w:val="21"/>
          <w:szCs w:val="21"/>
          <w:color w:val="auto"/>
        </w:rPr>
        <w:t>. The Stock Awards granted hereunder may not be sold, assigned, transferred, pledged, hypothecated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69" w:lineRule="exact"/>
        <w:rPr>
          <w:rFonts w:ascii="Arial" w:cs="Arial" w:eastAsia="Arial" w:hAnsi="Arial"/>
          <w:sz w:val="21"/>
          <w:szCs w:val="21"/>
          <w:color w:val="auto"/>
        </w:rPr>
      </w:pPr>
    </w:p>
    <w:p>
      <w:pPr>
        <w:ind w:left="1280" w:hanging="634"/>
        <w:spacing w:after="0"/>
        <w:tabs>
          <w:tab w:leader="none" w:pos="12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Termination of Service; Disability.</w:t>
      </w:r>
    </w:p>
    <w:p>
      <w:pPr>
        <w:spacing w:after="0" w:line="118" w:lineRule="exact"/>
        <w:rPr>
          <w:sz w:val="20"/>
          <w:szCs w:val="20"/>
          <w:color w:val="auto"/>
        </w:rPr>
      </w:pPr>
    </w:p>
    <w:p>
      <w:pPr>
        <w:ind w:left="640" w:right="940" w:firstLine="6"/>
        <w:spacing w:after="0" w:line="308" w:lineRule="auto"/>
        <w:tabs>
          <w:tab w:leader="none" w:pos="127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Termination of Service for Cause</w:t>
      </w:r>
      <w:r>
        <w:rPr>
          <w:rFonts w:ascii="Arial" w:cs="Arial" w:eastAsia="Arial" w:hAnsi="Arial"/>
          <w:sz w:val="20"/>
          <w:szCs w:val="20"/>
          <w:color w:val="auto"/>
        </w:rPr>
        <w:t>. Upon the Participant’s termination of service with the Company and its Subsidiaries for Cause all of the Participant’s unvested Stock Awards shall be forfeited as of such date.</w:t>
      </w:r>
    </w:p>
    <w:p>
      <w:pPr>
        <w:spacing w:after="0" w:line="22" w:lineRule="exact"/>
        <w:rPr>
          <w:rFonts w:ascii="Arial" w:cs="Arial" w:eastAsia="Arial" w:hAnsi="Arial"/>
          <w:sz w:val="20"/>
          <w:szCs w:val="20"/>
          <w:color w:val="auto"/>
        </w:rPr>
      </w:pPr>
    </w:p>
    <w:p>
      <w:pPr>
        <w:ind w:left="640" w:right="240" w:firstLine="6"/>
        <w:spacing w:after="0" w:line="308" w:lineRule="auto"/>
        <w:tabs>
          <w:tab w:leader="none" w:pos="1275"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Termination of Service on Account of Death</w:t>
      </w:r>
      <w:r>
        <w:rPr>
          <w:rFonts w:ascii="Arial" w:cs="Arial" w:eastAsia="Arial" w:hAnsi="Arial"/>
          <w:sz w:val="20"/>
          <w:szCs w:val="20"/>
          <w:color w:val="auto"/>
        </w:rPr>
        <w:t>. Upon termination of the Participant’s service with the Company and its Subsidiaries on account of death, all of the Participant’s unvested Stock Awards shall immediately vest.</w:t>
      </w:r>
    </w:p>
    <w:p>
      <w:pPr>
        <w:spacing w:after="0" w:line="22" w:lineRule="exact"/>
        <w:rPr>
          <w:rFonts w:ascii="Arial" w:cs="Arial" w:eastAsia="Arial" w:hAnsi="Arial"/>
          <w:sz w:val="20"/>
          <w:szCs w:val="20"/>
          <w:color w:val="auto"/>
        </w:rPr>
      </w:pPr>
    </w:p>
    <w:p>
      <w:pPr>
        <w:ind w:left="640"/>
        <w:spacing w:after="0" w:line="281" w:lineRule="auto"/>
        <w:tabs>
          <w:tab w:leader="none" w:pos="127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 all of</w:t>
      </w:r>
    </w:p>
    <w:p>
      <w:pPr>
        <w:sectPr>
          <w:pgSz w:w="11900" w:h="16838" w:orient="portrait"/>
          <w:cols w:equalWidth="0" w:num="1">
            <w:col w:w="11240"/>
          </w:cols>
          <w:pgMar w:left="320" w:top="125" w:right="339" w:bottom="1440" w:gutter="0" w:footer="0" w:header="0"/>
        </w:sectPr>
      </w:pPr>
    </w:p>
    <w:bookmarkStart w:id="55" w:name="page56"/>
    <w:bookmarkEnd w:id="55"/>
    <w:p>
      <w:pPr>
        <w:spacing w:after="0" w:line="78" w:lineRule="exact"/>
        <w:rPr>
          <w:sz w:val="20"/>
          <w:szCs w:val="20"/>
          <w:color w:val="auto"/>
        </w:rPr>
      </w:pPr>
    </w:p>
    <w:p>
      <w:pPr>
        <w:ind w:right="140"/>
        <w:spacing w:after="0" w:line="281" w:lineRule="auto"/>
        <w:rPr>
          <w:sz w:val="20"/>
          <w:szCs w:val="20"/>
          <w:color w:val="auto"/>
        </w:rPr>
      </w:pPr>
      <w:r>
        <w:rPr>
          <w:rFonts w:ascii="Arial" w:cs="Arial" w:eastAsia="Arial" w:hAnsi="Arial"/>
          <w:sz w:val="21"/>
          <w:szCs w:val="21"/>
          <w:color w:val="auto"/>
        </w:rPr>
        <w:t>the Participant’s unvested Stock Awards as of the date of termination shall continue to vest in accordance with the original vesting schedule set forth in Paragraph 2 of this Award Agreement.</w:t>
      </w:r>
    </w:p>
    <w:p>
      <w:pPr>
        <w:spacing w:after="0" w:line="48" w:lineRule="exact"/>
        <w:rPr>
          <w:sz w:val="20"/>
          <w:szCs w:val="20"/>
          <w:color w:val="auto"/>
        </w:rPr>
      </w:pPr>
    </w:p>
    <w:p>
      <w:pPr>
        <w:ind w:right="220" w:firstLine="6"/>
        <w:spacing w:after="0" w:line="261"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Participant incurs a Disability that also constitutes a “disability” within the meaning of Section 409A, all of the Participant’s unvested Stock Awards as of the date of such Disability shall continue to vest in accordance with the original vesting schedule set forth in Paragraph 2 of this Award Agreement regardless of any subsequent termination of service.</w:t>
      </w:r>
    </w:p>
    <w:p>
      <w:pPr>
        <w:spacing w:after="0" w:line="69" w:lineRule="exact"/>
        <w:rPr>
          <w:rFonts w:ascii="Arial" w:cs="Arial" w:eastAsia="Arial" w:hAnsi="Arial"/>
          <w:sz w:val="21"/>
          <w:szCs w:val="21"/>
          <w:color w:val="auto"/>
        </w:rPr>
      </w:pPr>
    </w:p>
    <w:p>
      <w:pPr>
        <w:ind w:right="60" w:firstLine="6"/>
        <w:spacing w:after="0" w:line="269" w:lineRule="auto"/>
        <w:tabs>
          <w:tab w:leader="none" w:pos="636"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Termination of Service by the Company without Cause or by the Participant for Good Reason</w:t>
      </w:r>
      <w:r>
        <w:rPr>
          <w:rFonts w:ascii="Arial" w:cs="Arial" w:eastAsia="Arial" w:hAnsi="Arial"/>
          <w:sz w:val="20"/>
          <w:szCs w:val="20"/>
          <w:color w:val="auto"/>
        </w:rPr>
        <w:t>. Upon termination of the Participant’s service with the Company and its Subsidiaries by the Company or its Subsidiaries without Cause, Stock Awards that are unvested as of date of termination shall be forfeited. 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Paragraphs 4 and 5 of this Award Agreement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65" w:lineRule="exact"/>
        <w:rPr>
          <w:rFonts w:ascii="Arial" w:cs="Arial" w:eastAsia="Arial" w:hAnsi="Arial"/>
          <w:sz w:val="20"/>
          <w:szCs w:val="20"/>
          <w:color w:val="auto"/>
        </w:rPr>
      </w:pPr>
    </w:p>
    <w:p>
      <w:pPr>
        <w:ind w:firstLine="6"/>
        <w:spacing w:after="0" w:line="307" w:lineRule="auto"/>
        <w:tabs>
          <w:tab w:leader="none" w:pos="63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Termination of Service for any Other Reason</w:t>
      </w:r>
      <w:r>
        <w:rPr>
          <w:rFonts w:ascii="Arial" w:cs="Arial" w:eastAsia="Arial" w:hAnsi="Arial"/>
          <w:sz w:val="19"/>
          <w:szCs w:val="19"/>
          <w:color w:val="auto"/>
        </w:rPr>
        <w:t>. Unless otherwise provided in an individual agreement with the Participant, if the Participant has a termination of service for any reason other than the reasons enumerated in Subparagraphs (a) through (e) above, Stock Awards that are unvested as of date of termination of services shall be forfeited.</w:t>
      </w:r>
    </w:p>
    <w:p>
      <w:pPr>
        <w:spacing w:after="0" w:line="28" w:lineRule="exact"/>
        <w:rPr>
          <w:sz w:val="20"/>
          <w:szCs w:val="20"/>
          <w:color w:val="auto"/>
        </w:rPr>
      </w:pPr>
    </w:p>
    <w:p>
      <w:pPr>
        <w:ind w:left="640" w:hanging="634"/>
        <w:spacing w:after="0"/>
        <w:tabs>
          <w:tab w:leader="none" w:pos="64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In the event of a Change in Control:</w:t>
      </w:r>
    </w:p>
    <w:p>
      <w:pPr>
        <w:spacing w:after="0" w:line="118" w:lineRule="exact"/>
        <w:rPr>
          <w:sz w:val="20"/>
          <w:szCs w:val="20"/>
          <w:color w:val="auto"/>
        </w:rPr>
      </w:pPr>
    </w:p>
    <w:p>
      <w:pPr>
        <w:ind w:right="120" w:firstLine="6"/>
        <w:spacing w:after="0" w:line="261" w:lineRule="auto"/>
        <w:tabs>
          <w:tab w:leader="none" w:pos="636" w:val="left"/>
        </w:tabs>
        <w:numPr>
          <w:ilvl w:val="1"/>
          <w:numId w:val="32"/>
        </w:numPr>
        <w:rPr>
          <w:rFonts w:ascii="Arial" w:cs="Arial" w:eastAsia="Arial" w:hAnsi="Arial"/>
          <w:sz w:val="21"/>
          <w:szCs w:val="21"/>
          <w:color w:val="auto"/>
        </w:rPr>
      </w:pPr>
      <w:r>
        <w:rPr>
          <w:rFonts w:ascii="Arial" w:cs="Arial" w:eastAsia="Arial" w:hAnsi="Arial"/>
          <w:sz w:val="21"/>
          <w:szCs w:val="21"/>
          <w:color w:val="auto"/>
        </w:rPr>
        <w:t>if the Stock Awards are assumed or substituted (within the meaning of the Plan) in connection with such Change in Control, and the Participant incurs a termination of service with the Company and its Subsidiaries by the Company or its Subsidiary without Cause during the 24-month period following such Change in Control, then the Stock Awards shall vest on the date of such termination of services.</w:t>
      </w:r>
    </w:p>
    <w:p>
      <w:pPr>
        <w:spacing w:after="0" w:line="69" w:lineRule="exact"/>
        <w:rPr>
          <w:rFonts w:ascii="Arial" w:cs="Arial" w:eastAsia="Arial" w:hAnsi="Arial"/>
          <w:sz w:val="21"/>
          <w:szCs w:val="21"/>
          <w:color w:val="auto"/>
        </w:rPr>
      </w:pPr>
    </w:p>
    <w:p>
      <w:pPr>
        <w:ind w:right="580" w:firstLine="6"/>
        <w:spacing w:after="0" w:line="281" w:lineRule="auto"/>
        <w:tabs>
          <w:tab w:leader="none" w:pos="635" w:val="left"/>
        </w:tabs>
        <w:numPr>
          <w:ilvl w:val="1"/>
          <w:numId w:val="32"/>
        </w:numPr>
        <w:rPr>
          <w:rFonts w:ascii="Arial" w:cs="Arial" w:eastAsia="Arial" w:hAnsi="Arial"/>
          <w:sz w:val="21"/>
          <w:szCs w:val="21"/>
          <w:color w:val="auto"/>
        </w:rPr>
      </w:pPr>
      <w:r>
        <w:rPr>
          <w:rFonts w:ascii="Arial" w:cs="Arial" w:eastAsia="Arial" w:hAnsi="Arial"/>
          <w:sz w:val="21"/>
          <w:szCs w:val="21"/>
          <w:color w:val="auto"/>
        </w:rPr>
        <w:t>if the Stock Awards are not assumed or substituted in connection with such Change in Control, then the Stock Awards shall immediately vest upon the occurrence of the Change in Control.</w:t>
      </w:r>
    </w:p>
    <w:p>
      <w:pPr>
        <w:spacing w:after="0" w:line="47" w:lineRule="exact"/>
        <w:rPr>
          <w:rFonts w:ascii="Arial" w:cs="Arial" w:eastAsia="Arial" w:hAnsi="Arial"/>
          <w:sz w:val="21"/>
          <w:szCs w:val="21"/>
          <w:color w:val="auto"/>
        </w:rPr>
      </w:pPr>
    </w:p>
    <w:p>
      <w:pPr>
        <w:spacing w:after="0" w:line="256" w:lineRule="auto"/>
        <w:tabs>
          <w:tab w:leader="none" w:pos="633"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Change in Control Definition</w:t>
      </w:r>
      <w:r>
        <w:rPr>
          <w:rFonts w:ascii="Arial" w:cs="Arial" w:eastAsia="Arial" w:hAnsi="Arial"/>
          <w:sz w:val="21"/>
          <w:szCs w:val="21"/>
          <w:color w:val="auto"/>
        </w:rPr>
        <w:t>. For purposes of this Award Agreement, “Change in Control” shall have the meaning set forth in the Plan, provided that, notwithstanding anything contrary in the Plan: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(ii) to the extent required to avoid the imposition of taxes 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80"/>
          </w:cols>
          <w:pgMar w:left="960" w:top="1440" w:right="359" w:bottom="1440" w:gutter="0" w:footer="0" w:header="0"/>
        </w:sectPr>
      </w:pPr>
    </w:p>
    <w:bookmarkStart w:id="56" w:name="page57"/>
    <w:bookmarkEnd w:id="56"/>
    <w:p>
      <w:pPr>
        <w:spacing w:after="0" w:line="78"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 and (iii) for the avoidance of doubt, any one or more of the events that may result in a “Change in Control” may be effected pursuant to a takeover under Irish takeover rules, a compromise or arrangement sanctioned by the court under Chapter 1 of Part 9 of the Companies Act 2014 of the Republic of Ireland or otherwise under Part 9 of the Companies Act 2014 of the Republic of Ireland.</w:t>
      </w:r>
    </w:p>
    <w:p>
      <w:pPr>
        <w:spacing w:after="0" w:line="80" w:lineRule="exact"/>
        <w:rPr>
          <w:sz w:val="20"/>
          <w:szCs w:val="20"/>
          <w:color w:val="auto"/>
        </w:rPr>
      </w:pPr>
    </w:p>
    <w:p>
      <w:pPr>
        <w:ind w:right="240"/>
        <w:spacing w:after="0" w:line="266" w:lineRule="auto"/>
        <w:tabs>
          <w:tab w:leader="none" w:pos="633"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No Shareholder Rights Prior to Vesting</w:t>
      </w:r>
      <w:r>
        <w:rPr>
          <w:rFonts w:ascii="Arial" w:cs="Arial" w:eastAsia="Arial" w:hAnsi="Arial"/>
          <w:sz w:val="21"/>
          <w:szCs w:val="21"/>
          <w:color w:val="auto"/>
        </w:rPr>
        <w:t>. The Participant shall not have any rights of a shareholder (including the right to distributions or dividends) with respect to the Stock Award until shares of Company Stock are issued pursuant to the terms of this Award Agreement.</w:t>
      </w:r>
    </w:p>
    <w:p>
      <w:pPr>
        <w:spacing w:after="0" w:line="63" w:lineRule="exact"/>
        <w:rPr>
          <w:rFonts w:ascii="Arial" w:cs="Arial" w:eastAsia="Arial" w:hAnsi="Arial"/>
          <w:sz w:val="21"/>
          <w:szCs w:val="21"/>
          <w:color w:val="auto"/>
        </w:rPr>
      </w:pPr>
    </w:p>
    <w:p>
      <w:pPr>
        <w:ind w:right="40"/>
        <w:spacing w:after="0" w:line="297" w:lineRule="auto"/>
        <w:tabs>
          <w:tab w:leader="none" w:pos="63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Stock Award (RSU) Agreement Subject to Plan</w:t>
      </w:r>
      <w:r>
        <w:rPr>
          <w:rFonts w:ascii="Arial" w:cs="Arial" w:eastAsia="Arial" w:hAnsi="Arial"/>
          <w:sz w:val="19"/>
          <w:szCs w:val="19"/>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 the Plan shall govern, except as expressly provided by Paragraph 6 of this Award Agreement.</w:t>
      </w:r>
    </w:p>
    <w:p>
      <w:pPr>
        <w:spacing w:after="0" w:line="37" w:lineRule="exact"/>
        <w:rPr>
          <w:rFonts w:ascii="Arial" w:cs="Arial" w:eastAsia="Arial" w:hAnsi="Arial"/>
          <w:sz w:val="19"/>
          <w:szCs w:val="19"/>
          <w:color w:val="auto"/>
        </w:rPr>
      </w:pPr>
    </w:p>
    <w:p>
      <w:pPr>
        <w:ind w:right="140"/>
        <w:spacing w:after="0" w:line="261" w:lineRule="auto"/>
        <w:tabs>
          <w:tab w:leader="none" w:pos="633"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No Rights to Continuation of Service</w:t>
      </w:r>
      <w:r>
        <w:rPr>
          <w:rFonts w:ascii="Arial" w:cs="Arial" w:eastAsia="Arial" w:hAnsi="Arial"/>
          <w:sz w:val="21"/>
          <w:szCs w:val="21"/>
          <w:color w:val="auto"/>
        </w:rPr>
        <w:t>. Nothing in the Plan or this Award Agreement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any time for any reason whatsoever, with or without Cause.</w:t>
      </w:r>
    </w:p>
    <w:p>
      <w:pPr>
        <w:spacing w:after="0" w:line="69" w:lineRule="exact"/>
        <w:rPr>
          <w:rFonts w:ascii="Arial" w:cs="Arial" w:eastAsia="Arial" w:hAnsi="Arial"/>
          <w:sz w:val="21"/>
          <w:szCs w:val="21"/>
          <w:color w:val="auto"/>
        </w:rPr>
      </w:pPr>
    </w:p>
    <w:p>
      <w:pPr>
        <w:spacing w:after="0" w:line="271" w:lineRule="auto"/>
        <w:tabs>
          <w:tab w:leader="none" w:pos="633"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The Company shall be entitled to require a cash payment by or on behalf of the Participant and/or to deduct from any Stock Awards granted hereunder or other compensation payable to the Participant any sums required by federal, state or local tax law to be withheld or to satisfy any applicable payroll deductions with respect to the vesting of, lapse of restrictions on, or payment of any Stock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61" w:lineRule="exact"/>
        <w:rPr>
          <w:rFonts w:ascii="Arial" w:cs="Arial" w:eastAsia="Arial" w:hAnsi="Arial"/>
          <w:sz w:val="20"/>
          <w:szCs w:val="20"/>
          <w:color w:val="auto"/>
        </w:rPr>
      </w:pPr>
    </w:p>
    <w:p>
      <w:pPr>
        <w:ind w:right="60" w:firstLine="6"/>
        <w:spacing w:after="0" w:line="289" w:lineRule="auto"/>
        <w:tabs>
          <w:tab w:leader="none" w:pos="63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The Stock Award is intended to comply with Code Section 409A to the extent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540"/>
          </w:cols>
          <w:pgMar w:left="960" w:top="1440" w:right="399" w:bottom="1440" w:gutter="0" w:footer="0" w:header="0"/>
        </w:sectPr>
      </w:pPr>
    </w:p>
    <w:bookmarkStart w:id="57" w:name="page58"/>
    <w:bookmarkEnd w:id="57"/>
    <w:p>
      <w:pPr>
        <w:spacing w:after="0" w:line="78"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color w:val="auto"/>
        </w:rPr>
        <w:t>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63" w:lineRule="exact"/>
        <w:rPr>
          <w:sz w:val="20"/>
          <w:szCs w:val="20"/>
          <w:color w:val="auto"/>
        </w:rPr>
      </w:pPr>
    </w:p>
    <w:p>
      <w:pPr>
        <w:ind w:right="380" w:firstLine="6"/>
        <w:spacing w:after="0" w:line="286"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Award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44" w:lineRule="exact"/>
        <w:rPr>
          <w:rFonts w:ascii="Arial" w:cs="Arial" w:eastAsia="Arial" w:hAnsi="Arial"/>
          <w:sz w:val="20"/>
          <w:szCs w:val="20"/>
          <w:color w:val="auto"/>
        </w:rPr>
      </w:pPr>
    </w:p>
    <w:p>
      <w:pPr>
        <w:ind w:firstLine="6"/>
        <w:spacing w:after="0" w:line="286"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Binding on Successors</w:t>
      </w:r>
      <w:r>
        <w:rPr>
          <w:rFonts w:ascii="Arial" w:cs="Arial" w:eastAsia="Arial" w:hAnsi="Arial"/>
          <w:sz w:val="20"/>
          <w:szCs w:val="20"/>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44" w:lineRule="exact"/>
        <w:rPr>
          <w:rFonts w:ascii="Arial" w:cs="Arial" w:eastAsia="Arial" w:hAnsi="Arial"/>
          <w:sz w:val="20"/>
          <w:szCs w:val="20"/>
          <w:color w:val="auto"/>
        </w:rPr>
      </w:pPr>
    </w:p>
    <w:p>
      <w:pPr>
        <w:ind w:right="40" w:firstLine="6"/>
        <w:spacing w:after="0" w:line="281" w:lineRule="auto"/>
        <w:tabs>
          <w:tab w:leader="none" w:pos="64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No Assignment</w:t>
      </w:r>
      <w:r>
        <w:rPr>
          <w:rFonts w:ascii="Arial" w:cs="Arial" w:eastAsia="Arial" w:hAnsi="Arial"/>
          <w:sz w:val="21"/>
          <w:szCs w:val="21"/>
          <w:color w:val="auto"/>
        </w:rPr>
        <w:t>. Notwithstanding anything to the contrary in this Award Agreement, neither this Award Agreement nor any rights granted herein shall be assignable by the Participant.</w:t>
      </w:r>
    </w:p>
    <w:p>
      <w:pPr>
        <w:spacing w:after="0" w:line="47" w:lineRule="exact"/>
        <w:rPr>
          <w:rFonts w:ascii="Arial" w:cs="Arial" w:eastAsia="Arial" w:hAnsi="Arial"/>
          <w:sz w:val="21"/>
          <w:szCs w:val="21"/>
          <w:color w:val="auto"/>
        </w:rPr>
      </w:pPr>
    </w:p>
    <w:p>
      <w:pPr>
        <w:ind w:right="80" w:firstLine="6"/>
        <w:spacing w:after="0" w:line="286"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Necessary Acts</w:t>
      </w:r>
      <w:r>
        <w:rPr>
          <w:rFonts w:ascii="Arial" w:cs="Arial" w:eastAsia="Arial" w:hAnsi="Arial"/>
          <w:sz w:val="20"/>
          <w:szCs w:val="20"/>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Irish law.</w:t>
      </w:r>
    </w:p>
    <w:p>
      <w:pPr>
        <w:spacing w:after="0" w:line="44" w:lineRule="exact"/>
        <w:rPr>
          <w:rFonts w:ascii="Arial" w:cs="Arial" w:eastAsia="Arial" w:hAnsi="Arial"/>
          <w:sz w:val="20"/>
          <w:szCs w:val="20"/>
          <w:color w:val="auto"/>
        </w:rPr>
      </w:pPr>
    </w:p>
    <w:p>
      <w:pPr>
        <w:ind w:right="540" w:firstLine="6"/>
        <w:spacing w:after="0" w:line="281" w:lineRule="auto"/>
        <w:tabs>
          <w:tab w:leader="none" w:pos="64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Entire Stock Award (RSU) Agreement</w:t>
      </w:r>
      <w:r>
        <w:rPr>
          <w:rFonts w:ascii="Arial" w:cs="Arial" w:eastAsia="Arial" w:hAnsi="Arial"/>
          <w:sz w:val="21"/>
          <w:szCs w:val="21"/>
          <w:color w:val="auto"/>
        </w:rPr>
        <w:t>. This Award Agreement and the Plan contain the entire agreement and understanding among the parties as to the subject matter hereof.</w:t>
      </w:r>
    </w:p>
    <w:p>
      <w:pPr>
        <w:spacing w:after="0" w:line="47" w:lineRule="exact"/>
        <w:rPr>
          <w:rFonts w:ascii="Arial" w:cs="Arial" w:eastAsia="Arial" w:hAnsi="Arial"/>
          <w:sz w:val="21"/>
          <w:szCs w:val="21"/>
          <w:color w:val="auto"/>
        </w:rPr>
      </w:pPr>
    </w:p>
    <w:p>
      <w:pPr>
        <w:ind w:right="320" w:firstLine="6"/>
        <w:spacing w:after="0" w:line="281" w:lineRule="auto"/>
        <w:tabs>
          <w:tab w:leader="none" w:pos="64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Headings are used solely for the convenience of the parties and shall not be deemed to be a limitation upon or descriptive of the contents of any such Paragraph.</w:t>
      </w:r>
    </w:p>
    <w:p>
      <w:pPr>
        <w:spacing w:after="0" w:line="47" w:lineRule="exact"/>
        <w:rPr>
          <w:rFonts w:ascii="Arial" w:cs="Arial" w:eastAsia="Arial" w:hAnsi="Arial"/>
          <w:sz w:val="21"/>
          <w:szCs w:val="21"/>
          <w:color w:val="auto"/>
        </w:rPr>
      </w:pPr>
    </w:p>
    <w:p>
      <w:pPr>
        <w:ind w:right="540" w:firstLine="6"/>
        <w:spacing w:after="0" w:line="308"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Award Agreement may be executed in any number of counterparts, each of which shall be deemed to be an original and all of which together shall be deemed to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520"/>
          </w:cols>
          <w:pgMar w:left="960" w:top="1440" w:right="419" w:bottom="1440" w:gutter="0" w:footer="0" w:header="0"/>
        </w:sectPr>
      </w:pPr>
    </w:p>
    <w:bookmarkStart w:id="58" w:name="page59"/>
    <w:bookmarkEnd w:id="58"/>
    <w:p>
      <w:pPr>
        <w:spacing w:after="0" w:line="78" w:lineRule="exact"/>
        <w:rPr>
          <w:sz w:val="20"/>
          <w:szCs w:val="20"/>
          <w:color w:val="auto"/>
        </w:rPr>
      </w:pPr>
    </w:p>
    <w:p>
      <w:pPr>
        <w:jc w:val="both"/>
        <w:ind w:right="220" w:firstLine="6"/>
        <w:spacing w:after="0" w:line="266" w:lineRule="auto"/>
        <w:tabs>
          <w:tab w:leader="none" w:pos="64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Company:</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Endo International plc</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c/o Endo Health Solutions Inc.</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1400 Atwater Drive</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Malvern, PA 19355</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Attention: Treasurer</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the Participant:</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At the address on file with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Either party hereto may change such party’s address for notices by notice duly given pursuant hereto.</w:t>
      </w:r>
    </w:p>
    <w:p>
      <w:pPr>
        <w:spacing w:after="0" w:line="118" w:lineRule="exact"/>
        <w:rPr>
          <w:sz w:val="20"/>
          <w:szCs w:val="20"/>
          <w:color w:val="auto"/>
        </w:rPr>
      </w:pPr>
    </w:p>
    <w:p>
      <w:pPr>
        <w:ind w:right="440" w:firstLine="6"/>
        <w:spacing w:after="0" w:line="281" w:lineRule="auto"/>
        <w:tabs>
          <w:tab w:leader="none" w:pos="6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No amendment or modification hereof shall be valid unless it shall be in writing and signed by all parties hereto.</w:t>
      </w:r>
    </w:p>
    <w:p>
      <w:pPr>
        <w:spacing w:after="0" w:line="47" w:lineRule="exact"/>
        <w:rPr>
          <w:rFonts w:ascii="Arial" w:cs="Arial" w:eastAsia="Arial" w:hAnsi="Arial"/>
          <w:sz w:val="21"/>
          <w:szCs w:val="21"/>
          <w:color w:val="auto"/>
        </w:rPr>
      </w:pPr>
    </w:p>
    <w:p>
      <w:pPr>
        <w:ind w:right="20" w:firstLine="6"/>
        <w:spacing w:after="0" w:line="266" w:lineRule="auto"/>
        <w:tabs>
          <w:tab w:leader="none" w:pos="6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Participant hereby acknowledges receipt of a copy of the Plan and this Award Agreement. The Participant has read and understands the terms and provisions thereof, and accepts the Stock Awards subject to all the terms and conditions of the Plan and this Award Agreement.</w:t>
      </w:r>
    </w:p>
    <w:p>
      <w:pPr>
        <w:spacing w:after="0" w:line="63" w:lineRule="exact"/>
        <w:rPr>
          <w:rFonts w:ascii="Arial" w:cs="Arial" w:eastAsia="Arial" w:hAnsi="Arial"/>
          <w:sz w:val="21"/>
          <w:szCs w:val="21"/>
          <w:color w:val="auto"/>
        </w:rPr>
      </w:pPr>
    </w:p>
    <w:p>
      <w:pPr>
        <w:ind w:right="80" w:firstLine="6"/>
        <w:spacing w:after="0" w:line="259" w:lineRule="auto"/>
        <w:tabs>
          <w:tab w:leader="none" w:pos="6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No Compensation for Loss of Rights</w:t>
      </w:r>
      <w:r>
        <w:rPr>
          <w:rFonts w:ascii="Arial" w:cs="Arial" w:eastAsia="Arial" w:hAnsi="Arial"/>
          <w:sz w:val="21"/>
          <w:szCs w:val="21"/>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69" w:lineRule="exact"/>
        <w:rPr>
          <w:rFonts w:ascii="Arial" w:cs="Arial" w:eastAsia="Arial" w:hAnsi="Arial"/>
          <w:sz w:val="21"/>
          <w:szCs w:val="21"/>
          <w:color w:val="auto"/>
        </w:rPr>
      </w:pPr>
    </w:p>
    <w:p>
      <w:pPr>
        <w:ind w:right="80" w:firstLine="6"/>
        <w:spacing w:after="0" w:line="257" w:lineRule="auto"/>
        <w:tabs>
          <w:tab w:leader="none" w:pos="6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All the terms and provisions of this Award Agreement are distinct and severable, and if any term or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74" w:lineRule="exact"/>
        <w:rPr>
          <w:rFonts w:ascii="Arial" w:cs="Arial" w:eastAsia="Arial" w:hAnsi="Arial"/>
          <w:sz w:val="21"/>
          <w:szCs w:val="21"/>
          <w:color w:val="auto"/>
        </w:rPr>
      </w:pPr>
    </w:p>
    <w:p>
      <w:pPr>
        <w:ind w:firstLine="6"/>
        <w:spacing w:after="0" w:line="259" w:lineRule="auto"/>
        <w:tabs>
          <w:tab w:leader="none" w:pos="6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Data Protection</w:t>
      </w:r>
      <w:r>
        <w:rPr>
          <w:rFonts w:ascii="Arial" w:cs="Arial" w:eastAsia="Arial" w:hAnsi="Arial"/>
          <w:sz w:val="21"/>
          <w:szCs w:val="21"/>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580"/>
          </w:cols>
          <w:pgMar w:left="960" w:top="1440" w:right="359" w:bottom="1440" w:gutter="0" w:footer="0" w:header="0"/>
        </w:sectPr>
      </w:pPr>
    </w:p>
    <w:bookmarkStart w:id="59" w:name="page60"/>
    <w:bookmarkEnd w:id="59"/>
    <w:p>
      <w:pPr>
        <w:spacing w:after="0" w:line="78" w:lineRule="exact"/>
        <w:rPr>
          <w:sz w:val="20"/>
          <w:szCs w:val="20"/>
          <w:color w:val="auto"/>
        </w:rPr>
      </w:pPr>
    </w:p>
    <w:p>
      <w:pPr>
        <w:ind w:left="640" w:right="60"/>
        <w:spacing w:after="0" w:line="271" w:lineRule="auto"/>
        <w:rPr>
          <w:sz w:val="20"/>
          <w:szCs w:val="20"/>
          <w:color w:val="auto"/>
        </w:rPr>
      </w:pPr>
      <w:r>
        <w:rPr>
          <w:rFonts w:ascii="Arial" w:cs="Arial" w:eastAsia="Arial" w:hAnsi="Arial"/>
          <w:sz w:val="20"/>
          <w:szCs w:val="20"/>
          <w:color w:val="auto"/>
        </w:rPr>
        <w:t>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61" w:lineRule="exact"/>
        <w:rPr>
          <w:sz w:val="20"/>
          <w:szCs w:val="20"/>
          <w:color w:val="auto"/>
        </w:rPr>
      </w:pPr>
    </w:p>
    <w:p>
      <w:pPr>
        <w:ind w:left="640" w:right="60" w:firstLine="6"/>
        <w:spacing w:after="0" w:line="266" w:lineRule="auto"/>
        <w:tabs>
          <w:tab w:leader="none" w:pos="128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Additional Matters</w:t>
      </w:r>
      <w:r>
        <w:rPr>
          <w:rFonts w:ascii="Arial" w:cs="Arial" w:eastAsia="Arial" w:hAnsi="Arial"/>
          <w:sz w:val="21"/>
          <w:szCs w:val="21"/>
          <w:color w:val="auto"/>
        </w:rPr>
        <w:t>. This Award Agreement is intended to comply with the applicable laws of any country or jurisdiction where the Stock Awards are granted under the Plan, and all provisions hereof shall be construed in a manner to so comply. The following provisions apply to Participants providing services in the country noted:</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Canada: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 above shall be amended to add the following language at the end thereof as a new subsection (g):</w:t>
      </w:r>
    </w:p>
    <w:p>
      <w:pPr>
        <w:spacing w:after="0" w:line="118" w:lineRule="exact"/>
        <w:rPr>
          <w:sz w:val="20"/>
          <w:szCs w:val="20"/>
          <w:color w:val="auto"/>
        </w:rPr>
      </w:pPr>
    </w:p>
    <w:p>
      <w:pPr>
        <w:ind w:left="640" w:right="140"/>
        <w:spacing w:after="0" w:line="266" w:lineRule="auto"/>
        <w:tabs>
          <w:tab w:leader="none" w:pos="1092"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10 above shall be deleted in its entirety and replaced with the following language:</w:t>
      </w:r>
    </w:p>
    <w:p>
      <w:pPr>
        <w:spacing w:after="0" w:line="118" w:lineRule="exact"/>
        <w:rPr>
          <w:sz w:val="20"/>
          <w:szCs w:val="20"/>
          <w:color w:val="auto"/>
        </w:rPr>
      </w:pPr>
    </w:p>
    <w:p>
      <w:pPr>
        <w:ind w:left="640"/>
        <w:spacing w:after="0" w:line="289" w:lineRule="auto"/>
        <w:tabs>
          <w:tab w:leader="none" w:pos="111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Stock Award.</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India:</w:t>
      </w:r>
    </w:p>
    <w:p>
      <w:pPr>
        <w:spacing w:after="0" w:line="124" w:lineRule="exact"/>
        <w:rPr>
          <w:sz w:val="20"/>
          <w:szCs w:val="20"/>
          <w:color w:val="auto"/>
        </w:rPr>
      </w:pPr>
    </w:p>
    <w:p>
      <w:pPr>
        <w:ind w:right="460"/>
        <w:spacing w:after="0" w:line="281" w:lineRule="auto"/>
        <w:rPr>
          <w:sz w:val="20"/>
          <w:szCs w:val="20"/>
          <w:color w:val="auto"/>
        </w:rPr>
      </w:pPr>
      <w:r>
        <w:rPr>
          <w:rFonts w:ascii="Arial" w:cs="Arial" w:eastAsia="Arial" w:hAnsi="Arial"/>
          <w:sz w:val="21"/>
          <w:szCs w:val="21"/>
          <w:color w:val="auto"/>
        </w:rPr>
        <w:t>As used herein, “Participant” shall have the meaning set forth in the Plan, except the term shall not include consultants of any Subsidiary in India.</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Section 4(b) shall deleted in its entirety and replaced with the following language:</w:t>
      </w:r>
    </w:p>
    <w:p>
      <w:pPr>
        <w:spacing w:after="0" w:line="118" w:lineRule="exact"/>
        <w:rPr>
          <w:sz w:val="20"/>
          <w:szCs w:val="20"/>
          <w:color w:val="auto"/>
        </w:rPr>
      </w:pPr>
    </w:p>
    <w:p>
      <w:pPr>
        <w:ind w:left="640" w:right="200" w:hanging="5"/>
        <w:spacing w:after="0" w:line="281" w:lineRule="auto"/>
        <w:rPr>
          <w:sz w:val="20"/>
          <w:szCs w:val="20"/>
          <w:color w:val="auto"/>
        </w:rPr>
      </w:pPr>
      <w:r>
        <w:rPr>
          <w:rFonts w:ascii="Arial" w:cs="Arial" w:eastAsia="Arial" w:hAnsi="Arial"/>
          <w:sz w:val="21"/>
          <w:szCs w:val="21"/>
          <w:u w:val="single" w:color="auto"/>
          <w:color w:val="auto"/>
        </w:rPr>
        <w:t>Termination of Service on Account of Death</w:t>
      </w:r>
      <w:r>
        <w:rPr>
          <w:rFonts w:ascii="Arial" w:cs="Arial" w:eastAsia="Arial" w:hAnsi="Arial"/>
          <w:sz w:val="21"/>
          <w:szCs w:val="21"/>
          <w:color w:val="auto"/>
        </w:rPr>
        <w:t>. Upon termination of the Participant’s service on account of death, all of the Participant’s unvested Stock Awards shall immediately vest in his legal heirs or nominees.</w:t>
      </w:r>
    </w:p>
    <w:p>
      <w:pPr>
        <w:spacing w:after="0" w:line="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Section 4(c) shall be deleted in its entirety and replaced with the following language: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80"/>
          </w:cols>
          <w:pgMar w:left="320" w:top="1440" w:right="399" w:bottom="1440" w:gutter="0" w:footer="0" w:header="0"/>
        </w:sectPr>
      </w:pPr>
    </w:p>
    <w:bookmarkStart w:id="60" w:name="page61"/>
    <w:bookmarkEnd w:id="60"/>
    <w:p>
      <w:pPr>
        <w:spacing w:after="0" w:line="78" w:lineRule="exact"/>
        <w:rPr>
          <w:sz w:val="20"/>
          <w:szCs w:val="20"/>
          <w:color w:val="auto"/>
        </w:rPr>
      </w:pPr>
    </w:p>
    <w:p>
      <w:pPr>
        <w:ind w:left="640" w:right="620" w:hanging="5"/>
        <w:spacing w:after="0" w:line="266" w:lineRule="auto"/>
        <w:rPr>
          <w:sz w:val="20"/>
          <w:szCs w:val="20"/>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 all of the Participant’s unvested Stock Awards shall vest on the date of termination of service.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4(d) shall be deleted in its entirety and replaced with the following language:</w:t>
      </w:r>
    </w:p>
    <w:p>
      <w:pPr>
        <w:spacing w:after="0" w:line="118" w:lineRule="exact"/>
        <w:rPr>
          <w:sz w:val="20"/>
          <w:szCs w:val="20"/>
          <w:color w:val="auto"/>
        </w:rPr>
      </w:pPr>
    </w:p>
    <w:p>
      <w:pPr>
        <w:ind w:left="640" w:right="200" w:hanging="5"/>
        <w:spacing w:after="0" w:line="259" w:lineRule="auto"/>
        <w:rPr>
          <w:sz w:val="20"/>
          <w:szCs w:val="20"/>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Participant incurs a Disability that also constitutes a “disability” within the meaning of Section 409A, all of the Participant’s unvested Stock Awards as of the date of such Disability shall continue to vest in accordance with the original vesting schedule set forth in Paragraph 2 of this Award Agreement regardless of any subsequent termination of service, provided such Disability does not result in termination of service. In the event of termination of service, the unvested Stock Award shall vest in him on the date of termination.</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Section 10 shall be deleted in its entirety and replaced with the following language:</w:t>
      </w:r>
    </w:p>
    <w:p>
      <w:pPr>
        <w:spacing w:after="0" w:line="118" w:lineRule="exact"/>
        <w:rPr>
          <w:sz w:val="20"/>
          <w:szCs w:val="20"/>
          <w:color w:val="auto"/>
        </w:rPr>
      </w:pPr>
    </w:p>
    <w:p>
      <w:pPr>
        <w:ind w:left="640" w:hanging="5"/>
        <w:spacing w:after="0" w:line="269" w:lineRule="auto"/>
        <w:rPr>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The Subsidiary under whose payroll the Participant is registered shall have the right to deduct or withhold from the Stock Award or payroll of the Participant an amount sufficient to satisfy income taxes required by law to be withheld with respect to the vesting of, lapse of restrictions on, or payment of any Stock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color w:val="auto"/>
        </w:rPr>
        <w:t>Section 13 shall be amended to delete the term “transferees”.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14 shall be deleted in its entirety and replaced with the following language:</w:t>
      </w:r>
    </w:p>
    <w:p>
      <w:pPr>
        <w:spacing w:after="0" w:line="118" w:lineRule="exact"/>
        <w:rPr>
          <w:sz w:val="20"/>
          <w:szCs w:val="20"/>
          <w:color w:val="auto"/>
        </w:rPr>
      </w:pPr>
    </w:p>
    <w:p>
      <w:pPr>
        <w:ind w:left="640" w:right="120"/>
        <w:spacing w:after="0" w:line="266" w:lineRule="auto"/>
        <w:rPr>
          <w:sz w:val="20"/>
          <w:szCs w:val="20"/>
          <w:color w:val="auto"/>
        </w:rPr>
      </w:pPr>
      <w:r>
        <w:rPr>
          <w:rFonts w:ascii="Arial" w:cs="Arial" w:eastAsia="Arial" w:hAnsi="Arial"/>
          <w:sz w:val="21"/>
          <w:szCs w:val="21"/>
          <w:u w:val="single" w:color="auto"/>
          <w:color w:val="auto"/>
        </w:rPr>
        <w:t>No Assignment</w:t>
      </w:r>
      <w:r>
        <w:rPr>
          <w:rFonts w:ascii="Arial" w:cs="Arial" w:eastAsia="Arial" w:hAnsi="Arial"/>
          <w:sz w:val="21"/>
          <w:szCs w:val="21"/>
          <w:color w:val="auto"/>
        </w:rPr>
        <w:t>. Notwithstanding anything to the contrary in this Award Agreement, but subject to the assignment of the Stock Award upon death of the Participant, neither this Award Agreement nor any rights granted herein shall be assignable by the Participant.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15 shall be deleted in its entirety and replaced with the following language:</w:t>
      </w:r>
    </w:p>
    <w:p>
      <w:pPr>
        <w:spacing w:after="0" w:line="118" w:lineRule="exact"/>
        <w:rPr>
          <w:sz w:val="20"/>
          <w:szCs w:val="20"/>
          <w:color w:val="auto"/>
        </w:rPr>
      </w:pPr>
    </w:p>
    <w:p>
      <w:pPr>
        <w:ind w:left="640" w:right="220"/>
        <w:spacing w:after="0" w:line="259" w:lineRule="auto"/>
        <w:rPr>
          <w:sz w:val="20"/>
          <w:szCs w:val="20"/>
          <w:color w:val="auto"/>
        </w:rPr>
      </w:pPr>
      <w:r>
        <w:rPr>
          <w:rFonts w:ascii="Arial" w:cs="Arial" w:eastAsia="Arial" w:hAnsi="Arial"/>
          <w:sz w:val="21"/>
          <w:szCs w:val="21"/>
          <w:u w:val="single" w:color="auto"/>
          <w:color w:val="auto"/>
        </w:rPr>
        <w:t>Necessary Acts</w:t>
      </w:r>
      <w:r>
        <w:rPr>
          <w:rFonts w:ascii="Arial" w:cs="Arial" w:eastAsia="Arial" w:hAnsi="Arial"/>
          <w:sz w:val="21"/>
          <w:szCs w:val="21"/>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Ireland:</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and be of no force and effect.</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13 above shall be amended to delete the words “transferees, assignees” therefrom.</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20" w:top="1440" w:right="359" w:bottom="1440" w:gutter="0" w:footer="0" w:header="0"/>
        </w:sectPr>
      </w:pPr>
    </w:p>
    <w:bookmarkStart w:id="61" w:name="page62"/>
    <w:bookmarkEnd w:id="61"/>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Section 14 above shall be deleted in its entirety and replaced with the following language:</w:t>
      </w:r>
    </w:p>
    <w:p>
      <w:pPr>
        <w:spacing w:after="0" w:line="118" w:lineRule="exact"/>
        <w:rPr>
          <w:sz w:val="20"/>
          <w:szCs w:val="20"/>
          <w:color w:val="auto"/>
        </w:rPr>
      </w:pPr>
    </w:p>
    <w:p>
      <w:pPr>
        <w:ind w:left="640" w:right="300"/>
        <w:spacing w:after="0" w:line="307"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Luxembourg</w:t>
      </w:r>
      <w:r>
        <w:rPr>
          <w:rFonts w:ascii="Arial" w:cs="Arial" w:eastAsia="Arial" w:hAnsi="Arial"/>
          <w:sz w:val="21"/>
          <w:szCs w:val="2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in its entirety and replaced with the following language:</w:t>
      </w:r>
    </w:p>
    <w:p>
      <w:pPr>
        <w:spacing w:after="0" w:line="118" w:lineRule="exact"/>
        <w:rPr>
          <w:sz w:val="20"/>
          <w:szCs w:val="20"/>
          <w:color w:val="auto"/>
        </w:rPr>
      </w:pPr>
    </w:p>
    <w:p>
      <w:pPr>
        <w:ind w:left="640" w:right="660"/>
        <w:spacing w:after="0" w:line="336" w:lineRule="auto"/>
        <w:rPr>
          <w:sz w:val="20"/>
          <w:szCs w:val="20"/>
          <w:color w:val="auto"/>
        </w:rPr>
      </w:pPr>
      <w:r>
        <w:rPr>
          <w:rFonts w:ascii="Arial" w:cs="Arial" w:eastAsia="Arial" w:hAnsi="Arial"/>
          <w:sz w:val="19"/>
          <w:szCs w:val="19"/>
          <w:u w:val="single" w:color="auto"/>
          <w:color w:val="auto"/>
        </w:rPr>
        <w:t>Termination of Service on Account of Retirement</w:t>
      </w:r>
      <w:r>
        <w:rPr>
          <w:rFonts w:ascii="Arial" w:cs="Arial" w:eastAsia="Arial" w:hAnsi="Arial"/>
          <w:sz w:val="19"/>
          <w:szCs w:val="19"/>
          <w:color w:val="auto"/>
        </w:rPr>
        <w:t>. If the Participant voluntarily retires according to Luxembourg employment law, all of the Participant’s then unvested Stock Awards shall vest on the Participant’s termination date.</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21"/>
          <w:szCs w:val="21"/>
          <w:color w:val="auto"/>
        </w:rPr>
        <w:t>Section 4(d) above shall be amended to (i) delete the phrase “that also constitutes a ‘disability’ within the meaning of Section 409A of the Code” therefrom and (ii) add the following language at the end thereof:</w:t>
      </w:r>
    </w:p>
    <w:p>
      <w:pPr>
        <w:spacing w:after="0" w:line="48" w:lineRule="exact"/>
        <w:rPr>
          <w:sz w:val="20"/>
          <w:szCs w:val="20"/>
          <w:color w:val="auto"/>
        </w:rPr>
      </w:pPr>
    </w:p>
    <w:p>
      <w:pPr>
        <w:ind w:left="640"/>
        <w:spacing w:after="0" w:line="259" w:lineRule="auto"/>
        <w:rPr>
          <w:sz w:val="20"/>
          <w:szCs w:val="20"/>
          <w:color w:val="auto"/>
        </w:rPr>
      </w:pPr>
      <w:r>
        <w:rPr>
          <w:rFonts w:ascii="Arial" w:cs="Arial" w:eastAsia="Arial" w:hAnsi="Arial"/>
          <w:sz w:val="21"/>
          <w:szCs w:val="21"/>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21"/>
          <w:szCs w:val="21"/>
          <w:i w:val="1"/>
          <w:iCs w:val="1"/>
          <w:color w:val="auto"/>
        </w:rPr>
        <w:t>reclassement</w:t>
      </w:r>
      <w:r>
        <w:rPr>
          <w:rFonts w:ascii="Arial" w:cs="Arial" w:eastAsia="Arial" w:hAnsi="Arial"/>
          <w:sz w:val="21"/>
          <w:szCs w:val="21"/>
          <w:color w:val="auto"/>
        </w:rPr>
        <w:t xml:space="preserve"> by the competent commission following an irrevocable decision from said commission.</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Section 4 above shall be amended to add the following language at the end thereof as a new sub-section (g):</w:t>
      </w:r>
    </w:p>
    <w:p>
      <w:pPr>
        <w:spacing w:after="0" w:line="118" w:lineRule="exact"/>
        <w:rPr>
          <w:sz w:val="20"/>
          <w:szCs w:val="20"/>
          <w:color w:val="auto"/>
        </w:rPr>
      </w:pPr>
    </w:p>
    <w:p>
      <w:pPr>
        <w:ind w:left="640" w:right="280"/>
        <w:spacing w:after="0" w:line="281" w:lineRule="auto"/>
        <w:rPr>
          <w:sz w:val="20"/>
          <w:szCs w:val="20"/>
          <w:color w:val="auto"/>
        </w:rPr>
      </w:pPr>
      <w:r>
        <w:rPr>
          <w:rFonts w:ascii="Arial" w:cs="Arial" w:eastAsia="Arial" w:hAnsi="Arial"/>
          <w:sz w:val="21"/>
          <w:szCs w:val="21"/>
          <w:color w:val="auto"/>
        </w:rPr>
        <w:t>It is understood that the Participant’s termination of service for any reason shall take place in accordance with applicable Luxembourg employment law rules.</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Section 10 above shall be amended to add the following language at the end thereof:</w:t>
      </w:r>
    </w:p>
    <w:p>
      <w:pPr>
        <w:spacing w:after="0" w:line="118" w:lineRule="exact"/>
        <w:rPr>
          <w:sz w:val="20"/>
          <w:szCs w:val="20"/>
          <w:color w:val="auto"/>
        </w:rPr>
      </w:pPr>
    </w:p>
    <w:p>
      <w:pPr>
        <w:ind w:left="640" w:right="80"/>
        <w:spacing w:after="0" w:line="261" w:lineRule="auto"/>
        <w:rPr>
          <w:sz w:val="20"/>
          <w:szCs w:val="20"/>
          <w:color w:val="auto"/>
        </w:rPr>
      </w:pPr>
      <w:r>
        <w:rPr>
          <w:rFonts w:ascii="Arial" w:cs="Arial" w:eastAsia="Arial" w:hAnsi="Arial"/>
          <w:sz w:val="21"/>
          <w:szCs w:val="21"/>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Section 13 above shall be amended to delete the word “transferees” therefrom.</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14 above shall be deleted in its entirety and replaced with the following language:</w:t>
      </w:r>
    </w:p>
    <w:p>
      <w:pPr>
        <w:spacing w:after="0" w:line="118" w:lineRule="exact"/>
        <w:rPr>
          <w:sz w:val="20"/>
          <w:szCs w:val="20"/>
          <w:color w:val="auto"/>
        </w:rPr>
      </w:pPr>
    </w:p>
    <w:p>
      <w:pPr>
        <w:ind w:left="640" w:right="300"/>
        <w:spacing w:after="0" w:line="307"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40" w:right="359" w:bottom="1440" w:gutter="0" w:footer="0" w:header="0"/>
        </w:sectPr>
      </w:pPr>
    </w:p>
    <w:bookmarkStart w:id="62" w:name="page63"/>
    <w:bookmarkEnd w:id="62"/>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Section 24 above shall be amended to add the following language at the end thereof:</w:t>
      </w:r>
    </w:p>
    <w:p>
      <w:pPr>
        <w:spacing w:after="0" w:line="118" w:lineRule="exact"/>
        <w:rPr>
          <w:sz w:val="20"/>
          <w:szCs w:val="20"/>
          <w:color w:val="auto"/>
        </w:rPr>
      </w:pPr>
    </w:p>
    <w:p>
      <w:pPr>
        <w:jc w:val="both"/>
        <w:ind w:left="640" w:right="300" w:firstLine="6"/>
        <w:spacing w:after="0" w:line="261" w:lineRule="auto"/>
        <w:tabs>
          <w:tab w:leader="none" w:pos="747" w:val="left"/>
        </w:tabs>
        <w:numPr>
          <w:ilvl w:val="0"/>
          <w:numId w:val="41"/>
        </w:numPr>
        <w:rPr>
          <w:rFonts w:ascii="Arial" w:cs="Arial" w:eastAsia="Arial" w:hAnsi="Arial"/>
          <w:sz w:val="21"/>
          <w:szCs w:val="21"/>
          <w:color w:val="auto"/>
        </w:rPr>
      </w:pPr>
      <w:r>
        <w:rPr>
          <w:rFonts w:ascii="Arial" w:cs="Arial" w:eastAsia="Arial" w:hAnsi="Arial"/>
          <w:sz w:val="21"/>
          <w:szCs w:val="21"/>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United Kingdom:</w:t>
      </w:r>
    </w:p>
    <w:p>
      <w:pPr>
        <w:spacing w:after="0" w:line="124" w:lineRule="exact"/>
        <w:rPr>
          <w:sz w:val="20"/>
          <w:szCs w:val="20"/>
          <w:color w:val="auto"/>
        </w:rPr>
      </w:pPr>
    </w:p>
    <w:p>
      <w:pPr>
        <w:ind w:right="200"/>
        <w:spacing w:after="0" w:line="266"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63" w:lineRule="exact"/>
        <w:rPr>
          <w:sz w:val="20"/>
          <w:szCs w:val="20"/>
          <w:color w:val="auto"/>
        </w:rPr>
      </w:pPr>
    </w:p>
    <w:p>
      <w:pPr>
        <w:ind w:right="140"/>
        <w:spacing w:after="0" w:line="307" w:lineRule="auto"/>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and be of no force and effect.</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10 above shall be deleted in its entirety and replaced with the following:</w:t>
      </w:r>
    </w:p>
    <w:p>
      <w:pPr>
        <w:spacing w:after="0" w:line="118" w:lineRule="exact"/>
        <w:rPr>
          <w:sz w:val="20"/>
          <w:szCs w:val="20"/>
          <w:color w:val="auto"/>
        </w:rPr>
      </w:pPr>
    </w:p>
    <w:p>
      <w:pPr>
        <w:ind w:left="640"/>
        <w:spacing w:after="0" w:line="268" w:lineRule="auto"/>
        <w:rPr>
          <w:sz w:val="20"/>
          <w:szCs w:val="20"/>
          <w:color w:val="auto"/>
        </w:rPr>
      </w:pPr>
      <w:r>
        <w:rPr>
          <w:rFonts w:ascii="Arial" w:cs="Arial" w:eastAsia="Arial" w:hAnsi="Arial"/>
          <w:sz w:val="20"/>
          <w:szCs w:val="20"/>
          <w:u w:val="single" w:color="auto"/>
          <w:color w:val="auto"/>
        </w:rPr>
        <w:t>Tax Liabilities</w:t>
      </w:r>
      <w:r>
        <w:rPr>
          <w:rFonts w:ascii="Arial" w:cs="Arial" w:eastAsia="Arial" w:hAnsi="Arial"/>
          <w:sz w:val="20"/>
          <w:szCs w:val="20"/>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Stock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61" w:lineRule="exact"/>
        <w:rPr>
          <w:sz w:val="20"/>
          <w:szCs w:val="20"/>
          <w:color w:val="auto"/>
        </w:rPr>
      </w:pPr>
    </w:p>
    <w:p>
      <w:pPr>
        <w:ind w:left="640" w:right="120"/>
        <w:spacing w:after="0" w:line="263"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Employer NICs</w:t>
      </w:r>
      <w:r>
        <w:rPr>
          <w:rFonts w:ascii="Arial" w:cs="Arial" w:eastAsia="Arial" w:hAnsi="Arial"/>
          <w:sz w:val="21"/>
          <w:szCs w:val="21"/>
          <w:b w:val="1"/>
          <w:bCs w:val="1"/>
          <w:color w:val="auto"/>
        </w:rPr>
        <w:t>”</w:t>
      </w:r>
      <w:r>
        <w:rPr>
          <w:rFonts w:ascii="Arial" w:cs="Arial" w:eastAsia="Arial" w:hAnsi="Arial"/>
          <w:sz w:val="21"/>
          <w:szCs w:val="21"/>
          <w:color w:val="auto"/>
        </w:rPr>
        <w:t>: any secondary class 1 (employer) national insurance contributions that the Company or any employer</w:t>
      </w:r>
      <w:r>
        <w:rPr>
          <w:rFonts w:ascii="Arial" w:cs="Arial" w:eastAsia="Arial" w:hAnsi="Arial"/>
          <w:sz w:val="21"/>
          <w:szCs w:val="21"/>
          <w:b w:val="1"/>
          <w:bCs w:val="1"/>
          <w:color w:val="auto"/>
        </w:rPr>
        <w:t xml:space="preserve"> </w:t>
      </w:r>
      <w:r>
        <w:rPr>
          <w:rFonts w:ascii="Arial" w:cs="Arial" w:eastAsia="Arial" w:hAnsi="Arial"/>
          <w:sz w:val="21"/>
          <w:szCs w:val="21"/>
          <w:color w:val="auto"/>
        </w:rPr>
        <w:t>(or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Taxable Event</w:t>
      </w:r>
      <w:r>
        <w:rPr>
          <w:rFonts w:ascii="Arial" w:cs="Arial" w:eastAsia="Arial" w:hAnsi="Arial"/>
          <w:sz w:val="19"/>
          <w:szCs w:val="19"/>
          <w:b w:val="1"/>
          <w:bCs w:val="1"/>
          <w:color w:val="auto"/>
        </w:rPr>
        <w:t>”</w:t>
      </w:r>
      <w:r>
        <w:rPr>
          <w:rFonts w:ascii="Arial" w:cs="Arial" w:eastAsia="Arial" w:hAnsi="Arial"/>
          <w:sz w:val="19"/>
          <w:szCs w:val="19"/>
          <w:color w:val="auto"/>
        </w:rPr>
        <w:t>: any event or circumstance that gives rise to a liability for the Participant to pay income tax and national</w:t>
      </w:r>
    </w:p>
    <w:p>
      <w:pPr>
        <w:spacing w:after="0" w:line="59" w:lineRule="exact"/>
        <w:rPr>
          <w:sz w:val="20"/>
          <w:szCs w:val="20"/>
          <w:color w:val="auto"/>
        </w:rPr>
      </w:pPr>
    </w:p>
    <w:p>
      <w:pPr>
        <w:ind w:left="640" w:right="620"/>
        <w:spacing w:after="0" w:line="289" w:lineRule="auto"/>
        <w:rPr>
          <w:sz w:val="20"/>
          <w:szCs w:val="20"/>
          <w:color w:val="auto"/>
        </w:rPr>
      </w:pPr>
      <w:r>
        <w:rPr>
          <w:rFonts w:ascii="Arial" w:cs="Arial" w:eastAsia="Arial" w:hAnsi="Arial"/>
          <w:sz w:val="20"/>
          <w:szCs w:val="20"/>
          <w:color w:val="auto"/>
        </w:rPr>
        <w:t>insurance contributions or either of them in respect of: (a) the Stock Award, including its assignment or surrender for consideration, or the receipt of any benefit in connection with it; (b) any shares (or other securities or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78" w:lineRule="exact"/>
        <w:rPr>
          <w:sz w:val="20"/>
          <w:szCs w:val="20"/>
          <w:color w:val="auto"/>
        </w:rPr>
      </w:pPr>
    </w:p>
    <w:p>
      <w:pPr>
        <w:ind w:left="640" w:right="120"/>
        <w:spacing w:after="0" w:line="297" w:lineRule="auto"/>
        <w:rPr>
          <w:sz w:val="20"/>
          <w:szCs w:val="20"/>
          <w:color w:val="auto"/>
        </w:rPr>
      </w:pPr>
      <w:r>
        <w:rPr>
          <w:rFonts w:ascii="Arial" w:cs="Arial" w:eastAsia="Arial" w:hAnsi="Arial"/>
          <w:sz w:val="19"/>
          <w:szCs w:val="19"/>
          <w:color w:val="auto"/>
        </w:rPr>
        <w:t>assets): (i) earmarked or held to satisfy the Stock Award; (ii) acquired pursuant to the Stock Award; or (iv) acquired in consideration of the assignment or surrender of the Stock Award; (c) any securities (or other assets) acquired or earmarked as a result of holding shares (or other securities or assets) mentioned in (b); or (d) any amount due in respect of assets within (a) to (c) above and not made good by the Participant within the time limit specified in section 222 ITEPA.</w:t>
      </w:r>
    </w:p>
    <w:p>
      <w:pPr>
        <w:spacing w:after="0" w:line="32" w:lineRule="exact"/>
        <w:rPr>
          <w:sz w:val="20"/>
          <w:szCs w:val="20"/>
          <w:color w:val="auto"/>
        </w:rPr>
      </w:pPr>
    </w:p>
    <w:p>
      <w:pPr>
        <w:ind w:left="640" w:right="180"/>
        <w:spacing w:after="0" w:line="260"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Tax Liability</w:t>
      </w:r>
      <w:r>
        <w:rPr>
          <w:rFonts w:ascii="Arial" w:cs="Arial" w:eastAsia="Arial" w:hAnsi="Arial"/>
          <w:sz w:val="21"/>
          <w:szCs w:val="21"/>
          <w:b w:val="1"/>
          <w:bCs w:val="1"/>
          <w:color w:val="auto"/>
        </w:rPr>
        <w:t>”</w:t>
      </w:r>
      <w:r>
        <w:rPr>
          <w:rFonts w:ascii="Arial" w:cs="Arial" w:eastAsia="Arial" w:hAnsi="Arial"/>
          <w:sz w:val="21"/>
          <w:szCs w:val="21"/>
          <w:color w:val="auto"/>
        </w:rPr>
        <w:t>: the total of (a) any income tax and primary class 1 (employee) national insurance contributions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color w:val="auto"/>
        </w:rPr>
        <w:t>Section 22 shall be replaced by the following provision:</w:t>
      </w:r>
    </w:p>
    <w:p>
      <w:pPr>
        <w:spacing w:after="0" w:line="118" w:lineRule="exact"/>
        <w:rPr>
          <w:sz w:val="20"/>
          <w:szCs w:val="20"/>
          <w:color w:val="auto"/>
        </w:rPr>
      </w:pPr>
    </w:p>
    <w:p>
      <w:pPr>
        <w:ind w:left="640"/>
        <w:spacing w:after="0" w:line="255" w:lineRule="auto"/>
        <w:rPr>
          <w:sz w:val="20"/>
          <w:szCs w:val="20"/>
          <w:color w:val="auto"/>
        </w:rPr>
      </w:pPr>
      <w:r>
        <w:rPr>
          <w:rFonts w:ascii="Arial" w:cs="Arial" w:eastAsia="Arial" w:hAnsi="Arial"/>
          <w:sz w:val="21"/>
          <w:szCs w:val="21"/>
          <w:color w:val="auto"/>
        </w:rPr>
        <w:t>Nothing contained in the Plan or this Stock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Stock Award the Participant shall be deemed irrevocably to have waived any such entitlement.</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WITNESS WHEREOF, the parties hereto have executed this Award Agreement as of the date set forth above.</w:t>
      </w:r>
    </w:p>
    <w:p>
      <w:pPr>
        <w:spacing w:after="0" w:line="64" w:lineRule="exact"/>
        <w:rPr>
          <w:sz w:val="20"/>
          <w:szCs w:val="20"/>
          <w:color w:val="auto"/>
        </w:rPr>
      </w:pPr>
    </w:p>
    <w:p>
      <w:pPr>
        <w:ind w:left="8320"/>
        <w:spacing w:after="0"/>
        <w:rPr>
          <w:sz w:val="20"/>
          <w:szCs w:val="20"/>
          <w:color w:val="auto"/>
        </w:rPr>
      </w:pPr>
      <w:r>
        <w:rPr>
          <w:rFonts w:ascii="Arial" w:cs="Arial" w:eastAsia="Arial" w:hAnsi="Arial"/>
          <w:sz w:val="20"/>
          <w:szCs w:val="20"/>
          <w:b w:val="1"/>
          <w:bCs w:val="1"/>
          <w:color w:val="auto"/>
        </w:rPr>
        <w:t>ENDO INTERNATIONAL PLC</w:t>
      </w:r>
    </w:p>
    <w:p>
      <w:pPr>
        <w:spacing w:after="0" w:line="8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33655</wp:posOffset>
            </wp:positionV>
            <wp:extent cx="25723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Name:  Blaise Coleman</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Title:  President &amp; Chief Executive Officer</w:t>
      </w:r>
    </w:p>
    <w:p>
      <w:pPr>
        <w:spacing w:after="0" w:line="324" w:lineRule="exact"/>
        <w:rPr>
          <w:sz w:val="20"/>
          <w:szCs w:val="20"/>
          <w:color w:val="auto"/>
        </w:rPr>
      </w:pPr>
    </w:p>
    <w:p>
      <w:pPr>
        <w:ind w:left="9720"/>
        <w:spacing w:after="0"/>
        <w:rPr>
          <w:sz w:val="20"/>
          <w:szCs w:val="20"/>
          <w:color w:val="auto"/>
        </w:rPr>
      </w:pPr>
      <w:r>
        <w:rPr>
          <w:rFonts w:ascii="Arial" w:cs="Arial" w:eastAsia="Arial" w:hAnsi="Arial"/>
          <w:sz w:val="20"/>
          <w:szCs w:val="20"/>
          <w:b w:val="1"/>
          <w:bCs w:val="1"/>
          <w:color w:val="auto"/>
        </w:rPr>
        <w:t>PARTICIPANT</w:t>
      </w:r>
    </w:p>
    <w:p>
      <w:pPr>
        <w:spacing w:after="0" w:line="83"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33655</wp:posOffset>
            </wp:positionV>
            <wp:extent cx="25723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5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33655</wp:posOffset>
            </wp:positionV>
            <wp:extent cx="25723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20" w:top="1440" w:right="359" w:bottom="1440" w:gutter="0" w:footer="0" w:header="0"/>
        </w:sectPr>
      </w:pPr>
    </w:p>
    <w:bookmarkStart w:id="64" w:name="page65"/>
    <w:bookmarkEnd w:id="64"/>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ENDO INTERNATIONAL PLC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AWARD AGREEMENT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AMENDED AND RESTATED 2015 STOCK INCENTIVE PLAN</w:t>
      </w:r>
    </w:p>
    <w:p>
      <w:pPr>
        <w:spacing w:after="0" w:line="207" w:lineRule="exact"/>
        <w:rPr>
          <w:sz w:val="20"/>
          <w:szCs w:val="20"/>
          <w:color w:val="auto"/>
        </w:rPr>
      </w:pPr>
    </w:p>
    <w:p>
      <w:pPr>
        <w:ind w:right="80" w:firstLine="640"/>
        <w:spacing w:after="0" w:line="270" w:lineRule="auto"/>
        <w:rPr>
          <w:sz w:val="20"/>
          <w:szCs w:val="20"/>
          <w:color w:val="auto"/>
        </w:rPr>
      </w:pPr>
      <w:r>
        <w:rPr>
          <w:rFonts w:ascii="Arial" w:cs="Arial" w:eastAsia="Arial" w:hAnsi="Arial"/>
          <w:sz w:val="20"/>
          <w:szCs w:val="20"/>
          <w:color w:val="auto"/>
        </w:rPr>
        <w:t>This Performance Award Agreement, which shall include the TSR Performance Award Grant Notice, the FCF Performance Award Grant Notice and the Terms and Conditions (collectively, the “Award Agreement”) is made and entered into as of [ ] by and between Endo International plc, an Irish public limited company (the “Company”), and the participant named below (the “Participant”). The Performance Award granted pursuant to this Award Agreement shall consist of [ ] restricted stock units subject to the TSR Performance Award and [ ] restricted stock units subject to the FCF Performance Award (each at target levels of performance and each as defined in the Terms and Conditions). Capitalized terms not defined herein shall have the meanings ascribed to them in the Company’s Amended and Restated 2015 Stock Incentive Plan (the “Plan”). Where the context permits, references to the Company shall include any successor to the Company.</w:t>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Grant No. [A####]</w:t>
      </w:r>
    </w:p>
    <w:p>
      <w:pPr>
        <w:spacing w:after="0" w:line="112" w:lineRule="exact"/>
        <w:rPr>
          <w:sz w:val="20"/>
          <w:szCs w:val="20"/>
          <w:color w:val="auto"/>
        </w:rPr>
      </w:pPr>
    </w:p>
    <w:p>
      <w:pPr>
        <w:jc w:val="center"/>
        <w:ind w:right="-759"/>
        <w:spacing w:after="0"/>
        <w:rPr>
          <w:sz w:val="20"/>
          <w:szCs w:val="20"/>
          <w:color w:val="auto"/>
        </w:rPr>
      </w:pPr>
      <w:r>
        <w:rPr>
          <w:rFonts w:ascii="Arial" w:cs="Arial" w:eastAsia="Arial" w:hAnsi="Arial"/>
          <w:sz w:val="21"/>
          <w:szCs w:val="21"/>
          <w:b w:val="1"/>
          <w:bCs w:val="1"/>
          <w:color w:val="auto"/>
        </w:rPr>
        <w:t>ENDO INTERNATIONAL PLC</w:t>
      </w:r>
    </w:p>
    <w:p>
      <w:pPr>
        <w:spacing w:after="0" w:line="36" w:lineRule="exact"/>
        <w:rPr>
          <w:sz w:val="20"/>
          <w:szCs w:val="20"/>
          <w:color w:val="auto"/>
        </w:rPr>
      </w:pPr>
    </w:p>
    <w:p>
      <w:pPr>
        <w:jc w:val="center"/>
        <w:ind w:right="-759"/>
        <w:spacing w:after="0"/>
        <w:rPr>
          <w:sz w:val="20"/>
          <w:szCs w:val="20"/>
          <w:color w:val="auto"/>
        </w:rPr>
      </w:pPr>
      <w:r>
        <w:rPr>
          <w:rFonts w:ascii="Arial" w:cs="Arial" w:eastAsia="Arial" w:hAnsi="Arial"/>
          <w:sz w:val="21"/>
          <w:szCs w:val="21"/>
          <w:b w:val="1"/>
          <w:bCs w:val="1"/>
          <w:color w:val="auto"/>
        </w:rPr>
        <w:t>PERFORMANCE AWARD AGREEMENT</w:t>
      </w:r>
    </w:p>
    <w:p>
      <w:pPr>
        <w:spacing w:after="0" w:line="12" w:lineRule="exact"/>
        <w:rPr>
          <w:sz w:val="20"/>
          <w:szCs w:val="20"/>
          <w:color w:val="auto"/>
        </w:rPr>
      </w:pPr>
    </w:p>
    <w:p>
      <w:pPr>
        <w:jc w:val="center"/>
        <w:ind w:right="-759"/>
        <w:spacing w:after="0"/>
        <w:rPr>
          <w:sz w:val="20"/>
          <w:szCs w:val="20"/>
          <w:color w:val="auto"/>
        </w:rPr>
      </w:pPr>
      <w:r>
        <w:rPr>
          <w:rFonts w:ascii="Arial" w:cs="Arial" w:eastAsia="Arial" w:hAnsi="Arial"/>
          <w:sz w:val="21"/>
          <w:szCs w:val="21"/>
          <w:b w:val="1"/>
          <w:bCs w:val="1"/>
          <w:color w:val="auto"/>
        </w:rPr>
        <w:t>UNDER THE AMENDED AND RESTATED 2015 STOCK INCENTIVE PLAN</w:t>
      </w:r>
    </w:p>
    <w:p>
      <w:pPr>
        <w:spacing w:after="0" w:line="94" w:lineRule="exact"/>
        <w:rPr>
          <w:sz w:val="20"/>
          <w:szCs w:val="20"/>
          <w:color w:val="auto"/>
        </w:rPr>
      </w:pPr>
    </w:p>
    <w:p>
      <w:pPr>
        <w:ind w:left="3840"/>
        <w:spacing w:after="0"/>
        <w:rPr>
          <w:sz w:val="20"/>
          <w:szCs w:val="20"/>
          <w:color w:val="auto"/>
        </w:rPr>
      </w:pPr>
      <w:r>
        <w:rPr>
          <w:rFonts w:ascii="Arial" w:cs="Arial" w:eastAsia="Arial" w:hAnsi="Arial"/>
          <w:sz w:val="21"/>
          <w:szCs w:val="21"/>
          <w:b w:val="1"/>
          <w:bCs w:val="1"/>
          <w:color w:val="auto"/>
        </w:rPr>
        <w:t>TSR Performance Award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42480" cy="1421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2480" cy="142176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21"/>
          <w:szCs w:val="21"/>
          <w:color w:val="auto"/>
        </w:rPr>
        <w:t>Name of Participant: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0"/>
          <w:szCs w:val="20"/>
          <w:color w:val="auto"/>
        </w:rPr>
        <w:t>Total Target TSR Performance Award (Total Number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0"/>
          <w:szCs w:val="20"/>
          <w:color w:val="auto"/>
        </w:rPr>
        <w:t>of Restricted Stock Units Underlying the Target TSR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1"/>
          <w:szCs w:val="21"/>
          <w:color w:val="auto"/>
        </w:rPr>
        <w:t>Performance Award):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1"/>
          <w:szCs w:val="21"/>
          <w:color w:val="auto"/>
        </w:rPr>
        <w:t>Date of Grant:</w:t>
      </w:r>
    </w:p>
    <w:p>
      <w:pPr>
        <w:spacing w:after="0" w:line="105" w:lineRule="exact"/>
        <w:rPr>
          <w:sz w:val="20"/>
          <w:szCs w:val="20"/>
          <w:color w:val="auto"/>
        </w:rPr>
      </w:pPr>
    </w:p>
    <w:p>
      <w:pPr>
        <w:ind w:left="4820" w:hanging="4783"/>
        <w:spacing w:after="0" w:line="308" w:lineRule="auto"/>
        <w:tabs>
          <w:tab w:leader="none" w:pos="4800" w:val="left"/>
        </w:tabs>
        <w:rPr>
          <w:sz w:val="20"/>
          <w:szCs w:val="20"/>
          <w:color w:val="auto"/>
        </w:rPr>
      </w:pPr>
      <w:r>
        <w:rPr>
          <w:rFonts w:ascii="Arial" w:cs="Arial" w:eastAsia="Arial" w:hAnsi="Arial"/>
          <w:sz w:val="21"/>
          <w:szCs w:val="21"/>
          <w:color w:val="auto"/>
        </w:rPr>
        <w:t>Performance Period for the TSR Performance Award:</w:t>
        <w:tab/>
        <w:t>The period beginning on the Date of Grant and ending on the third anniversary of the Date of Grant.</w:t>
      </w:r>
    </w:p>
    <w:p>
      <w:pPr>
        <w:sectPr>
          <w:pgSz w:w="11900" w:h="16838" w:orient="portrait"/>
          <w:cols w:equalWidth="0" w:num="1">
            <w:col w:w="10500"/>
          </w:cols>
          <w:pgMar w:left="320" w:top="1411" w:right="1079" w:bottom="1440" w:gutter="0" w:footer="0" w:header="0"/>
        </w:sectPr>
      </w:pPr>
    </w:p>
    <w:bookmarkStart w:id="66" w:name="page67"/>
    <w:bookmarkEnd w:id="66"/>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Grant No. [B####]</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ENDO INTERNATIONAL PLC</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PERFORMANCE AWARD AGREEMENT</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UNDER THE AMENDED AND RESTATED 2015 STOCK INCENTIVE PLAN</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FCF Performance Award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7142480" cy="1421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2480" cy="142176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21"/>
          <w:szCs w:val="21"/>
          <w:color w:val="auto"/>
        </w:rPr>
        <w:t>Name of Participant: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0"/>
          <w:szCs w:val="20"/>
          <w:color w:val="auto"/>
        </w:rPr>
        <w:t>Total Target FCF Performance Award (Total Number of</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1"/>
          <w:szCs w:val="21"/>
          <w:color w:val="auto"/>
        </w:rPr>
        <w:t>Restricted Stock Units Underlying the Target FCF</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1"/>
          <w:szCs w:val="21"/>
          <w:color w:val="auto"/>
        </w:rPr>
        <w:t>Performance Award):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1"/>
          <w:szCs w:val="21"/>
          <w:color w:val="auto"/>
        </w:rPr>
        <w:t>Date of Grant:</w:t>
      </w:r>
    </w:p>
    <w:p>
      <w:pPr>
        <w:sectPr>
          <w:pgSz w:w="11900" w:h="16838" w:orient="portrait"/>
          <w:cols w:equalWidth="0" w:num="1">
            <w:col w:w="11060"/>
          </w:cols>
          <w:pgMar w:left="320" w:top="1440" w:right="519" w:bottom="1440" w:gutter="0" w:footer="0" w:header="0"/>
        </w:sectPr>
      </w:pPr>
    </w:p>
    <w:p>
      <w:pPr>
        <w:spacing w:after="0" w:line="105" w:lineRule="exact"/>
        <w:rPr>
          <w:sz w:val="20"/>
          <w:szCs w:val="20"/>
          <w:color w:val="auto"/>
        </w:rPr>
      </w:pPr>
    </w:p>
    <w:p>
      <w:pPr>
        <w:ind w:left="40"/>
        <w:spacing w:after="0"/>
        <w:rPr>
          <w:sz w:val="20"/>
          <w:szCs w:val="20"/>
          <w:color w:val="auto"/>
        </w:rPr>
      </w:pPr>
      <w:r>
        <w:rPr>
          <w:rFonts w:ascii="Arial" w:cs="Arial" w:eastAsia="Arial" w:hAnsi="Arial"/>
          <w:sz w:val="19"/>
          <w:szCs w:val="19"/>
          <w:color w:val="auto"/>
        </w:rPr>
        <w:t>Performance Period for the FCF Performance Award:</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308" w:lineRule="auto"/>
        <w:rPr>
          <w:sz w:val="20"/>
          <w:szCs w:val="20"/>
          <w:color w:val="auto"/>
        </w:rPr>
      </w:pPr>
      <w:r>
        <w:rPr>
          <w:rFonts w:ascii="Arial" w:cs="Arial" w:eastAsia="Arial" w:hAnsi="Arial"/>
          <w:sz w:val="21"/>
          <w:szCs w:val="21"/>
          <w:color w:val="auto"/>
        </w:rPr>
        <w:t>The period beginning on January 1, 2021 and ending on December 31, 2023.</w:t>
      </w:r>
    </w:p>
    <w:p>
      <w:pPr>
        <w:sectPr>
          <w:pgSz w:w="11900" w:h="16838" w:orient="portrait"/>
          <w:cols w:equalWidth="0" w:num="2">
            <w:col w:w="4600" w:space="440"/>
            <w:col w:w="6020"/>
          </w:cols>
          <w:pgMar w:left="320" w:top="1440" w:right="51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1"/>
          <w:szCs w:val="21"/>
          <w:b w:val="1"/>
          <w:bCs w:val="1"/>
          <w:color w:val="auto"/>
        </w:rPr>
        <w:t>ENDO INTERNATIONAL PLC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AWARD AGREEMENT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AMENDED AND RESTATED 2015 STOCK INCENTIVE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TERMS AND CONDITIONS</w:t>
      </w:r>
    </w:p>
    <w:p>
      <w:pPr>
        <w:spacing w:after="0" w:line="124" w:lineRule="exact"/>
        <w:rPr>
          <w:sz w:val="20"/>
          <w:szCs w:val="20"/>
          <w:color w:val="auto"/>
        </w:rPr>
      </w:pPr>
    </w:p>
    <w:p>
      <w:pPr>
        <w:ind w:left="-60" w:firstLine="646"/>
        <w:spacing w:after="0" w:line="257" w:lineRule="auto"/>
        <w:tabs>
          <w:tab w:leader="none" w:pos="100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Grant of Performance Awards</w:t>
      </w:r>
      <w:r>
        <w:rPr>
          <w:rFonts w:ascii="Arial" w:cs="Arial" w:eastAsia="Arial" w:hAnsi="Arial"/>
          <w:sz w:val="21"/>
          <w:szCs w:val="21"/>
          <w:color w:val="auto"/>
        </w:rPr>
        <w:t>. The Company hereby grants to the Participant the total number of restricted stock units set forth in the TSR Performance Award Grant Notice and the FCF Performance Award Grant Notice, fifty percent (50%) of which shall be subject to Total Shareholder Return performance targets (the “TSR Performance Award”) and the other fifty percent (50%) of which shall be subject to Adjusted Free Cash Flow performance targets (the “FCF Performance Award,” and together with the TSR Performance Award, the “Performance Award”). The Performance Award shall be subject to all of the terms and conditions of this Award Agreement and the Plan.</w:t>
      </w:r>
    </w:p>
    <w:p>
      <w:pPr>
        <w:spacing w:after="0" w:line="74" w:lineRule="exact"/>
        <w:rPr>
          <w:rFonts w:ascii="Arial" w:cs="Arial" w:eastAsia="Arial" w:hAnsi="Arial"/>
          <w:sz w:val="21"/>
          <w:szCs w:val="21"/>
          <w:color w:val="auto"/>
        </w:rPr>
      </w:pPr>
    </w:p>
    <w:p>
      <w:pPr>
        <w:ind w:left="1020" w:hanging="434"/>
        <w:spacing w:after="0"/>
        <w:tabs>
          <w:tab w:leader="none" w:pos="102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Form of Payment and Vesting</w:t>
      </w:r>
      <w:r>
        <w:rPr>
          <w:rFonts w:ascii="Arial" w:cs="Arial" w:eastAsia="Arial" w:hAnsi="Arial"/>
          <w:sz w:val="21"/>
          <w:szCs w:val="21"/>
          <w:color w:val="auto"/>
        </w:rPr>
        <w:t>.</w:t>
      </w:r>
    </w:p>
    <w:p>
      <w:pPr>
        <w:spacing w:after="0" w:line="118" w:lineRule="exact"/>
        <w:rPr>
          <w:rFonts w:ascii="Arial" w:cs="Arial" w:eastAsia="Arial" w:hAnsi="Arial"/>
          <w:sz w:val="21"/>
          <w:szCs w:val="21"/>
          <w:color w:val="auto"/>
        </w:rPr>
      </w:pPr>
    </w:p>
    <w:p>
      <w:pPr>
        <w:ind w:left="-60" w:firstLine="1286"/>
        <w:spacing w:after="0" w:line="255" w:lineRule="auto"/>
        <w:tabs>
          <w:tab w:leader="none" w:pos="1665"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TSR Performance Award shall vest on the last day of the TSR Performance Period (the “TSR Vesting Date”) in a number of shares of Company Stock equal to the multiple of the TSR Performance Award achieved, as determined by the Committee (or its designee) in accordance with the performance conditions set forth in Exhibit A hereto (“Exhibit A”), provided that the Participant is providing service to the Company or one of its Subsidiaries on the TSR Vesting Date (other than as is provided by Paragraph 4 of this Award Agreement). Any shares of Company Stock earned in accordance with the prior sentence shall be delivered to the Participant as soon as practicable following the TSR Vesting Date, but no later than the later to occur of (i) the end of the calendar year in which the TSR Vesting Date occurs and (ii) the fifteenth day of the third calendar month following the TSR Vesting Date. Any portion of the TSR Performance Award that could have been earned in accordance with the provisions of Exhibit A that is not earned as of the TSR Vesting Date, as determined by the Committee (or its designee), shall be immediately forfeited.</w:t>
      </w:r>
    </w:p>
    <w:p>
      <w:pPr>
        <w:spacing w:after="0" w:line="73" w:lineRule="exact"/>
        <w:rPr>
          <w:rFonts w:ascii="Arial" w:cs="Arial" w:eastAsia="Arial" w:hAnsi="Arial"/>
          <w:sz w:val="21"/>
          <w:szCs w:val="21"/>
          <w:color w:val="auto"/>
        </w:rPr>
      </w:pPr>
    </w:p>
    <w:p>
      <w:pPr>
        <w:ind w:left="-60" w:right="20" w:firstLine="1286"/>
        <w:spacing w:after="0" w:line="284" w:lineRule="auto"/>
        <w:tabs>
          <w:tab w:leader="none" w:pos="1677"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FCF Performance Award shall vest on the third anniversary of the Date of Grant of the FCF Performance Award (the “FCF Vesting Date”) in a number of shares of Company Stock equal to the sum of the number of shares of Company Stock so earned for the FCF Performance Period, as determined by the Committee (or its designee) in accordance with the performance conditions set forth in Exhibit B hereto (“Exhibit B”), provided that the Participant is providing service to the Company or one of its Subsidiaries on the FCF Vesting Date (other than as is provided by Paragraph 4 of this Award Agreement). Any shares of Company Stock earned and vested in accordance with the foregoing shall be delivered to the Participant as soon as practicable following the FCF Vesting Date, but no later than the later to occur of (i) the end of the calendar year in which the FCF Vesting Date occurs and (ii) the fifteenth day of the third calendar month following the FCF Vesting Date. Any portion of the FCF Performance Award that could have been earned in accordance with the provisions of Exhibit B that is not earned as of the last day of the FCF Performance Period, as determined by the Committee (or its designee), shall be immediately forfeited.</w:t>
      </w:r>
    </w:p>
    <w:p>
      <w:pPr>
        <w:sectPr>
          <w:pgSz w:w="11900" w:h="16838" w:orient="portrait"/>
          <w:cols w:equalWidth="0" w:num="1">
            <w:col w:w="11140"/>
          </w:cols>
          <w:pgMar w:left="380" w:top="1405" w:right="379" w:bottom="1440" w:gutter="0" w:footer="0" w:header="0"/>
        </w:sectPr>
      </w:pPr>
    </w:p>
    <w:bookmarkStart w:id="68" w:name="page69"/>
    <w:bookmarkEnd w:id="68"/>
    <w:p>
      <w:pPr>
        <w:spacing w:after="0" w:line="78" w:lineRule="exact"/>
        <w:rPr>
          <w:sz w:val="20"/>
          <w:szCs w:val="20"/>
          <w:color w:val="auto"/>
        </w:rPr>
      </w:pPr>
    </w:p>
    <w:p>
      <w:pPr>
        <w:jc w:val="both"/>
        <w:ind w:left="-20" w:right="40" w:firstLine="646"/>
        <w:spacing w:after="0" w:line="307" w:lineRule="auto"/>
        <w:tabs>
          <w:tab w:leader="none" w:pos="104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The Performance Award granted hereunder may not be sold, assigned, transferred, pledged, hypothecated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27" w:lineRule="exact"/>
        <w:rPr>
          <w:rFonts w:ascii="Arial" w:cs="Arial" w:eastAsia="Arial" w:hAnsi="Arial"/>
          <w:sz w:val="19"/>
          <w:szCs w:val="19"/>
          <w:color w:val="auto"/>
        </w:rPr>
      </w:pPr>
    </w:p>
    <w:p>
      <w:pPr>
        <w:ind w:left="1060" w:hanging="434"/>
        <w:spacing w:after="0"/>
        <w:tabs>
          <w:tab w:leader="none" w:pos="106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Termination of Service; Disability</w:t>
      </w:r>
      <w:r>
        <w:rPr>
          <w:rFonts w:ascii="Arial" w:cs="Arial" w:eastAsia="Arial" w:hAnsi="Arial"/>
          <w:sz w:val="21"/>
          <w:szCs w:val="21"/>
          <w:color w:val="auto"/>
        </w:rPr>
        <w:t>.</w:t>
      </w:r>
    </w:p>
    <w:p>
      <w:pPr>
        <w:spacing w:after="0" w:line="118" w:lineRule="exact"/>
        <w:rPr>
          <w:rFonts w:ascii="Arial" w:cs="Arial" w:eastAsia="Arial" w:hAnsi="Arial"/>
          <w:sz w:val="21"/>
          <w:szCs w:val="21"/>
          <w:color w:val="auto"/>
        </w:rPr>
      </w:pPr>
    </w:p>
    <w:p>
      <w:pPr>
        <w:jc w:val="both"/>
        <w:ind w:left="-20" w:right="440" w:firstLine="1286"/>
        <w:spacing w:after="0" w:line="266" w:lineRule="auto"/>
        <w:tabs>
          <w:tab w:leader="none" w:pos="1709"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Cause</w:t>
      </w:r>
      <w:r>
        <w:rPr>
          <w:rFonts w:ascii="Arial" w:cs="Arial" w:eastAsia="Arial" w:hAnsi="Arial"/>
          <w:sz w:val="21"/>
          <w:szCs w:val="21"/>
          <w:color w:val="auto"/>
        </w:rPr>
        <w:t>. Upon the Participant’s termination of service with the Company and its Subsidiaries for Cause prior to the TSR Vesting Date or the FCF Vesting Date, the unvested portion, if any, of the Participant’s Performance Award shall be forfeited as of the date of such termination of service.</w:t>
      </w:r>
    </w:p>
    <w:p>
      <w:pPr>
        <w:spacing w:after="0" w:line="63" w:lineRule="exact"/>
        <w:rPr>
          <w:rFonts w:ascii="Arial" w:cs="Arial" w:eastAsia="Arial" w:hAnsi="Arial"/>
          <w:sz w:val="21"/>
          <w:szCs w:val="21"/>
          <w:color w:val="auto"/>
        </w:rPr>
      </w:pPr>
    </w:p>
    <w:p>
      <w:pPr>
        <w:ind w:left="-20" w:right="80" w:firstLine="1286"/>
        <w:spacing w:after="0" w:line="289" w:lineRule="auto"/>
        <w:tabs>
          <w:tab w:leader="none" w:pos="1721"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Termination of Service on Account of Death</w:t>
      </w:r>
      <w:r>
        <w:rPr>
          <w:rFonts w:ascii="Arial" w:cs="Arial" w:eastAsia="Arial" w:hAnsi="Arial"/>
          <w:sz w:val="19"/>
          <w:szCs w:val="19"/>
          <w:color w:val="auto"/>
        </w:rPr>
        <w:t>. Upon termination of the Participant’s service with the Company and its Subsidiaries on account of death prior to the TSR Vesting Date or the FCF Vesting Date, the unvested portion, if any, of the Participant’s Performance Award shall vest as of the date of such termination of service at target levels (as set forth on Exhibit A and Exhibit B, as applicable). The vested Performance Award (determined in accordance with the foregoing) shall be settled in shares of Company Stock for the benefit of the Participant’s estate no later than the later to occur of (i) the end of the calendar year in which the Participant’s death occurs or (ii) the fifteenth day of the third calendar month following the Participant’s death.</w:t>
      </w:r>
    </w:p>
    <w:p>
      <w:pPr>
        <w:spacing w:after="0" w:line="47" w:lineRule="exact"/>
        <w:rPr>
          <w:rFonts w:ascii="Arial" w:cs="Arial" w:eastAsia="Arial" w:hAnsi="Arial"/>
          <w:sz w:val="19"/>
          <w:szCs w:val="19"/>
          <w:color w:val="auto"/>
        </w:rPr>
      </w:pPr>
    </w:p>
    <w:p>
      <w:pPr>
        <w:jc w:val="both"/>
        <w:ind w:left="-20" w:right="200" w:firstLine="1286"/>
        <w:spacing w:after="0" w:line="261" w:lineRule="auto"/>
        <w:tabs>
          <w:tab w:leader="none" w:pos="1709"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 prior to the TSR Vesting Date or the FCF Vesting Date, the Participant’s Performance Award shall continue to be eligible to vest in accordance with the performance-based vesting conditions set forth on Exhibit A and Exhibit B, as applicable, regardless of such termination of service.</w:t>
      </w:r>
    </w:p>
    <w:p>
      <w:pPr>
        <w:spacing w:after="0" w:line="69" w:lineRule="exact"/>
        <w:rPr>
          <w:rFonts w:ascii="Arial" w:cs="Arial" w:eastAsia="Arial" w:hAnsi="Arial"/>
          <w:sz w:val="21"/>
          <w:szCs w:val="21"/>
          <w:color w:val="auto"/>
        </w:rPr>
      </w:pPr>
    </w:p>
    <w:p>
      <w:pPr>
        <w:jc w:val="both"/>
        <w:ind w:left="-20" w:firstLine="1286"/>
        <w:spacing w:after="0" w:line="261" w:lineRule="auto"/>
        <w:tabs>
          <w:tab w:leader="none" w:pos="1721"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Participant incurs a Disability that also constitutes a “disability” within the meaning of Section 409A of the Code prior to the TSR Vesting Date or the FCF Vesting Date, the Participant’s Performance Award shall continue to be eligible to vest in accordance with the performance-based vesting conditions set forth on Exhibit A and Exhibit B, as applicable, regardless of any subsequent termination of service.</w:t>
      </w:r>
    </w:p>
    <w:p>
      <w:pPr>
        <w:spacing w:after="0" w:line="69" w:lineRule="exact"/>
        <w:rPr>
          <w:rFonts w:ascii="Arial" w:cs="Arial" w:eastAsia="Arial" w:hAnsi="Arial"/>
          <w:sz w:val="21"/>
          <w:szCs w:val="21"/>
          <w:color w:val="auto"/>
        </w:rPr>
      </w:pPr>
    </w:p>
    <w:p>
      <w:pPr>
        <w:ind w:left="1720" w:hanging="454"/>
        <w:spacing w:after="0"/>
        <w:tabs>
          <w:tab w:leader="none" w:pos="1720"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Termination of Service by the Company without Cause or by the Participant for Good Reason</w:t>
      </w:r>
      <w:r>
        <w:rPr>
          <w:rFonts w:ascii="Arial" w:cs="Arial" w:eastAsia="Arial" w:hAnsi="Arial"/>
          <w:sz w:val="21"/>
          <w:szCs w:val="21"/>
          <w:color w:val="auto"/>
        </w:rPr>
        <w:t>.</w:t>
      </w:r>
    </w:p>
    <w:p>
      <w:pPr>
        <w:spacing w:after="0" w:line="118" w:lineRule="exact"/>
        <w:rPr>
          <w:rFonts w:ascii="Arial" w:cs="Arial" w:eastAsia="Arial" w:hAnsi="Arial"/>
          <w:sz w:val="21"/>
          <w:szCs w:val="21"/>
          <w:color w:val="auto"/>
        </w:rPr>
      </w:pPr>
    </w:p>
    <w:p>
      <w:pPr>
        <w:ind w:left="-20" w:firstLine="1926"/>
        <w:spacing w:after="0" w:line="255" w:lineRule="auto"/>
        <w:tabs>
          <w:tab w:leader="none" w:pos="2314" w:val="left"/>
        </w:tabs>
        <w:numPr>
          <w:ilvl w:val="2"/>
          <w:numId w:val="43"/>
        </w:numPr>
        <w:rPr>
          <w:rFonts w:ascii="Arial" w:cs="Arial" w:eastAsia="Arial" w:hAnsi="Arial"/>
          <w:sz w:val="21"/>
          <w:szCs w:val="21"/>
          <w:color w:val="auto"/>
        </w:rPr>
      </w:pPr>
      <w:r>
        <w:rPr>
          <w:rFonts w:ascii="Arial" w:cs="Arial" w:eastAsia="Arial" w:hAnsi="Arial"/>
          <w:sz w:val="21"/>
          <w:szCs w:val="21"/>
          <w:color w:val="auto"/>
        </w:rPr>
        <w:t>Upon termination of the Participant’s service with the Company and its Subsidiaries by the Company or its Subsidiaries without Cause prior to the TSR Vesting Date, a portion of the Participant’s TSR Performance Award shall vest based upon achievement of the TSR Performance Criteria (as defined in Exhibit A) measured as of the date of the Participant’s termination of service, multiplied by a fraction, the numerator of which is the number of full months of the Participant’s service during the TSR Performance Period and the denominator of which is the total number of months in the TSR Performance Period. The vested portion of the TSR Performance Award shall be settled in shares of Company Stock as soon as practicable following the Participant’s termination of service, but no later than the later to occur of (A) the end of the calendar year in which such termination occurs or (B) the fifteenth day of the third calendar month following such termination. Notwithstanding the foregoing,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40" w:top="1440" w:right="339" w:bottom="1440" w:gutter="0" w:footer="0" w:header="0"/>
        </w:sectPr>
      </w:pPr>
    </w:p>
    <w:bookmarkStart w:id="69" w:name="page70"/>
    <w:bookmarkEnd w:id="69"/>
    <w:p>
      <w:pPr>
        <w:spacing w:after="0" w:line="78"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Committee (or such individual or individuals authorized by the Committee) may exercise discretion to determine payout achievement. Any portion of the TSR Performance Award that could have been earned in accordance with the provisions of this Section 4(e)(i) that is not earned as of the date of the Participant’s termination of service shall be immediately forfeited on the date of the Participant’s termination of service.</w:t>
      </w:r>
    </w:p>
    <w:p>
      <w:pPr>
        <w:spacing w:after="0" w:line="69" w:lineRule="exact"/>
        <w:rPr>
          <w:sz w:val="20"/>
          <w:szCs w:val="20"/>
          <w:color w:val="auto"/>
        </w:rPr>
      </w:pPr>
    </w:p>
    <w:p>
      <w:pPr>
        <w:ind w:right="20" w:firstLine="1926"/>
        <w:spacing w:after="0" w:line="268" w:lineRule="auto"/>
        <w:tabs>
          <w:tab w:leader="none" w:pos="2393" w:val="left"/>
        </w:tabs>
        <w:numPr>
          <w:ilvl w:val="2"/>
          <w:numId w:val="44"/>
        </w:numPr>
        <w:rPr>
          <w:rFonts w:ascii="Arial" w:cs="Arial" w:eastAsia="Arial" w:hAnsi="Arial"/>
          <w:sz w:val="20"/>
          <w:szCs w:val="20"/>
          <w:color w:val="auto"/>
        </w:rPr>
      </w:pPr>
      <w:r>
        <w:rPr>
          <w:rFonts w:ascii="Arial" w:cs="Arial" w:eastAsia="Arial" w:hAnsi="Arial"/>
          <w:sz w:val="20"/>
          <w:szCs w:val="20"/>
          <w:color w:val="auto"/>
        </w:rPr>
        <w:t>Upon termination of the Participant’s service with the Company and its Subsidiaries by the Company or its Subsidiaries without Cause prior to the FCF Vesting Date, a portion of the Participant’s FCF Performance Award shall vest based on achievement of the FCF Performance Criteria (as defined in Exhibit B) measured as of the date of the Participant’s termination of service, multiplied by a fraction, the numerator of which is the number of full months of Participant’s service during the FCF Performance Period and the denominator of which is total number of months in the FCF Performance Period. The vested portion of the FCF Performance Award shall be settled in shares of Company Stock as soon as practicable following the Participant’s termination of service, but no later than the later to occur of (A) the end of the calendar year in which such termination occurs or (B) the fifteenth day of the third calendar month following such termination. Notwithstanding the foregoing the Committee (or such individual or individuals authorized by the Committee) may exercise discretion to determine payout achievement. Any portion of the FCF Performance Award that could have been earned in accordance with the provisions of this Section 4(e)(ii) that is not earned as of the date of the Participant’s termination of service shall be immediately forfeited on the date of the Participant’s termination of service.</w:t>
      </w:r>
    </w:p>
    <w:p>
      <w:pPr>
        <w:spacing w:after="0" w:line="63" w:lineRule="exact"/>
        <w:rPr>
          <w:rFonts w:ascii="Arial" w:cs="Arial" w:eastAsia="Arial" w:hAnsi="Arial"/>
          <w:sz w:val="20"/>
          <w:szCs w:val="20"/>
          <w:color w:val="auto"/>
        </w:rPr>
      </w:pPr>
    </w:p>
    <w:p>
      <w:pPr>
        <w:ind w:right="80" w:firstLine="1926"/>
        <w:spacing w:after="0" w:line="257" w:lineRule="auto"/>
        <w:tabs>
          <w:tab w:leader="none" w:pos="2452" w:val="left"/>
        </w:tabs>
        <w:numPr>
          <w:ilvl w:val="2"/>
          <w:numId w:val="44"/>
        </w:numPr>
        <w:rPr>
          <w:rFonts w:ascii="Arial" w:cs="Arial" w:eastAsia="Arial" w:hAnsi="Arial"/>
          <w:sz w:val="21"/>
          <w:szCs w:val="21"/>
          <w:color w:val="auto"/>
        </w:rPr>
      </w:pPr>
      <w:r>
        <w:rPr>
          <w:rFonts w:ascii="Arial" w:cs="Arial" w:eastAsia="Arial" w:hAnsi="Arial"/>
          <w:sz w:val="21"/>
          <w:szCs w:val="21"/>
          <w:color w:val="auto"/>
        </w:rPr>
        <w:t>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Sections 4 and 5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74" w:lineRule="exact"/>
        <w:rPr>
          <w:rFonts w:ascii="Arial" w:cs="Arial" w:eastAsia="Arial" w:hAnsi="Arial"/>
          <w:sz w:val="21"/>
          <w:szCs w:val="21"/>
          <w:color w:val="auto"/>
        </w:rPr>
      </w:pPr>
    </w:p>
    <w:p>
      <w:pPr>
        <w:jc w:val="both"/>
        <w:ind w:right="180" w:firstLine="1286"/>
        <w:spacing w:after="0" w:line="261" w:lineRule="auto"/>
        <w:tabs>
          <w:tab w:leader="none" w:pos="1706"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any Other Reason</w:t>
      </w:r>
      <w:r>
        <w:rPr>
          <w:rFonts w:ascii="Arial" w:cs="Arial" w:eastAsia="Arial" w:hAnsi="Arial"/>
          <w:sz w:val="21"/>
          <w:szCs w:val="21"/>
          <w:color w:val="auto"/>
        </w:rPr>
        <w:t>. Unless otherwise provided in an individual agreement with the Participant, if the Participant has a termination of service with the Company and its Subsidiaries prior to the TSR Vesting Date or the FCF Vesting Date for any reason other than the reasons enumerated in Subparagraphs (a) through (e) above, the Participant’s Performance Award as of the date of termination of service shall be forfeited.</w:t>
      </w:r>
    </w:p>
    <w:p>
      <w:pPr>
        <w:spacing w:after="0" w:line="69" w:lineRule="exact"/>
        <w:rPr>
          <w:rFonts w:ascii="Arial" w:cs="Arial" w:eastAsia="Arial" w:hAnsi="Arial"/>
          <w:sz w:val="21"/>
          <w:szCs w:val="21"/>
          <w:color w:val="auto"/>
        </w:rPr>
      </w:pPr>
    </w:p>
    <w:p>
      <w:pPr>
        <w:ind w:right="180" w:firstLine="646"/>
        <w:spacing w:after="0" w:line="281" w:lineRule="auto"/>
        <w:tabs>
          <w:tab w:leader="none" w:pos="1066"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Notwithstanding anything to the contrary in the Plan, in the event of a Change in Control prior to the TSR Vesting Date or the FCF Vesting Date, as applicable, the provisions of this Section 5 shall apply.</w:t>
      </w:r>
    </w:p>
    <w:p>
      <w:pPr>
        <w:spacing w:after="0" w:line="47" w:lineRule="exact"/>
        <w:rPr>
          <w:rFonts w:ascii="Arial" w:cs="Arial" w:eastAsia="Arial" w:hAnsi="Arial"/>
          <w:sz w:val="21"/>
          <w:szCs w:val="21"/>
          <w:color w:val="auto"/>
        </w:rPr>
      </w:pPr>
    </w:p>
    <w:p>
      <w:pPr>
        <w:ind w:firstLine="1286"/>
        <w:spacing w:after="0" w:line="297" w:lineRule="auto"/>
        <w:tabs>
          <w:tab w:leader="none" w:pos="1729"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entire Performance Award is assumed or substituted (within the meaning of the Plan) in connection with such Change in Control, and the Participant incurs a termination of service from the Company and its Subsidiaries by the Company or its Subsidiary without Cause during the 24-month period following such Change in Control, then the restrictions, deferral limitations, payment conditions, and forfeiture conditions applicable to any portion of the Performance Award shall lapse and: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440" w:right="359" w:bottom="1440" w:gutter="0" w:footer="0" w:header="0"/>
        </w:sectPr>
      </w:pPr>
    </w:p>
    <w:bookmarkStart w:id="70" w:name="page71"/>
    <w:bookmarkEnd w:id="70"/>
    <w:p>
      <w:pPr>
        <w:spacing w:after="0" w:line="78" w:lineRule="exact"/>
        <w:rPr>
          <w:sz w:val="20"/>
          <w:szCs w:val="20"/>
          <w:color w:val="auto"/>
        </w:rPr>
      </w:pPr>
    </w:p>
    <w:p>
      <w:pPr>
        <w:ind w:left="-20" w:right="20" w:firstLine="1926"/>
        <w:spacing w:after="0" w:line="259" w:lineRule="auto"/>
        <w:tabs>
          <w:tab w:leader="none" w:pos="2314" w:val="left"/>
        </w:tabs>
        <w:numPr>
          <w:ilvl w:val="2"/>
          <w:numId w:val="47"/>
        </w:numPr>
        <w:rPr>
          <w:rFonts w:ascii="Arial" w:cs="Arial" w:eastAsia="Arial" w:hAnsi="Arial"/>
          <w:sz w:val="21"/>
          <w:szCs w:val="21"/>
          <w:color w:val="auto"/>
        </w:rPr>
      </w:pPr>
      <w:r>
        <w:rPr>
          <w:rFonts w:ascii="Arial" w:cs="Arial" w:eastAsia="Arial" w:hAnsi="Arial"/>
          <w:sz w:val="21"/>
          <w:szCs w:val="21"/>
          <w:color w:val="auto"/>
        </w:rPr>
        <w:t>the TSR Performance Award shall be settled in shares of Company Stock as soon as practicable following the Participant’s termination of service, but no later than the later to occur of the end of the calendar year in which such termination occurs or the fifteenth day of the third calendar month following such termination, based on the greater of (y) actual achievement of TSR Performance Criteria or (z) target achievement of the TSR Performance Criteria, in either case measured as of the date of such termination, and</w:t>
      </w:r>
    </w:p>
    <w:p>
      <w:pPr>
        <w:spacing w:after="0" w:line="69" w:lineRule="exact"/>
        <w:rPr>
          <w:rFonts w:ascii="Arial" w:cs="Arial" w:eastAsia="Arial" w:hAnsi="Arial"/>
          <w:sz w:val="21"/>
          <w:szCs w:val="21"/>
          <w:color w:val="auto"/>
        </w:rPr>
      </w:pPr>
    </w:p>
    <w:p>
      <w:pPr>
        <w:ind w:left="-20" w:right="260" w:firstLine="1926"/>
        <w:spacing w:after="0" w:line="275" w:lineRule="auto"/>
        <w:tabs>
          <w:tab w:leader="none" w:pos="2373" w:val="left"/>
        </w:tabs>
        <w:numPr>
          <w:ilvl w:val="2"/>
          <w:numId w:val="47"/>
        </w:numPr>
        <w:rPr>
          <w:rFonts w:ascii="Arial" w:cs="Arial" w:eastAsia="Arial" w:hAnsi="Arial"/>
          <w:sz w:val="20"/>
          <w:szCs w:val="20"/>
          <w:color w:val="auto"/>
        </w:rPr>
      </w:pPr>
      <w:r>
        <w:rPr>
          <w:rFonts w:ascii="Arial" w:cs="Arial" w:eastAsia="Arial" w:hAnsi="Arial"/>
          <w:sz w:val="20"/>
          <w:szCs w:val="20"/>
          <w:color w:val="auto"/>
        </w:rPr>
        <w:t>the FCF Performance Award shall be settled as soon as practicable following the Participant’s termination of service, but no later than the later to occur of the end of the calendar year in which such termination occurs or the fifteenth day of the third calendar month following such termination, with the number of shares equal to the number of shares of Company Stock subject to the FCF Performance Award multiplied by one (1) or, if greater, a multiple determined based upon achievement of the most recently approved estimate of Adjusted Free Cash Flow.</w:t>
      </w:r>
    </w:p>
    <w:p>
      <w:pPr>
        <w:spacing w:after="0" w:line="55" w:lineRule="exact"/>
        <w:rPr>
          <w:rFonts w:ascii="Arial" w:cs="Arial" w:eastAsia="Arial" w:hAnsi="Arial"/>
          <w:sz w:val="20"/>
          <w:szCs w:val="20"/>
          <w:color w:val="auto"/>
        </w:rPr>
      </w:pPr>
    </w:p>
    <w:p>
      <w:pPr>
        <w:ind w:left="-20" w:right="320" w:firstLine="1286"/>
        <w:spacing w:after="0" w:line="266" w:lineRule="auto"/>
        <w:tabs>
          <w:tab w:leader="none" w:pos="1721" w:val="left"/>
        </w:tabs>
        <w:numPr>
          <w:ilvl w:val="1"/>
          <w:numId w:val="48"/>
        </w:numPr>
        <w:rPr>
          <w:rFonts w:ascii="Arial" w:cs="Arial" w:eastAsia="Arial" w:hAnsi="Arial"/>
          <w:sz w:val="21"/>
          <w:szCs w:val="21"/>
          <w:color w:val="auto"/>
        </w:rPr>
      </w:pPr>
      <w:r>
        <w:rPr>
          <w:rFonts w:ascii="Arial" w:cs="Arial" w:eastAsia="Arial" w:hAnsi="Arial"/>
          <w:sz w:val="21"/>
          <w:szCs w:val="21"/>
          <w:color w:val="auto"/>
        </w:rPr>
        <w:t>if any portion of the Performance Award is not assumed or substituted in connection with such Change in Control, then the restrictions, deferral limitations, payment conditions, and forfeiture conditions applicable to any portion of the Performance Award shall lapse and:</w:t>
      </w:r>
    </w:p>
    <w:p>
      <w:pPr>
        <w:spacing w:after="0" w:line="63" w:lineRule="exact"/>
        <w:rPr>
          <w:rFonts w:ascii="Arial" w:cs="Arial" w:eastAsia="Arial" w:hAnsi="Arial"/>
          <w:sz w:val="21"/>
          <w:szCs w:val="21"/>
          <w:color w:val="auto"/>
        </w:rPr>
      </w:pPr>
    </w:p>
    <w:p>
      <w:pPr>
        <w:ind w:left="-20" w:right="380" w:firstLine="1926"/>
        <w:spacing w:after="0" w:line="266" w:lineRule="auto"/>
        <w:tabs>
          <w:tab w:leader="none" w:pos="2314" w:val="left"/>
        </w:tabs>
        <w:numPr>
          <w:ilvl w:val="2"/>
          <w:numId w:val="48"/>
        </w:numPr>
        <w:rPr>
          <w:rFonts w:ascii="Arial" w:cs="Arial" w:eastAsia="Arial" w:hAnsi="Arial"/>
          <w:sz w:val="21"/>
          <w:szCs w:val="21"/>
          <w:color w:val="auto"/>
        </w:rPr>
      </w:pPr>
      <w:r>
        <w:rPr>
          <w:rFonts w:ascii="Arial" w:cs="Arial" w:eastAsia="Arial" w:hAnsi="Arial"/>
          <w:sz w:val="21"/>
          <w:szCs w:val="21"/>
          <w:color w:val="auto"/>
        </w:rPr>
        <w:t>the TSR Performance Award shall be settled in shares of Company Stock immediately prior to the Change in Control based on the greater of (1) actual achievement of TSR Performance Criteria or (2) target achievement of the TSR Performance Criteria, in either case measured as of the date of the Change in Control, and</w:t>
      </w:r>
    </w:p>
    <w:p>
      <w:pPr>
        <w:spacing w:after="0" w:line="63" w:lineRule="exact"/>
        <w:rPr>
          <w:rFonts w:ascii="Arial" w:cs="Arial" w:eastAsia="Arial" w:hAnsi="Arial"/>
          <w:sz w:val="21"/>
          <w:szCs w:val="21"/>
          <w:color w:val="auto"/>
        </w:rPr>
      </w:pPr>
    </w:p>
    <w:p>
      <w:pPr>
        <w:ind w:left="-20" w:firstLine="1926"/>
        <w:spacing w:after="0" w:line="307" w:lineRule="auto"/>
        <w:tabs>
          <w:tab w:leader="none" w:pos="2373" w:val="left"/>
        </w:tabs>
        <w:numPr>
          <w:ilvl w:val="2"/>
          <w:numId w:val="48"/>
        </w:numPr>
        <w:rPr>
          <w:rFonts w:ascii="Arial" w:cs="Arial" w:eastAsia="Arial" w:hAnsi="Arial"/>
          <w:sz w:val="19"/>
          <w:szCs w:val="19"/>
          <w:color w:val="auto"/>
        </w:rPr>
      </w:pPr>
      <w:r>
        <w:rPr>
          <w:rFonts w:ascii="Arial" w:cs="Arial" w:eastAsia="Arial" w:hAnsi="Arial"/>
          <w:sz w:val="19"/>
          <w:szCs w:val="19"/>
          <w:color w:val="auto"/>
        </w:rPr>
        <w:t>the FCF Performance Award shall be settled immediately prior to the Change in Control, with the number of shares equal to the number of shares of Company Stock subject to the FCF Performance Award multiplied by one (1) or, if greater, a multiple determined based upon achievement of the most recently approved estimate of Adjusted Free Cash Flow.</w:t>
      </w:r>
    </w:p>
    <w:p>
      <w:pPr>
        <w:spacing w:after="0" w:line="27" w:lineRule="exact"/>
        <w:rPr>
          <w:rFonts w:ascii="Arial" w:cs="Arial" w:eastAsia="Arial" w:hAnsi="Arial"/>
          <w:sz w:val="19"/>
          <w:szCs w:val="19"/>
          <w:color w:val="auto"/>
        </w:rPr>
      </w:pPr>
    </w:p>
    <w:p>
      <w:pPr>
        <w:jc w:val="both"/>
        <w:ind w:left="-20" w:right="20" w:firstLine="1286"/>
        <w:spacing w:after="0" w:line="266" w:lineRule="auto"/>
        <w:tabs>
          <w:tab w:leader="none" w:pos="1698" w:val="left"/>
        </w:tabs>
        <w:numPr>
          <w:ilvl w:val="1"/>
          <w:numId w:val="48"/>
        </w:numPr>
        <w:rPr>
          <w:rFonts w:ascii="Arial" w:cs="Arial" w:eastAsia="Arial" w:hAnsi="Arial"/>
          <w:sz w:val="21"/>
          <w:szCs w:val="21"/>
          <w:color w:val="auto"/>
        </w:rPr>
      </w:pPr>
      <w:r>
        <w:rPr>
          <w:rFonts w:ascii="Arial" w:cs="Arial" w:eastAsia="Arial" w:hAnsi="Arial"/>
          <w:sz w:val="21"/>
          <w:szCs w:val="21"/>
          <w:color w:val="auto"/>
        </w:rPr>
        <w:t>Any portion of the Performance Award that could have been earned in accordance with Section 5(a) or Section 5(b) that is not earned shall be immediately forfeited on the date of termination of service or the date the Change in Control occurs, as applicable.</w:t>
      </w:r>
    </w:p>
    <w:p>
      <w:pPr>
        <w:spacing w:after="0" w:line="63" w:lineRule="exact"/>
        <w:rPr>
          <w:rFonts w:ascii="Arial" w:cs="Arial" w:eastAsia="Arial" w:hAnsi="Arial"/>
          <w:sz w:val="21"/>
          <w:szCs w:val="21"/>
          <w:color w:val="auto"/>
        </w:rPr>
      </w:pPr>
    </w:p>
    <w:p>
      <w:pPr>
        <w:ind w:left="-20" w:firstLine="646"/>
        <w:spacing w:after="0" w:line="269" w:lineRule="auto"/>
        <w:tabs>
          <w:tab w:leader="none" w:pos="104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Change in Control Definition</w:t>
      </w:r>
      <w:r>
        <w:rPr>
          <w:rFonts w:ascii="Arial" w:cs="Arial" w:eastAsia="Arial" w:hAnsi="Arial"/>
          <w:sz w:val="20"/>
          <w:szCs w:val="20"/>
          <w:color w:val="auto"/>
        </w:rPr>
        <w:t>. For purposes of this Award Agreement, “Change in Control” shall have the meaning set forth in the Plan, provided that, notwithstanding anything contrary in the Plan: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 and (iii) for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00"/>
          </w:cols>
          <w:pgMar w:left="340" w:top="1440" w:right="359" w:bottom="1440" w:gutter="0" w:footer="0" w:header="0"/>
        </w:sectPr>
      </w:pPr>
    </w:p>
    <w:bookmarkStart w:id="71" w:name="page72"/>
    <w:bookmarkEnd w:id="71"/>
    <w:p>
      <w:pPr>
        <w:spacing w:after="0" w:line="78" w:lineRule="exact"/>
        <w:rPr>
          <w:sz w:val="20"/>
          <w:szCs w:val="20"/>
          <w:color w:val="auto"/>
        </w:rPr>
      </w:pPr>
    </w:p>
    <w:p>
      <w:pPr>
        <w:ind w:right="100"/>
        <w:spacing w:after="0" w:line="307" w:lineRule="auto"/>
        <w:rPr>
          <w:sz w:val="20"/>
          <w:szCs w:val="20"/>
          <w:color w:val="auto"/>
        </w:rPr>
      </w:pPr>
      <w:r>
        <w:rPr>
          <w:rFonts w:ascii="Arial" w:cs="Arial" w:eastAsia="Arial" w:hAnsi="Arial"/>
          <w:sz w:val="19"/>
          <w:szCs w:val="19"/>
          <w:color w:val="auto"/>
        </w:rPr>
        <w:t>avoidance of doubt, any one or more of the events that may result in a “Change in Control” may be effected pursuant to a takeover under Irish takeover rules, a compromise or arrangement sanctioned by the court under Chapter 1 of Part 9 of the Companies Act 2014 of the Republic of Ireland or otherwise under Part 9 of the Companies Act 2014 of the Republic of Ireland.</w:t>
      </w:r>
    </w:p>
    <w:p>
      <w:pPr>
        <w:spacing w:after="0" w:line="28" w:lineRule="exact"/>
        <w:rPr>
          <w:sz w:val="20"/>
          <w:szCs w:val="20"/>
          <w:color w:val="auto"/>
        </w:rPr>
      </w:pPr>
    </w:p>
    <w:p>
      <w:pPr>
        <w:ind w:right="40" w:firstLine="646"/>
        <w:spacing w:after="0" w:line="266" w:lineRule="auto"/>
        <w:tabs>
          <w:tab w:leader="none" w:pos="1066"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 Shareholder Rights Prior to Delivery</w:t>
      </w:r>
      <w:r>
        <w:rPr>
          <w:rFonts w:ascii="Arial" w:cs="Arial" w:eastAsia="Arial" w:hAnsi="Arial"/>
          <w:sz w:val="21"/>
          <w:szCs w:val="21"/>
          <w:color w:val="auto"/>
        </w:rPr>
        <w:t>. The Participant shall not have any rights of a shareholder (including the right to distributions or dividends) with respect to the Performance Award until shares of Company Stock are issued pursuant to the terms of this Award Agreement.</w:t>
      </w:r>
    </w:p>
    <w:p>
      <w:pPr>
        <w:spacing w:after="0" w:line="63" w:lineRule="exact"/>
        <w:rPr>
          <w:rFonts w:ascii="Arial" w:cs="Arial" w:eastAsia="Arial" w:hAnsi="Arial"/>
          <w:sz w:val="21"/>
          <w:szCs w:val="21"/>
          <w:color w:val="auto"/>
        </w:rPr>
      </w:pPr>
    </w:p>
    <w:p>
      <w:pPr>
        <w:ind w:firstLine="646"/>
        <w:spacing w:after="0" w:line="278" w:lineRule="auto"/>
        <w:tabs>
          <w:tab w:leader="none" w:pos="106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Performance Award Agreement Subject to Plan</w:t>
      </w:r>
      <w:r>
        <w:rPr>
          <w:rFonts w:ascii="Arial" w:cs="Arial" w:eastAsia="Arial" w:hAnsi="Arial"/>
          <w:sz w:val="20"/>
          <w:szCs w:val="20"/>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 the Plan shall govern, except as expressly provided by Sections 5 and 6 of this Award Agreement.</w:t>
      </w:r>
    </w:p>
    <w:p>
      <w:pPr>
        <w:spacing w:after="0" w:line="53" w:lineRule="exact"/>
        <w:rPr>
          <w:rFonts w:ascii="Arial" w:cs="Arial" w:eastAsia="Arial" w:hAnsi="Arial"/>
          <w:sz w:val="20"/>
          <w:szCs w:val="20"/>
          <w:color w:val="auto"/>
        </w:rPr>
      </w:pPr>
    </w:p>
    <w:p>
      <w:pPr>
        <w:ind w:right="20" w:firstLine="646"/>
        <w:spacing w:after="0" w:line="261" w:lineRule="auto"/>
        <w:tabs>
          <w:tab w:leader="none" w:pos="1066"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 Rights to Continuation of Service</w:t>
      </w:r>
      <w:r>
        <w:rPr>
          <w:rFonts w:ascii="Arial" w:cs="Arial" w:eastAsia="Arial" w:hAnsi="Arial"/>
          <w:sz w:val="21"/>
          <w:szCs w:val="21"/>
          <w:color w:val="auto"/>
        </w:rPr>
        <w:t>. Nothing in the Plan or this Award Agreement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at any time for any reason whatsoever, with or without Cause.</w:t>
      </w:r>
    </w:p>
    <w:p>
      <w:pPr>
        <w:spacing w:after="0" w:line="69" w:lineRule="exact"/>
        <w:rPr>
          <w:rFonts w:ascii="Arial" w:cs="Arial" w:eastAsia="Arial" w:hAnsi="Arial"/>
          <w:sz w:val="21"/>
          <w:szCs w:val="21"/>
          <w:color w:val="auto"/>
        </w:rPr>
      </w:pPr>
    </w:p>
    <w:p>
      <w:pPr>
        <w:ind w:right="20" w:firstLine="646"/>
        <w:spacing w:after="0" w:line="256" w:lineRule="auto"/>
        <w:tabs>
          <w:tab w:leader="none" w:pos="1119"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be entitled to require a cash payment by or on behalf of the Participant and/or to deduct from the Performance Award granted hereunder or other compensation payable to the Participant any sums required by federal, state or local tax law to be withheld or to satisfy any applicable payroll deductions with respect to the vesting of, lapse of restrictions on, or payment of the Performance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76" w:lineRule="exact"/>
        <w:rPr>
          <w:rFonts w:ascii="Arial" w:cs="Arial" w:eastAsia="Arial" w:hAnsi="Arial"/>
          <w:sz w:val="21"/>
          <w:szCs w:val="21"/>
          <w:color w:val="auto"/>
        </w:rPr>
      </w:pPr>
    </w:p>
    <w:p>
      <w:pPr>
        <w:ind w:right="80" w:firstLine="646"/>
        <w:spacing w:after="0" w:line="284" w:lineRule="auto"/>
        <w:tabs>
          <w:tab w:leader="none" w:pos="111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The Performance Award is intended to comply with Code Section 409A to the extent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78"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74" w:lineRule="exact"/>
        <w:rPr>
          <w:sz w:val="20"/>
          <w:szCs w:val="20"/>
          <w:color w:val="auto"/>
        </w:rPr>
      </w:pPr>
    </w:p>
    <w:p>
      <w:pPr>
        <w:ind w:right="60" w:firstLine="646"/>
        <w:spacing w:after="0" w:line="266" w:lineRule="auto"/>
        <w:tabs>
          <w:tab w:leader="none" w:pos="111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Award Agreement shall be governed by, interpreted under, and construed and enforced in accordance with the internal laws, and not the laws pertaining to conflicts or choice of laws, of the State of Delaware applicable to agreements made and to be performed wholly within the State of Delaware.</w:t>
      </w:r>
    </w:p>
    <w:p>
      <w:pPr>
        <w:spacing w:after="0" w:line="63" w:lineRule="exact"/>
        <w:rPr>
          <w:rFonts w:ascii="Arial" w:cs="Arial" w:eastAsia="Arial" w:hAnsi="Arial"/>
          <w:sz w:val="21"/>
          <w:szCs w:val="21"/>
          <w:color w:val="auto"/>
        </w:rPr>
      </w:pPr>
    </w:p>
    <w:p>
      <w:pPr>
        <w:ind w:right="180" w:firstLine="646"/>
        <w:spacing w:after="0" w:line="266" w:lineRule="auto"/>
        <w:tabs>
          <w:tab w:leader="none" w:pos="111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Binding on Successors</w:t>
      </w:r>
      <w:r>
        <w:rPr>
          <w:rFonts w:ascii="Arial" w:cs="Arial" w:eastAsia="Arial" w:hAnsi="Arial"/>
          <w:sz w:val="21"/>
          <w:szCs w:val="21"/>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63" w:lineRule="exact"/>
        <w:rPr>
          <w:rFonts w:ascii="Arial" w:cs="Arial" w:eastAsia="Arial" w:hAnsi="Arial"/>
          <w:sz w:val="21"/>
          <w:szCs w:val="21"/>
          <w:color w:val="auto"/>
        </w:rPr>
      </w:pPr>
    </w:p>
    <w:p>
      <w:pPr>
        <w:ind w:right="220" w:firstLine="646"/>
        <w:spacing w:after="0" w:line="281" w:lineRule="auto"/>
        <w:tabs>
          <w:tab w:leader="none" w:pos="111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No Assignment</w:t>
      </w:r>
      <w:r>
        <w:rPr>
          <w:rFonts w:ascii="Arial" w:cs="Arial" w:eastAsia="Arial" w:hAnsi="Arial"/>
          <w:sz w:val="21"/>
          <w:szCs w:val="21"/>
          <w:color w:val="auto"/>
        </w:rPr>
        <w:t>. Notwithstanding anything to the contrary in this Award Agreement, neither this Award Agreement nor any rights granted herein shall be assignable by the Participant.</w:t>
      </w:r>
    </w:p>
    <w:p>
      <w:pPr>
        <w:spacing w:after="0" w:line="47" w:lineRule="exact"/>
        <w:rPr>
          <w:rFonts w:ascii="Arial" w:cs="Arial" w:eastAsia="Arial" w:hAnsi="Arial"/>
          <w:sz w:val="21"/>
          <w:szCs w:val="21"/>
          <w:color w:val="auto"/>
        </w:rPr>
      </w:pPr>
    </w:p>
    <w:p>
      <w:pPr>
        <w:ind w:firstLine="646"/>
        <w:spacing w:after="0" w:line="286" w:lineRule="auto"/>
        <w:tabs>
          <w:tab w:leader="none" w:pos="11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Necessary Acts</w:t>
      </w:r>
      <w:r>
        <w:rPr>
          <w:rFonts w:ascii="Arial" w:cs="Arial" w:eastAsia="Arial" w:hAnsi="Arial"/>
          <w:sz w:val="20"/>
          <w:szCs w:val="20"/>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Irish law.</w:t>
      </w:r>
    </w:p>
    <w:p>
      <w:pPr>
        <w:spacing w:after="0" w:line="44" w:lineRule="exact"/>
        <w:rPr>
          <w:rFonts w:ascii="Arial" w:cs="Arial" w:eastAsia="Arial" w:hAnsi="Arial"/>
          <w:sz w:val="20"/>
          <w:szCs w:val="20"/>
          <w:color w:val="auto"/>
        </w:rPr>
      </w:pPr>
    </w:p>
    <w:p>
      <w:pPr>
        <w:ind w:right="280" w:firstLine="646"/>
        <w:spacing w:after="0" w:line="281" w:lineRule="auto"/>
        <w:tabs>
          <w:tab w:leader="none" w:pos="111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Entire Performance Award Agreement</w:t>
      </w:r>
      <w:r>
        <w:rPr>
          <w:rFonts w:ascii="Arial" w:cs="Arial" w:eastAsia="Arial" w:hAnsi="Arial"/>
          <w:sz w:val="21"/>
          <w:szCs w:val="21"/>
          <w:color w:val="auto"/>
        </w:rPr>
        <w:t>. This Award Agreement (including Exhibits A and B and Annex A) and the Plan contain the entire agreement and understanding among the parties as to the subject matter hereof.</w:t>
      </w:r>
    </w:p>
    <w:p>
      <w:pPr>
        <w:spacing w:after="0" w:line="47" w:lineRule="exact"/>
        <w:rPr>
          <w:rFonts w:ascii="Arial" w:cs="Arial" w:eastAsia="Arial" w:hAnsi="Arial"/>
          <w:sz w:val="21"/>
          <w:szCs w:val="21"/>
          <w:color w:val="auto"/>
        </w:rPr>
      </w:pPr>
    </w:p>
    <w:p>
      <w:pPr>
        <w:ind w:right="20" w:firstLine="646"/>
        <w:spacing w:after="0" w:line="281" w:lineRule="auto"/>
        <w:tabs>
          <w:tab w:leader="none" w:pos="111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Headings are used solely for the convenience of the parties and shall not be deemed to be a limitation upon or descriptive of the contents of any such Paragraph.</w:t>
      </w:r>
    </w:p>
    <w:p>
      <w:pPr>
        <w:spacing w:after="0" w:line="47" w:lineRule="exact"/>
        <w:rPr>
          <w:rFonts w:ascii="Arial" w:cs="Arial" w:eastAsia="Arial" w:hAnsi="Arial"/>
          <w:sz w:val="21"/>
          <w:szCs w:val="21"/>
          <w:color w:val="auto"/>
        </w:rPr>
      </w:pPr>
    </w:p>
    <w:p>
      <w:pPr>
        <w:ind w:right="20" w:firstLine="646"/>
        <w:spacing w:after="0" w:line="281" w:lineRule="auto"/>
        <w:tabs>
          <w:tab w:leader="none" w:pos="111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Award Agreement may be executed in any number of counterparts, each of which shall be deemed to be an original and all of which together shall be deemed to be one and the same instrument.</w:t>
      </w:r>
    </w:p>
    <w:p>
      <w:pPr>
        <w:spacing w:after="0" w:line="47" w:lineRule="exact"/>
        <w:rPr>
          <w:rFonts w:ascii="Arial" w:cs="Arial" w:eastAsia="Arial" w:hAnsi="Arial"/>
          <w:sz w:val="21"/>
          <w:szCs w:val="21"/>
          <w:color w:val="auto"/>
        </w:rPr>
      </w:pPr>
    </w:p>
    <w:p>
      <w:pPr>
        <w:ind w:right="80" w:firstLine="646"/>
        <w:spacing w:after="0" w:line="266" w:lineRule="auto"/>
        <w:tabs>
          <w:tab w:leader="none" w:pos="111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80"/>
          </w:cols>
          <w:pgMar w:left="320" w:top="1440" w:right="399" w:bottom="1440" w:gutter="0" w:footer="0" w:header="0"/>
        </w:sectPr>
      </w:pPr>
    </w:p>
    <w:bookmarkStart w:id="73" w:name="page74"/>
    <w:bookmarkEnd w:id="73"/>
    <w:p>
      <w:pPr>
        <w:spacing w:after="0" w:line="7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Company:</w:t>
      </w:r>
    </w:p>
    <w:p>
      <w:pPr>
        <w:spacing w:after="0" w:line="118"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Endo International plc</w:t>
      </w:r>
    </w:p>
    <w:p>
      <w:pPr>
        <w:spacing w:after="0" w:line="3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c/o Endo Health Solutions Inc.</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1400 Atwater Drive</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Malvern, PA 19355</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Attention: Treasurer</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the Participant:</w:t>
      </w:r>
    </w:p>
    <w:p>
      <w:pPr>
        <w:spacing w:after="0" w:line="118"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 the address on file with the Company.</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Either party hereto may change such party’s address for notices by notice duly given pursuant hereto.</w:t>
      </w:r>
    </w:p>
    <w:p>
      <w:pPr>
        <w:spacing w:after="0" w:line="11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20.</w:t>
      </w:r>
      <w:r>
        <w:rPr>
          <w:sz w:val="20"/>
          <w:szCs w:val="20"/>
          <w:color w:val="auto"/>
        </w:rPr>
        <w:tab/>
      </w:r>
      <w:r>
        <w:rPr>
          <w:rFonts w:ascii="Arial" w:cs="Arial" w:eastAsia="Arial" w:hAnsi="Arial"/>
          <w:sz w:val="19"/>
          <w:szCs w:val="19"/>
          <w:u w:val="single" w:color="auto"/>
          <w:color w:val="auto"/>
        </w:rPr>
        <w:t>Amendment</w:t>
      </w:r>
      <w:r>
        <w:rPr>
          <w:rFonts w:ascii="Arial" w:cs="Arial" w:eastAsia="Arial" w:hAnsi="Arial"/>
          <w:sz w:val="19"/>
          <w:szCs w:val="19"/>
          <w:color w:val="auto"/>
        </w:rPr>
        <w:t>. No amendment or modification hereof shall be valid unless it shall be in writing and signed by all parties</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hereto.</w:t>
      </w:r>
    </w:p>
    <w:p>
      <w:pPr>
        <w:spacing w:after="0" w:line="100" w:lineRule="exact"/>
        <w:rPr>
          <w:sz w:val="20"/>
          <w:szCs w:val="20"/>
          <w:color w:val="auto"/>
        </w:rPr>
      </w:pPr>
    </w:p>
    <w:p>
      <w:pPr>
        <w:ind w:right="160" w:firstLine="646"/>
        <w:spacing w:after="0" w:line="266" w:lineRule="auto"/>
        <w:tabs>
          <w:tab w:leader="none" w:pos="111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Participant hereby acknowledges receipt of a copy of the Plan and this Award Agreement. The Participant has read and understands the terms and provisions thereof, and accepts the Performance Award subject to all the terms and conditions of the Plan and this Award Agreement.</w:t>
      </w:r>
    </w:p>
    <w:p>
      <w:pPr>
        <w:spacing w:after="0" w:line="63" w:lineRule="exact"/>
        <w:rPr>
          <w:rFonts w:ascii="Arial" w:cs="Arial" w:eastAsia="Arial" w:hAnsi="Arial"/>
          <w:sz w:val="21"/>
          <w:szCs w:val="21"/>
          <w:color w:val="auto"/>
        </w:rPr>
      </w:pPr>
    </w:p>
    <w:p>
      <w:pPr>
        <w:ind w:right="60" w:firstLine="646"/>
        <w:spacing w:after="0" w:line="259" w:lineRule="auto"/>
        <w:tabs>
          <w:tab w:leader="none" w:pos="111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No Compensation for Loss of Rights</w:t>
      </w:r>
      <w:r>
        <w:rPr>
          <w:rFonts w:ascii="Arial" w:cs="Arial" w:eastAsia="Arial" w:hAnsi="Arial"/>
          <w:sz w:val="21"/>
          <w:szCs w:val="21"/>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69" w:lineRule="exact"/>
        <w:rPr>
          <w:rFonts w:ascii="Arial" w:cs="Arial" w:eastAsia="Arial" w:hAnsi="Arial"/>
          <w:sz w:val="21"/>
          <w:szCs w:val="21"/>
          <w:color w:val="auto"/>
        </w:rPr>
      </w:pPr>
    </w:p>
    <w:p>
      <w:pPr>
        <w:ind w:right="40" w:firstLine="646"/>
        <w:spacing w:after="0" w:line="257" w:lineRule="auto"/>
        <w:tabs>
          <w:tab w:leader="none" w:pos="111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All the terms and provisions of this Award Agreement are distinct and severable, and if any term or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74" w:lineRule="exact"/>
        <w:rPr>
          <w:rFonts w:ascii="Arial" w:cs="Arial" w:eastAsia="Arial" w:hAnsi="Arial"/>
          <w:sz w:val="21"/>
          <w:szCs w:val="21"/>
          <w:color w:val="auto"/>
        </w:rPr>
      </w:pPr>
    </w:p>
    <w:p>
      <w:pPr>
        <w:ind w:right="140" w:firstLine="646"/>
        <w:spacing w:after="0" w:line="286" w:lineRule="auto"/>
        <w:tabs>
          <w:tab w:leader="none" w:pos="1119"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Data Protection</w:t>
      </w:r>
      <w:r>
        <w:rPr>
          <w:rFonts w:ascii="Arial" w:cs="Arial" w:eastAsia="Arial" w:hAnsi="Arial"/>
          <w:sz w:val="19"/>
          <w:szCs w:val="19"/>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 including to a country which may not have the same level of data protection laws as his/her home country. The Participant acknowledges that s/he has the right to request a list of the names and addresses of any potential recipients of the Information and to review 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74" w:name="page75"/>
    <w:bookmarkEnd w:id="74"/>
    <w:p>
      <w:pPr>
        <w:spacing w:after="0" w:line="78" w:lineRule="exact"/>
        <w:rPr>
          <w:sz w:val="20"/>
          <w:szCs w:val="20"/>
          <w:color w:val="auto"/>
        </w:rPr>
      </w:pPr>
    </w:p>
    <w:p>
      <w:pPr>
        <w:ind w:right="280"/>
        <w:spacing w:after="0" w:line="266" w:lineRule="auto"/>
        <w:rPr>
          <w:sz w:val="20"/>
          <w:szCs w:val="20"/>
          <w:color w:val="auto"/>
        </w:rPr>
      </w:pPr>
      <w:r>
        <w:rPr>
          <w:rFonts w:ascii="Arial" w:cs="Arial" w:eastAsia="Arial" w:hAnsi="Arial"/>
          <w:sz w:val="21"/>
          <w:szCs w:val="21"/>
          <w:color w:val="auto"/>
        </w:rPr>
        <w:t>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63" w:lineRule="exact"/>
        <w:rPr>
          <w:sz w:val="20"/>
          <w:szCs w:val="20"/>
          <w:color w:val="auto"/>
        </w:rPr>
      </w:pPr>
    </w:p>
    <w:p>
      <w:pPr>
        <w:ind w:right="100" w:firstLine="646"/>
        <w:spacing w:after="0" w:line="266" w:lineRule="auto"/>
        <w:tabs>
          <w:tab w:leader="none" w:pos="1119"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Additional Matters</w:t>
      </w:r>
      <w:r>
        <w:rPr>
          <w:rFonts w:ascii="Arial" w:cs="Arial" w:eastAsia="Arial" w:hAnsi="Arial"/>
          <w:sz w:val="21"/>
          <w:szCs w:val="21"/>
          <w:color w:val="auto"/>
        </w:rPr>
        <w:t>. This Award Agreement is intended to comply with the applicable laws of any country or jurisdiction where the Performance Award is granted under the Plan, and all provisions hereof shall be construed in a manner to so comply. The following provisions apply to Participants providing service in the country noted:</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Canada: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 above shall be amended to add the following language at the end thereof as a new sub-section (g):</w:t>
      </w:r>
    </w:p>
    <w:p>
      <w:pPr>
        <w:spacing w:after="0" w:line="118" w:lineRule="exact"/>
        <w:rPr>
          <w:sz w:val="20"/>
          <w:szCs w:val="20"/>
          <w:color w:val="auto"/>
        </w:rPr>
      </w:pPr>
    </w:p>
    <w:p>
      <w:pPr>
        <w:ind w:left="1280" w:right="200" w:firstLine="6"/>
        <w:spacing w:after="0" w:line="266" w:lineRule="auto"/>
        <w:tabs>
          <w:tab w:leader="none" w:pos="1582"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10 above shall be deleted in its entirety and replaced with the following language:</w:t>
      </w:r>
    </w:p>
    <w:p>
      <w:pPr>
        <w:spacing w:after="0" w:line="118" w:lineRule="exact"/>
        <w:rPr>
          <w:sz w:val="20"/>
          <w:szCs w:val="20"/>
          <w:color w:val="auto"/>
        </w:rPr>
      </w:pPr>
    </w:p>
    <w:p>
      <w:pPr>
        <w:ind w:left="1280" w:right="60"/>
        <w:spacing w:after="0" w:line="256" w:lineRule="auto"/>
        <w:rPr>
          <w:sz w:val="20"/>
          <w:szCs w:val="20"/>
          <w:color w:val="auto"/>
        </w:rPr>
      </w:pPr>
      <w:r>
        <w:rPr>
          <w:rFonts w:ascii="Arial" w:cs="Arial" w:eastAsia="Arial" w:hAnsi="Arial"/>
          <w:sz w:val="21"/>
          <w:szCs w:val="21"/>
          <w:color w:val="auto"/>
        </w:rPr>
        <w:t>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Performance Award.</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India:</w:t>
      </w:r>
    </w:p>
    <w:p>
      <w:pPr>
        <w:spacing w:after="0" w:line="124" w:lineRule="exact"/>
        <w:rPr>
          <w:sz w:val="20"/>
          <w:szCs w:val="20"/>
          <w:color w:val="auto"/>
        </w:rPr>
      </w:pPr>
    </w:p>
    <w:p>
      <w:pPr>
        <w:ind w:right="520"/>
        <w:spacing w:after="0" w:line="281" w:lineRule="auto"/>
        <w:rPr>
          <w:sz w:val="20"/>
          <w:szCs w:val="20"/>
          <w:color w:val="auto"/>
        </w:rPr>
      </w:pPr>
      <w:r>
        <w:rPr>
          <w:rFonts w:ascii="Arial" w:cs="Arial" w:eastAsia="Arial" w:hAnsi="Arial"/>
          <w:sz w:val="21"/>
          <w:szCs w:val="21"/>
          <w:color w:val="auto"/>
        </w:rPr>
        <w:t>As used herein, “Participant” shall have the meaning set forth in the Plan, except the term shall not include consultants of any Subsidiary in India.</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Section 4(b) shall be deleted in its entirety and replaced with the following language:</w:t>
      </w:r>
    </w:p>
    <w:p>
      <w:pPr>
        <w:spacing w:after="0" w:line="118" w:lineRule="exact"/>
        <w:rPr>
          <w:sz w:val="20"/>
          <w:szCs w:val="20"/>
          <w:color w:val="auto"/>
        </w:rPr>
      </w:pPr>
    </w:p>
    <w:p>
      <w:pPr>
        <w:ind w:left="1280" w:right="20"/>
        <w:spacing w:after="0" w:line="257" w:lineRule="auto"/>
        <w:rPr>
          <w:sz w:val="20"/>
          <w:szCs w:val="20"/>
          <w:color w:val="auto"/>
        </w:rPr>
      </w:pPr>
      <w:r>
        <w:rPr>
          <w:rFonts w:ascii="Arial" w:cs="Arial" w:eastAsia="Arial" w:hAnsi="Arial"/>
          <w:sz w:val="21"/>
          <w:szCs w:val="21"/>
          <w:u w:val="single" w:color="auto"/>
          <w:color w:val="auto"/>
        </w:rPr>
        <w:t>Termination of Service on Account of Death</w:t>
      </w:r>
      <w:r>
        <w:rPr>
          <w:rFonts w:ascii="Arial" w:cs="Arial" w:eastAsia="Arial" w:hAnsi="Arial"/>
          <w:sz w:val="21"/>
          <w:szCs w:val="21"/>
          <w:color w:val="auto"/>
        </w:rPr>
        <w:t>. Upon termination of the Participant’s service on account of death prior to the either the TSR Vesting Date or the FCF Vesting Date, the Participant’s Performance Award shall immediately vest in his legal heirs or nominees, subject to fulfilment of the performance conditions specified in Exhibits A and B and shall be settled in shares of Company Stock for the benefit of the Participant’s estate no later than the later of the end of the calendar year in which the Participant’s death occurs or the fifteenth day of the third calendar month following the Participant’s death.</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Section 4(c) shall be deleted in its entirety and replaced with the following language:</w:t>
      </w:r>
    </w:p>
    <w:p>
      <w:pPr>
        <w:spacing w:after="0" w:line="118" w:lineRule="exact"/>
        <w:rPr>
          <w:sz w:val="20"/>
          <w:szCs w:val="20"/>
          <w:color w:val="auto"/>
        </w:rPr>
      </w:pPr>
    </w:p>
    <w:p>
      <w:pPr>
        <w:ind w:left="1280"/>
        <w:spacing w:after="0" w:line="281" w:lineRule="auto"/>
        <w:rPr>
          <w:sz w:val="20"/>
          <w:szCs w:val="20"/>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75" w:name="page76"/>
    <w:bookmarkEnd w:id="75"/>
    <w:p>
      <w:pPr>
        <w:spacing w:after="0" w:line="78" w:lineRule="exact"/>
        <w:rPr>
          <w:sz w:val="20"/>
          <w:szCs w:val="20"/>
          <w:color w:val="auto"/>
        </w:rPr>
      </w:pPr>
    </w:p>
    <w:p>
      <w:pPr>
        <w:jc w:val="both"/>
        <w:ind w:left="1280" w:right="60"/>
        <w:spacing w:after="0" w:line="266" w:lineRule="auto"/>
        <w:rPr>
          <w:sz w:val="20"/>
          <w:szCs w:val="20"/>
          <w:color w:val="auto"/>
        </w:rPr>
      </w:pPr>
      <w:r>
        <w:rPr>
          <w:rFonts w:ascii="Arial" w:cs="Arial" w:eastAsia="Arial" w:hAnsi="Arial"/>
          <w:sz w:val="21"/>
          <w:szCs w:val="21"/>
          <w:color w:val="auto"/>
        </w:rPr>
        <w:t>the unvested portion, if any, of the Participant’s Performance Award as of the date of termination shall stand vested on the date of termination of service, subject to the fulfilment of the performance conditions specified in Exhibits A and B.</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4(d) shall be deleted in its entirety and replaced with the following language:</w:t>
      </w:r>
    </w:p>
    <w:p>
      <w:pPr>
        <w:spacing w:after="0" w:line="118" w:lineRule="exact"/>
        <w:rPr>
          <w:sz w:val="20"/>
          <w:szCs w:val="20"/>
          <w:color w:val="auto"/>
        </w:rPr>
      </w:pPr>
    </w:p>
    <w:p>
      <w:pPr>
        <w:ind w:left="1280"/>
        <w:spacing w:after="0" w:line="257" w:lineRule="auto"/>
        <w:rPr>
          <w:sz w:val="20"/>
          <w:szCs w:val="20"/>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Participant incurs a Disability that also constitutes a “disability” within the meaning of Section 409A, the unvested portion, if any, of the Participant’s Performance Award as of the date of such Disability shall continue to be eligible to vest in accordance with the performance-based vesting conditions set forth on Exhibits A and B regardless of any subsequent termination of service, provided such Disability does not result in termination of service. In the event of termination of service, the unvested portion, if any, of the Performance Award shall vest in him on the date of termination.</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Section 10 shall be deleted in its entirety and replaced with the following language:</w:t>
      </w:r>
    </w:p>
    <w:p>
      <w:pPr>
        <w:spacing w:after="0" w:line="118" w:lineRule="exact"/>
        <w:rPr>
          <w:sz w:val="20"/>
          <w:szCs w:val="20"/>
          <w:color w:val="auto"/>
        </w:rPr>
      </w:pPr>
    </w:p>
    <w:p>
      <w:pPr>
        <w:ind w:left="1280"/>
        <w:spacing w:after="0" w:line="255" w:lineRule="auto"/>
        <w:rPr>
          <w:sz w:val="20"/>
          <w:szCs w:val="20"/>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Subsidiary under whose payroll the Participant is registered shall have the right to deduct or withhold from the Performance Award or payroll of the Participant an amount sufficient to satisfy income taxes required by law to be withheld with respect to the vesting of, lapse of restrictions on, or payment of the Performance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color w:val="auto"/>
        </w:rPr>
        <w:t>Section 13 shall be amended to delete the term “transferees”.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14 shall be deleted in its entirety and replaced with the following language:</w:t>
      </w:r>
    </w:p>
    <w:p>
      <w:pPr>
        <w:spacing w:after="0" w:line="118" w:lineRule="exact"/>
        <w:rPr>
          <w:sz w:val="20"/>
          <w:szCs w:val="20"/>
          <w:color w:val="auto"/>
        </w:rPr>
      </w:pPr>
    </w:p>
    <w:p>
      <w:pPr>
        <w:ind w:left="1280" w:right="200"/>
        <w:spacing w:after="0" w:line="266" w:lineRule="auto"/>
        <w:rPr>
          <w:sz w:val="20"/>
          <w:szCs w:val="20"/>
          <w:color w:val="auto"/>
        </w:rPr>
      </w:pPr>
      <w:r>
        <w:rPr>
          <w:rFonts w:ascii="Arial" w:cs="Arial" w:eastAsia="Arial" w:hAnsi="Arial"/>
          <w:sz w:val="21"/>
          <w:szCs w:val="21"/>
          <w:u w:val="single" w:color="auto"/>
          <w:color w:val="auto"/>
        </w:rPr>
        <w:t>No Assignment</w:t>
      </w:r>
      <w:r>
        <w:rPr>
          <w:rFonts w:ascii="Arial" w:cs="Arial" w:eastAsia="Arial" w:hAnsi="Arial"/>
          <w:sz w:val="21"/>
          <w:szCs w:val="21"/>
          <w:color w:val="auto"/>
        </w:rPr>
        <w:t>. Notwithstanding anything to the contrary in this Award Agreement, but subject to the assignment of the Performance Award upon death of the Participant, neither this Award Agreement nor any rights granted herein shall be assignable by the Participant.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15 shall be deleted in its entirety and replaced with the following language:</w:t>
      </w:r>
    </w:p>
    <w:p>
      <w:pPr>
        <w:spacing w:after="0" w:line="118" w:lineRule="exact"/>
        <w:rPr>
          <w:sz w:val="20"/>
          <w:szCs w:val="20"/>
          <w:color w:val="auto"/>
        </w:rPr>
      </w:pPr>
    </w:p>
    <w:p>
      <w:pPr>
        <w:jc w:val="both"/>
        <w:ind w:left="1280" w:right="80"/>
        <w:spacing w:after="0" w:line="275" w:lineRule="auto"/>
        <w:rPr>
          <w:sz w:val="20"/>
          <w:szCs w:val="20"/>
          <w:color w:val="auto"/>
        </w:rPr>
      </w:pPr>
      <w:r>
        <w:rPr>
          <w:rFonts w:ascii="Arial" w:cs="Arial" w:eastAsia="Arial" w:hAnsi="Arial"/>
          <w:sz w:val="20"/>
          <w:szCs w:val="20"/>
          <w:u w:val="single" w:color="auto"/>
          <w:color w:val="auto"/>
        </w:rPr>
        <w:t>Necessary Acts</w:t>
      </w:r>
      <w:r>
        <w:rPr>
          <w:rFonts w:ascii="Arial" w:cs="Arial" w:eastAsia="Arial" w:hAnsi="Arial"/>
          <w:sz w:val="20"/>
          <w:szCs w:val="20"/>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20" w:top="1440" w:right="359" w:bottom="1440" w:gutter="0" w:footer="0" w:header="0"/>
        </w:sectPr>
      </w:pPr>
    </w:p>
    <w:bookmarkStart w:id="76" w:name="page77"/>
    <w:bookmarkEnd w:id="76"/>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Ireland:</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and be of no force and effect.</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13 above shall be amended to delete the words “transferees, assignees” therefrom.</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14 above shall be deleted in its entirety and replaced with the following language:</w:t>
      </w:r>
    </w:p>
    <w:p>
      <w:pPr>
        <w:spacing w:after="0" w:line="118" w:lineRule="exact"/>
        <w:rPr>
          <w:sz w:val="20"/>
          <w:szCs w:val="20"/>
          <w:color w:val="auto"/>
        </w:rPr>
      </w:pPr>
    </w:p>
    <w:p>
      <w:pPr>
        <w:ind w:left="1280" w:right="120"/>
        <w:spacing w:after="0" w:line="261" w:lineRule="auto"/>
        <w:rPr>
          <w:sz w:val="20"/>
          <w:szCs w:val="20"/>
          <w:color w:val="auto"/>
        </w:rPr>
      </w:pPr>
      <w:r>
        <w:rPr>
          <w:rFonts w:ascii="Arial" w:cs="Arial" w:eastAsia="Arial" w:hAnsi="Arial"/>
          <w:sz w:val="21"/>
          <w:szCs w:val="21"/>
          <w:u w:val="single" w:color="auto"/>
          <w:color w:val="auto"/>
        </w:rPr>
        <w:t>No Assignment or Transfer</w:t>
      </w:r>
      <w:r>
        <w:rPr>
          <w:rFonts w:ascii="Arial" w:cs="Arial" w:eastAsia="Arial" w:hAnsi="Arial"/>
          <w:sz w:val="21"/>
          <w:szCs w:val="21"/>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Luxembourg</w:t>
      </w:r>
      <w:r>
        <w:rPr>
          <w:rFonts w:ascii="Arial" w:cs="Arial" w:eastAsia="Arial" w:hAnsi="Arial"/>
          <w:sz w:val="21"/>
          <w:szCs w:val="2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in its entirety and replaced with the following language:</w:t>
      </w:r>
    </w:p>
    <w:p>
      <w:pPr>
        <w:spacing w:after="0" w:line="118" w:lineRule="exact"/>
        <w:rPr>
          <w:sz w:val="20"/>
          <w:szCs w:val="20"/>
          <w:color w:val="auto"/>
        </w:rPr>
      </w:pPr>
    </w:p>
    <w:p>
      <w:pPr>
        <w:ind w:left="1280" w:right="240"/>
        <w:spacing w:after="0" w:line="292" w:lineRule="auto"/>
        <w:rPr>
          <w:sz w:val="20"/>
          <w:szCs w:val="20"/>
          <w:color w:val="auto"/>
        </w:rPr>
      </w:pPr>
      <w:r>
        <w:rPr>
          <w:rFonts w:ascii="Arial" w:cs="Arial" w:eastAsia="Arial" w:hAnsi="Arial"/>
          <w:sz w:val="19"/>
          <w:szCs w:val="19"/>
          <w:u w:val="single" w:color="auto"/>
          <w:color w:val="auto"/>
        </w:rPr>
        <w:t>Termination of Service on Account of Retirement</w:t>
      </w:r>
      <w:r>
        <w:rPr>
          <w:rFonts w:ascii="Arial" w:cs="Arial" w:eastAsia="Arial" w:hAnsi="Arial"/>
          <w:sz w:val="19"/>
          <w:szCs w:val="19"/>
          <w:color w:val="auto"/>
        </w:rPr>
        <w:t>. If the Participant voluntarily retires according to Luxembourg employment law prior to the TSR Vesting Date or the FCF Vesting Date, any unvested portion of the Participant’s Performance Award as of the Participant’s termination date shall vest on that date and be eligible to be settled subject to the satisfaction of the performance conditions specified in Exhibits A and B, determined at a time and manner as is determined for employees generally, disregarding such termination of service.</w:t>
      </w:r>
    </w:p>
    <w:p>
      <w:pPr>
        <w:spacing w:after="0" w:line="44" w:lineRule="exact"/>
        <w:rPr>
          <w:sz w:val="20"/>
          <w:szCs w:val="20"/>
          <w:color w:val="auto"/>
        </w:rPr>
      </w:pPr>
    </w:p>
    <w:p>
      <w:pPr>
        <w:ind w:right="20"/>
        <w:spacing w:after="0" w:line="281" w:lineRule="auto"/>
        <w:rPr>
          <w:sz w:val="20"/>
          <w:szCs w:val="20"/>
          <w:color w:val="auto"/>
        </w:rPr>
      </w:pPr>
      <w:r>
        <w:rPr>
          <w:rFonts w:ascii="Arial" w:cs="Arial" w:eastAsia="Arial" w:hAnsi="Arial"/>
          <w:sz w:val="21"/>
          <w:szCs w:val="21"/>
          <w:color w:val="auto"/>
        </w:rPr>
        <w:t>Section 4(d) above shall be amended to (i) delete the phrase “that also constitutes a ‘disability’ within the meaning of Section 409A of the Code” therefrom and (ii) add the following language at the end thereof:</w:t>
      </w:r>
    </w:p>
    <w:p>
      <w:pPr>
        <w:spacing w:after="0" w:line="48" w:lineRule="exact"/>
        <w:rPr>
          <w:sz w:val="20"/>
          <w:szCs w:val="20"/>
          <w:color w:val="auto"/>
        </w:rPr>
      </w:pPr>
    </w:p>
    <w:p>
      <w:pPr>
        <w:ind w:left="1280"/>
        <w:spacing w:after="0" w:line="292" w:lineRule="auto"/>
        <w:rPr>
          <w:sz w:val="20"/>
          <w:szCs w:val="20"/>
          <w:color w:val="auto"/>
        </w:rPr>
      </w:pPr>
      <w:r>
        <w:rPr>
          <w:rFonts w:ascii="Arial" w:cs="Arial" w:eastAsia="Arial" w:hAnsi="Arial"/>
          <w:sz w:val="19"/>
          <w:szCs w:val="19"/>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19"/>
          <w:szCs w:val="19"/>
          <w:i w:val="1"/>
          <w:iCs w:val="1"/>
          <w:color w:val="auto"/>
        </w:rPr>
        <w:t xml:space="preserve">reclassement </w:t>
      </w:r>
      <w:r>
        <w:rPr>
          <w:rFonts w:ascii="Arial" w:cs="Arial" w:eastAsia="Arial" w:hAnsi="Arial"/>
          <w:sz w:val="19"/>
          <w:szCs w:val="19"/>
          <w:color w:val="auto"/>
        </w:rPr>
        <w:t>by the competent commission following an irrevocable decision from said commission.</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Section 4(e)(iii) above shall be deleted in its entirety and be of no force and effect.</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4 above shall be amended to add the following language at the end thereof as a new sub-section (g):</w:t>
      </w:r>
    </w:p>
    <w:p>
      <w:pPr>
        <w:spacing w:after="0" w:line="118" w:lineRule="exact"/>
        <w:rPr>
          <w:sz w:val="20"/>
          <w:szCs w:val="20"/>
          <w:color w:val="auto"/>
        </w:rPr>
      </w:pPr>
    </w:p>
    <w:p>
      <w:pPr>
        <w:ind w:left="1280" w:right="600"/>
        <w:spacing w:after="0" w:line="281" w:lineRule="auto"/>
        <w:rPr>
          <w:sz w:val="20"/>
          <w:szCs w:val="20"/>
          <w:color w:val="auto"/>
        </w:rPr>
      </w:pPr>
      <w:r>
        <w:rPr>
          <w:rFonts w:ascii="Arial" w:cs="Arial" w:eastAsia="Arial" w:hAnsi="Arial"/>
          <w:sz w:val="21"/>
          <w:szCs w:val="21"/>
          <w:color w:val="auto"/>
        </w:rPr>
        <w:t>It is understood that the Participant’s termination of service for any reason shall take place in accordance with applicable Luxembourg employment law rules.</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Section 10 above shall be amended to add the following language at the end thereof:</w:t>
      </w:r>
    </w:p>
    <w:p>
      <w:pPr>
        <w:spacing w:after="0" w:line="118" w:lineRule="exact"/>
        <w:rPr>
          <w:sz w:val="20"/>
          <w:szCs w:val="20"/>
          <w:color w:val="auto"/>
        </w:rPr>
      </w:pPr>
    </w:p>
    <w:p>
      <w:pPr>
        <w:jc w:val="both"/>
        <w:ind w:left="1280" w:right="180"/>
        <w:spacing w:after="0" w:line="266" w:lineRule="auto"/>
        <w:rPr>
          <w:sz w:val="20"/>
          <w:szCs w:val="20"/>
          <w:color w:val="auto"/>
        </w:rPr>
      </w:pPr>
      <w:r>
        <w:rPr>
          <w:rFonts w:ascii="Arial" w:cs="Arial" w:eastAsia="Arial" w:hAnsi="Arial"/>
          <w:sz w:val="21"/>
          <w:szCs w:val="21"/>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77" w:name="page78"/>
    <w:bookmarkEnd w:id="77"/>
    <w:p>
      <w:pPr>
        <w:spacing w:after="0" w:line="78" w:lineRule="exact"/>
        <w:rPr>
          <w:sz w:val="20"/>
          <w:szCs w:val="20"/>
          <w:color w:val="auto"/>
        </w:rPr>
      </w:pPr>
    </w:p>
    <w:p>
      <w:pPr>
        <w:ind w:left="1280" w:right="180"/>
        <w:spacing w:after="0" w:line="281" w:lineRule="auto"/>
        <w:rPr>
          <w:sz w:val="20"/>
          <w:szCs w:val="20"/>
          <w:color w:val="auto"/>
        </w:rPr>
      </w:pPr>
      <w:r>
        <w:rPr>
          <w:rFonts w:ascii="Arial" w:cs="Arial" w:eastAsia="Arial" w:hAnsi="Arial"/>
          <w:sz w:val="21"/>
          <w:szCs w:val="21"/>
          <w:color w:val="auto"/>
        </w:rPr>
        <w:t>issued thereunder, including without limitation any such regulations or other guidance that may be issued after the Date of Grant.</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Section 13 above shall be amended to delete the word “transferees” therefrom.</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14 above shall be deleted in its entirety and replaced with the following language:</w:t>
      </w:r>
    </w:p>
    <w:p>
      <w:pPr>
        <w:spacing w:after="0" w:line="118" w:lineRule="exact"/>
        <w:rPr>
          <w:sz w:val="20"/>
          <w:szCs w:val="20"/>
          <w:color w:val="auto"/>
        </w:rPr>
      </w:pPr>
    </w:p>
    <w:p>
      <w:pPr>
        <w:ind w:left="1280" w:right="80"/>
        <w:spacing w:after="0" w:line="261" w:lineRule="auto"/>
        <w:rPr>
          <w:sz w:val="20"/>
          <w:szCs w:val="20"/>
          <w:color w:val="auto"/>
        </w:rPr>
      </w:pPr>
      <w:r>
        <w:rPr>
          <w:rFonts w:ascii="Arial" w:cs="Arial" w:eastAsia="Arial" w:hAnsi="Arial"/>
          <w:sz w:val="21"/>
          <w:szCs w:val="21"/>
          <w:u w:val="single" w:color="auto"/>
          <w:color w:val="auto"/>
        </w:rPr>
        <w:t>No Assignment or Transfer</w:t>
      </w:r>
      <w:r>
        <w:rPr>
          <w:rFonts w:ascii="Arial" w:cs="Arial" w:eastAsia="Arial" w:hAnsi="Arial"/>
          <w:sz w:val="21"/>
          <w:szCs w:val="21"/>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Section 24 above shall be amended to add the following language at the end thereof:</w:t>
      </w:r>
    </w:p>
    <w:p>
      <w:pPr>
        <w:spacing w:after="0" w:line="118" w:lineRule="exact"/>
        <w:rPr>
          <w:sz w:val="20"/>
          <w:szCs w:val="20"/>
          <w:color w:val="auto"/>
        </w:rPr>
      </w:pPr>
    </w:p>
    <w:p>
      <w:pPr>
        <w:ind w:left="1280" w:right="100" w:firstLine="6"/>
        <w:spacing w:after="0" w:line="261" w:lineRule="auto"/>
        <w:tabs>
          <w:tab w:leader="none" w:pos="1387" w:val="left"/>
        </w:tabs>
        <w:numPr>
          <w:ilvl w:val="0"/>
          <w:numId w:val="55"/>
        </w:numPr>
        <w:rPr>
          <w:rFonts w:ascii="Arial" w:cs="Arial" w:eastAsia="Arial" w:hAnsi="Arial"/>
          <w:sz w:val="21"/>
          <w:szCs w:val="21"/>
          <w:color w:val="auto"/>
        </w:rPr>
      </w:pPr>
      <w:r>
        <w:rPr>
          <w:rFonts w:ascii="Arial" w:cs="Arial" w:eastAsia="Arial" w:hAnsi="Arial"/>
          <w:sz w:val="21"/>
          <w:szCs w:val="21"/>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United Kingdom:</w:t>
      </w:r>
    </w:p>
    <w:p>
      <w:pPr>
        <w:spacing w:after="0" w:line="124" w:lineRule="exact"/>
        <w:rPr>
          <w:sz w:val="20"/>
          <w:szCs w:val="20"/>
          <w:color w:val="auto"/>
        </w:rPr>
      </w:pPr>
    </w:p>
    <w:p>
      <w:pPr>
        <w:ind w:right="160"/>
        <w:spacing w:after="0" w:line="266"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63" w:lineRule="exact"/>
        <w:rPr>
          <w:sz w:val="20"/>
          <w:szCs w:val="20"/>
          <w:color w:val="auto"/>
        </w:rPr>
      </w:pPr>
    </w:p>
    <w:p>
      <w:pPr>
        <w:ind w:right="100"/>
        <w:spacing w:after="0" w:line="307" w:lineRule="auto"/>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and be of no force and effect.</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10 above shall be deleted in its entirety and replaced with the following:</w:t>
      </w:r>
    </w:p>
    <w:p>
      <w:pPr>
        <w:spacing w:after="0" w:line="118" w:lineRule="exact"/>
        <w:rPr>
          <w:sz w:val="20"/>
          <w:szCs w:val="20"/>
          <w:color w:val="auto"/>
        </w:rPr>
      </w:pPr>
    </w:p>
    <w:p>
      <w:pPr>
        <w:ind w:left="1280"/>
        <w:spacing w:after="0" w:line="283" w:lineRule="auto"/>
        <w:rPr>
          <w:sz w:val="20"/>
          <w:szCs w:val="20"/>
          <w:color w:val="auto"/>
        </w:rPr>
      </w:pPr>
      <w:r>
        <w:rPr>
          <w:rFonts w:ascii="Arial" w:cs="Arial" w:eastAsia="Arial" w:hAnsi="Arial"/>
          <w:sz w:val="19"/>
          <w:szCs w:val="19"/>
          <w:u w:val="single" w:color="auto"/>
          <w:color w:val="auto"/>
        </w:rPr>
        <w:t>Tax Liabilities</w:t>
      </w:r>
      <w:r>
        <w:rPr>
          <w:rFonts w:ascii="Arial" w:cs="Arial" w:eastAsia="Arial" w:hAnsi="Arial"/>
          <w:sz w:val="19"/>
          <w:szCs w:val="19"/>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w:t>
      </w:r>
    </w:p>
    <w:p>
      <w:pPr>
        <w:ind w:left="1280" w:firstLine="6"/>
        <w:spacing w:after="0" w:line="269" w:lineRule="auto"/>
        <w:tabs>
          <w:tab w:leader="none" w:pos="161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Performance Award, if required to do so by the Company, the Participant’s employer or former employer, before, on or within 14 days after any date of</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00"/>
          </w:cols>
          <w:pgMar w:left="320" w:top="1440" w:right="379" w:bottom="1440" w:gutter="0" w:footer="0" w:header="0"/>
        </w:sectPr>
      </w:pPr>
    </w:p>
    <w:bookmarkStart w:id="78" w:name="page79"/>
    <w:bookmarkEnd w:id="78"/>
    <w:p>
      <w:pPr>
        <w:spacing w:after="0" w:line="78" w:lineRule="exact"/>
        <w:rPr>
          <w:sz w:val="20"/>
          <w:szCs w:val="20"/>
          <w:color w:val="auto"/>
        </w:rPr>
      </w:pPr>
    </w:p>
    <w:p>
      <w:pPr>
        <w:jc w:val="both"/>
        <w:ind w:left="1280" w:right="460"/>
        <w:spacing w:after="0" w:line="281" w:lineRule="auto"/>
        <w:rPr>
          <w:sz w:val="20"/>
          <w:szCs w:val="20"/>
          <w:color w:val="auto"/>
        </w:rPr>
      </w:pPr>
      <w:r>
        <w:rPr>
          <w:rFonts w:ascii="Arial" w:cs="Arial" w:eastAsia="Arial" w:hAnsi="Arial"/>
          <w:sz w:val="21"/>
          <w:szCs w:val="21"/>
          <w:color w:val="auto"/>
        </w:rPr>
        <w:t>delivery of such Company Stock. For the purposes of this section the following capitalized terms shall have the meanings set out below:</w:t>
      </w:r>
    </w:p>
    <w:p>
      <w:pPr>
        <w:spacing w:after="0" w:line="48" w:lineRule="exact"/>
        <w:rPr>
          <w:sz w:val="20"/>
          <w:szCs w:val="20"/>
          <w:color w:val="auto"/>
        </w:rPr>
      </w:pPr>
    </w:p>
    <w:p>
      <w:pPr>
        <w:jc w:val="both"/>
        <w:ind w:left="1280" w:right="440"/>
        <w:spacing w:after="0" w:line="261" w:lineRule="auto"/>
        <w:rPr>
          <w:sz w:val="20"/>
          <w:szCs w:val="20"/>
          <w:color w:val="auto"/>
        </w:rPr>
      </w:pPr>
      <w:r>
        <w:rPr>
          <w:rFonts w:ascii="Arial" w:cs="Arial" w:eastAsia="Arial" w:hAnsi="Arial"/>
          <w:sz w:val="21"/>
          <w:szCs w:val="21"/>
          <w:color w:val="auto"/>
        </w:rPr>
        <w:t>“Employer NICs”: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69" w:lineRule="exact"/>
        <w:rPr>
          <w:sz w:val="20"/>
          <w:szCs w:val="20"/>
          <w:color w:val="auto"/>
        </w:rPr>
      </w:pPr>
    </w:p>
    <w:p>
      <w:pPr>
        <w:ind w:left="1280" w:right="40"/>
        <w:spacing w:after="0" w:line="281" w:lineRule="auto"/>
        <w:rPr>
          <w:sz w:val="20"/>
          <w:szCs w:val="20"/>
          <w:color w:val="auto"/>
        </w:rPr>
      </w:pPr>
      <w:r>
        <w:rPr>
          <w:rFonts w:ascii="Arial" w:cs="Arial" w:eastAsia="Arial" w:hAnsi="Arial"/>
          <w:sz w:val="19"/>
          <w:szCs w:val="19"/>
          <w:color w:val="auto"/>
        </w:rPr>
        <w:t>“Taxable Event”: any event or circumstance that gives rise to a liability for the Participant to pay income tax and national insurance contributions or either of them in respect of: (a) the Performance Award, including its assignment or surrender for consideration, or the receipt of any benefit in connection with it; (b) any shares (or other securities or assets): (i) earmarked or held to satisfy the Performance Award; (ii) acquired pursuant to the Performance Award; or (iv) acquired in consideration of the assignment or surrender of the Performance Award; (c) any securities (or other assets) acquired or earmarked as a result of holding shares (or other securities or assets) mentioned in (b); or</w:t>
      </w:r>
    </w:p>
    <w:p>
      <w:pPr>
        <w:spacing w:after="0" w:line="2" w:lineRule="exact"/>
        <w:rPr>
          <w:sz w:val="20"/>
          <w:szCs w:val="20"/>
          <w:color w:val="auto"/>
        </w:rPr>
      </w:pPr>
    </w:p>
    <w:p>
      <w:pPr>
        <w:ind w:left="1280" w:right="80" w:firstLine="6"/>
        <w:spacing w:after="0" w:line="264" w:lineRule="auto"/>
        <w:tabs>
          <w:tab w:leader="none" w:pos="1582" w:val="left"/>
        </w:tabs>
        <w:numPr>
          <w:ilvl w:val="0"/>
          <w:numId w:val="57"/>
        </w:numPr>
        <w:rPr>
          <w:rFonts w:ascii="Arial" w:cs="Arial" w:eastAsia="Arial" w:hAnsi="Arial"/>
          <w:sz w:val="21"/>
          <w:szCs w:val="21"/>
          <w:color w:val="auto"/>
        </w:rPr>
      </w:pPr>
      <w:r>
        <w:rPr>
          <w:rFonts w:ascii="Arial" w:cs="Arial" w:eastAsia="Arial" w:hAnsi="Arial"/>
          <w:sz w:val="21"/>
          <w:szCs w:val="21"/>
          <w:color w:val="auto"/>
        </w:rPr>
        <w:t>any amount due in respect of assets within (a) to (c) above and not made good by the Participant within the time limit specified in section 222 ITEPA.</w:t>
      </w:r>
    </w:p>
    <w:p>
      <w:pPr>
        <w:spacing w:after="0" w:line="64" w:lineRule="exact"/>
        <w:rPr>
          <w:sz w:val="20"/>
          <w:szCs w:val="20"/>
          <w:color w:val="auto"/>
        </w:rPr>
      </w:pPr>
    </w:p>
    <w:p>
      <w:pPr>
        <w:ind w:left="1280" w:right="80"/>
        <w:spacing w:after="0" w:line="259" w:lineRule="auto"/>
        <w:rPr>
          <w:sz w:val="20"/>
          <w:szCs w:val="20"/>
          <w:color w:val="auto"/>
        </w:rPr>
      </w:pPr>
      <w:r>
        <w:rPr>
          <w:rFonts w:ascii="Arial" w:cs="Arial" w:eastAsia="Arial" w:hAnsi="Arial"/>
          <w:sz w:val="21"/>
          <w:szCs w:val="21"/>
          <w:color w:val="auto"/>
        </w:rPr>
        <w:t>“Tax Liability”: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Section 22 shall be replaced by the following provision:</w:t>
      </w:r>
    </w:p>
    <w:p>
      <w:pPr>
        <w:spacing w:after="0" w:line="118" w:lineRule="exact"/>
        <w:rPr>
          <w:sz w:val="20"/>
          <w:szCs w:val="20"/>
          <w:color w:val="auto"/>
        </w:rPr>
      </w:pPr>
    </w:p>
    <w:p>
      <w:pPr>
        <w:ind w:left="1280"/>
        <w:spacing w:after="0" w:line="270" w:lineRule="auto"/>
        <w:rPr>
          <w:sz w:val="20"/>
          <w:szCs w:val="20"/>
          <w:color w:val="auto"/>
        </w:rPr>
      </w:pPr>
      <w:r>
        <w:rPr>
          <w:rFonts w:ascii="Arial" w:cs="Arial" w:eastAsia="Arial" w:hAnsi="Arial"/>
          <w:sz w:val="20"/>
          <w:szCs w:val="20"/>
          <w:color w:val="auto"/>
        </w:rPr>
        <w:t>Nothing contained in the Plan or this Performance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Performance Award the Participant shall be deemed irrevocably to have waived any such entitlement.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parties hereto have executed this Award Agreement as of the date set forth above.</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ENDO INTERNATIONAL PLC</w:t>
      </w:r>
    </w:p>
    <w:p>
      <w:pPr>
        <w:spacing w:after="0" w:line="8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33655</wp:posOffset>
            </wp:positionV>
            <wp:extent cx="25723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Name:  Blaise Coleman</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Title:  President &amp; Chief Executive Officer</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PARTICIPANT</w:t>
      </w:r>
    </w:p>
    <w:p>
      <w:pPr>
        <w:spacing w:after="0" w:line="83" w:lineRule="exact"/>
        <w:rPr>
          <w:sz w:val="20"/>
          <w:szCs w:val="20"/>
          <w:color w:val="auto"/>
        </w:rPr>
      </w:pPr>
    </w:p>
    <w:p>
      <w:pPr>
        <w:jc w:val="right"/>
        <w:ind w:right="414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33655</wp:posOffset>
            </wp:positionV>
            <wp:extent cx="25723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57" w:lineRule="exact"/>
        <w:rPr>
          <w:sz w:val="20"/>
          <w:szCs w:val="20"/>
          <w:color w:val="auto"/>
        </w:rPr>
      </w:pPr>
    </w:p>
    <w:p>
      <w:pPr>
        <w:jc w:val="right"/>
        <w:ind w:right="414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33655</wp:posOffset>
            </wp:positionV>
            <wp:extent cx="25723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040"/>
          </w:cols>
          <w:pgMar w:left="320" w:top="1440" w:right="539" w:bottom="1440" w:gutter="0" w:footer="0" w:header="0"/>
        </w:sectPr>
      </w:pPr>
    </w:p>
    <w:bookmarkStart w:id="80" w:name="page81"/>
    <w:bookmarkEnd w:id="80"/>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A</w:t>
      </w:r>
    </w:p>
    <w:p>
      <w:pPr>
        <w:spacing w:after="0" w:line="225" w:lineRule="exact"/>
        <w:rPr>
          <w:sz w:val="20"/>
          <w:szCs w:val="20"/>
          <w:color w:val="auto"/>
        </w:rPr>
      </w:pPr>
    </w:p>
    <w:p>
      <w:pPr>
        <w:ind w:left="440" w:hanging="433"/>
        <w:spacing w:after="0"/>
        <w:tabs>
          <w:tab w:leader="none" w:pos="440" w:val="left"/>
        </w:tabs>
        <w:numPr>
          <w:ilvl w:val="0"/>
          <w:numId w:val="58"/>
        </w:numPr>
        <w:rPr>
          <w:rFonts w:ascii="Arial" w:cs="Arial" w:eastAsia="Arial" w:hAnsi="Arial"/>
          <w:sz w:val="21"/>
          <w:szCs w:val="21"/>
          <w:color w:val="auto"/>
        </w:rPr>
      </w:pPr>
      <w:r>
        <w:rPr>
          <w:rFonts w:ascii="Arial" w:cs="Arial" w:eastAsia="Arial" w:hAnsi="Arial"/>
          <w:sz w:val="21"/>
          <w:szCs w:val="21"/>
          <w:b w:val="1"/>
          <w:bCs w:val="1"/>
          <w:color w:val="auto"/>
        </w:rPr>
        <w:t>TSR Performance Criteria.</w:t>
      </w:r>
    </w:p>
    <w:p>
      <w:pPr>
        <w:spacing w:after="0" w:line="124" w:lineRule="exact"/>
        <w:rPr>
          <w:sz w:val="20"/>
          <w:szCs w:val="20"/>
          <w:color w:val="auto"/>
        </w:rPr>
      </w:pPr>
    </w:p>
    <w:p>
      <w:pPr>
        <w:jc w:val="both"/>
        <w:ind w:right="440" w:firstLine="640"/>
        <w:spacing w:after="0" w:line="266" w:lineRule="auto"/>
        <w:rPr>
          <w:sz w:val="20"/>
          <w:szCs w:val="20"/>
          <w:color w:val="auto"/>
        </w:rPr>
      </w:pPr>
      <w:r>
        <w:rPr>
          <w:rFonts w:ascii="Arial" w:cs="Arial" w:eastAsia="Arial" w:hAnsi="Arial"/>
          <w:sz w:val="21"/>
          <w:szCs w:val="21"/>
          <w:color w:val="auto"/>
        </w:rPr>
        <w:t>The Participant will be entitled to receive a number of shares of Company Stock as of the TSR Vesting Date, equal to a multiple of the TSR Target Performance Award achieved based on achievement of targets relating to Relative TSR (the “TSR Performance Criteria”) as described below for the TSR Performance Period:</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360" w:type="dxa"/>
            <w:vAlign w:val="bottom"/>
          </w:tcPr>
          <w:p>
            <w:pPr>
              <w:jc w:val="center"/>
              <w:ind w:left="584"/>
              <w:spacing w:after="0"/>
              <w:rPr>
                <w:sz w:val="20"/>
                <w:szCs w:val="20"/>
                <w:color w:val="auto"/>
              </w:rPr>
            </w:pPr>
            <w:r>
              <w:rPr>
                <w:rFonts w:ascii="Arial" w:cs="Arial" w:eastAsia="Arial" w:hAnsi="Arial"/>
                <w:sz w:val="18"/>
                <w:szCs w:val="18"/>
                <w:b w:val="1"/>
                <w:bCs w:val="1"/>
                <w:color w:val="auto"/>
                <w:w w:val="91"/>
              </w:rPr>
              <w:t>Multiple Applicable to TSR Target Performance</w:t>
            </w:r>
          </w:p>
        </w:tc>
      </w:tr>
      <w:tr>
        <w:trPr>
          <w:trHeight w:val="192"/>
        </w:trPr>
        <w:tc>
          <w:tcPr>
            <w:tcW w:w="1800" w:type="dxa"/>
            <w:vAlign w:val="bottom"/>
          </w:tcPr>
          <w:p>
            <w:pPr>
              <w:spacing w:after="0"/>
              <w:rPr>
                <w:sz w:val="16"/>
                <w:szCs w:val="16"/>
                <w:color w:val="auto"/>
              </w:rPr>
            </w:pPr>
          </w:p>
        </w:tc>
        <w:tc>
          <w:tcPr>
            <w:tcW w:w="10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2"/>
              </w:rPr>
              <w:t>Relative TSR</w:t>
            </w:r>
          </w:p>
        </w:tc>
        <w:tc>
          <w:tcPr>
            <w:tcW w:w="2480" w:type="dxa"/>
            <w:vAlign w:val="bottom"/>
          </w:tcPr>
          <w:p>
            <w:pPr>
              <w:spacing w:after="0"/>
              <w:rPr>
                <w:sz w:val="16"/>
                <w:szCs w:val="16"/>
                <w:color w:val="auto"/>
              </w:rPr>
            </w:pPr>
          </w:p>
        </w:tc>
        <w:tc>
          <w:tcPr>
            <w:tcW w:w="4360" w:type="dxa"/>
            <w:vAlign w:val="bottom"/>
          </w:tcPr>
          <w:p>
            <w:pPr>
              <w:jc w:val="center"/>
              <w:ind w:left="584"/>
              <w:spacing w:after="0" w:line="192" w:lineRule="exact"/>
              <w:rPr>
                <w:sz w:val="20"/>
                <w:szCs w:val="20"/>
                <w:color w:val="auto"/>
              </w:rPr>
            </w:pPr>
            <w:r>
              <w:rPr>
                <w:rFonts w:ascii="Arial" w:cs="Arial" w:eastAsia="Arial" w:hAnsi="Arial"/>
                <w:sz w:val="18"/>
                <w:szCs w:val="18"/>
                <w:b w:val="1"/>
                <w:bCs w:val="1"/>
                <w:color w:val="auto"/>
                <w:w w:val="94"/>
              </w:rPr>
              <w:t>Award</w:t>
            </w:r>
          </w:p>
        </w:tc>
      </w:tr>
      <w:tr>
        <w:trPr>
          <w:trHeight w:val="318"/>
        </w:trPr>
        <w:tc>
          <w:tcPr>
            <w:tcW w:w="5300" w:type="dxa"/>
            <w:vAlign w:val="bottom"/>
            <w:gridSpan w:val="3"/>
          </w:tcPr>
          <w:p>
            <w:pPr>
              <w:jc w:val="center"/>
              <w:ind w:right="660"/>
              <w:spacing w:after="0"/>
              <w:rPr>
                <w:sz w:val="20"/>
                <w:szCs w:val="20"/>
                <w:color w:val="auto"/>
              </w:rPr>
            </w:pPr>
            <w:r>
              <w:rPr>
                <w:rFonts w:ascii="Arial" w:cs="Arial" w:eastAsia="Arial" w:hAnsi="Arial"/>
                <w:sz w:val="20"/>
                <w:szCs w:val="20"/>
                <w:color w:val="auto"/>
                <w:w w:val="88"/>
              </w:rPr>
              <w:t>Equal to or above 90th percentile</w:t>
            </w:r>
          </w:p>
        </w:tc>
        <w:tc>
          <w:tcPr>
            <w:tcW w:w="4360" w:type="dxa"/>
            <w:vAlign w:val="bottom"/>
          </w:tcPr>
          <w:p>
            <w:pPr>
              <w:jc w:val="center"/>
              <w:ind w:left="564"/>
              <w:spacing w:after="0"/>
              <w:rPr>
                <w:sz w:val="20"/>
                <w:szCs w:val="20"/>
                <w:color w:val="auto"/>
              </w:rPr>
            </w:pPr>
            <w:r>
              <w:rPr>
                <w:rFonts w:ascii="Arial" w:cs="Arial" w:eastAsia="Arial" w:hAnsi="Arial"/>
                <w:sz w:val="20"/>
                <w:szCs w:val="20"/>
                <w:color w:val="auto"/>
                <w:w w:val="89"/>
              </w:rPr>
              <w:t>2</w:t>
            </w:r>
          </w:p>
        </w:tc>
      </w:tr>
      <w:tr>
        <w:trPr>
          <w:trHeight w:val="307"/>
        </w:trPr>
        <w:tc>
          <w:tcPr>
            <w:tcW w:w="5300" w:type="dxa"/>
            <w:vAlign w:val="bottom"/>
            <w:gridSpan w:val="3"/>
          </w:tcPr>
          <w:p>
            <w:pPr>
              <w:jc w:val="center"/>
              <w:ind w:right="660"/>
              <w:spacing w:after="0"/>
              <w:rPr>
                <w:sz w:val="20"/>
                <w:szCs w:val="20"/>
                <w:color w:val="auto"/>
              </w:rPr>
            </w:pPr>
            <w:r>
              <w:rPr>
                <w:rFonts w:ascii="Arial" w:cs="Arial" w:eastAsia="Arial" w:hAnsi="Arial"/>
                <w:sz w:val="20"/>
                <w:szCs w:val="20"/>
                <w:color w:val="auto"/>
                <w:w w:val="88"/>
              </w:rPr>
              <w:t>Equal to or above 80th percentile but below 90th percentile</w:t>
            </w:r>
          </w:p>
        </w:tc>
        <w:tc>
          <w:tcPr>
            <w:tcW w:w="4360" w:type="dxa"/>
            <w:vAlign w:val="bottom"/>
          </w:tcPr>
          <w:p>
            <w:pPr>
              <w:jc w:val="center"/>
              <w:ind w:left="584"/>
              <w:spacing w:after="0"/>
              <w:rPr>
                <w:sz w:val="20"/>
                <w:szCs w:val="20"/>
                <w:color w:val="auto"/>
              </w:rPr>
            </w:pPr>
            <w:r>
              <w:rPr>
                <w:rFonts w:ascii="Arial" w:cs="Arial" w:eastAsia="Arial" w:hAnsi="Arial"/>
                <w:sz w:val="20"/>
                <w:szCs w:val="20"/>
                <w:color w:val="auto"/>
                <w:w w:val="87"/>
              </w:rPr>
              <w:t>1.61 - 1.80</w:t>
            </w:r>
          </w:p>
        </w:tc>
      </w:tr>
      <w:tr>
        <w:trPr>
          <w:trHeight w:val="307"/>
        </w:trPr>
        <w:tc>
          <w:tcPr>
            <w:tcW w:w="5300" w:type="dxa"/>
            <w:vAlign w:val="bottom"/>
            <w:gridSpan w:val="3"/>
          </w:tcPr>
          <w:p>
            <w:pPr>
              <w:jc w:val="center"/>
              <w:ind w:right="660"/>
              <w:spacing w:after="0"/>
              <w:rPr>
                <w:sz w:val="20"/>
                <w:szCs w:val="20"/>
                <w:color w:val="auto"/>
              </w:rPr>
            </w:pPr>
            <w:r>
              <w:rPr>
                <w:rFonts w:ascii="Arial" w:cs="Arial" w:eastAsia="Arial" w:hAnsi="Arial"/>
                <w:sz w:val="20"/>
                <w:szCs w:val="20"/>
                <w:color w:val="auto"/>
                <w:w w:val="88"/>
              </w:rPr>
              <w:t>Equal to or above 70th percentile but below 80th percentile</w:t>
            </w:r>
          </w:p>
        </w:tc>
        <w:tc>
          <w:tcPr>
            <w:tcW w:w="4360" w:type="dxa"/>
            <w:vAlign w:val="bottom"/>
          </w:tcPr>
          <w:p>
            <w:pPr>
              <w:jc w:val="center"/>
              <w:ind w:left="584"/>
              <w:spacing w:after="0"/>
              <w:rPr>
                <w:sz w:val="20"/>
                <w:szCs w:val="20"/>
                <w:color w:val="auto"/>
              </w:rPr>
            </w:pPr>
            <w:r>
              <w:rPr>
                <w:rFonts w:ascii="Arial" w:cs="Arial" w:eastAsia="Arial" w:hAnsi="Arial"/>
                <w:sz w:val="20"/>
                <w:szCs w:val="20"/>
                <w:color w:val="auto"/>
                <w:w w:val="87"/>
              </w:rPr>
              <w:t>1.41 - 1.60</w:t>
            </w:r>
          </w:p>
        </w:tc>
      </w:tr>
      <w:tr>
        <w:trPr>
          <w:trHeight w:val="307"/>
        </w:trPr>
        <w:tc>
          <w:tcPr>
            <w:tcW w:w="5300" w:type="dxa"/>
            <w:vAlign w:val="bottom"/>
            <w:gridSpan w:val="3"/>
          </w:tcPr>
          <w:p>
            <w:pPr>
              <w:jc w:val="center"/>
              <w:ind w:right="660"/>
              <w:spacing w:after="0"/>
              <w:rPr>
                <w:sz w:val="20"/>
                <w:szCs w:val="20"/>
                <w:color w:val="auto"/>
              </w:rPr>
            </w:pPr>
            <w:r>
              <w:rPr>
                <w:rFonts w:ascii="Arial" w:cs="Arial" w:eastAsia="Arial" w:hAnsi="Arial"/>
                <w:sz w:val="20"/>
                <w:szCs w:val="20"/>
                <w:color w:val="auto"/>
                <w:w w:val="88"/>
              </w:rPr>
              <w:t>Equal to or above 60th percentile but below 70th percentile</w:t>
            </w:r>
          </w:p>
        </w:tc>
        <w:tc>
          <w:tcPr>
            <w:tcW w:w="4360" w:type="dxa"/>
            <w:vAlign w:val="bottom"/>
          </w:tcPr>
          <w:p>
            <w:pPr>
              <w:jc w:val="center"/>
              <w:ind w:left="584"/>
              <w:spacing w:after="0"/>
              <w:rPr>
                <w:sz w:val="20"/>
                <w:szCs w:val="20"/>
                <w:color w:val="auto"/>
              </w:rPr>
            </w:pPr>
            <w:r>
              <w:rPr>
                <w:rFonts w:ascii="Arial" w:cs="Arial" w:eastAsia="Arial" w:hAnsi="Arial"/>
                <w:sz w:val="20"/>
                <w:szCs w:val="20"/>
                <w:color w:val="auto"/>
                <w:w w:val="87"/>
              </w:rPr>
              <w:t>1.21 - 1.40</w:t>
            </w:r>
          </w:p>
        </w:tc>
      </w:tr>
      <w:tr>
        <w:trPr>
          <w:trHeight w:val="307"/>
        </w:trPr>
        <w:tc>
          <w:tcPr>
            <w:tcW w:w="5300" w:type="dxa"/>
            <w:vAlign w:val="bottom"/>
            <w:gridSpan w:val="3"/>
          </w:tcPr>
          <w:p>
            <w:pPr>
              <w:jc w:val="center"/>
              <w:ind w:right="660"/>
              <w:spacing w:after="0"/>
              <w:rPr>
                <w:sz w:val="20"/>
                <w:szCs w:val="20"/>
                <w:color w:val="auto"/>
              </w:rPr>
            </w:pPr>
            <w:r>
              <w:rPr>
                <w:rFonts w:ascii="Arial" w:cs="Arial" w:eastAsia="Arial" w:hAnsi="Arial"/>
                <w:sz w:val="20"/>
                <w:szCs w:val="20"/>
                <w:color w:val="auto"/>
                <w:w w:val="88"/>
              </w:rPr>
              <w:t>Equal to or above 50th percentile but below 60th percentile</w:t>
            </w:r>
          </w:p>
        </w:tc>
        <w:tc>
          <w:tcPr>
            <w:tcW w:w="4360" w:type="dxa"/>
            <w:vAlign w:val="bottom"/>
          </w:tcPr>
          <w:p>
            <w:pPr>
              <w:jc w:val="center"/>
              <w:ind w:left="584"/>
              <w:spacing w:after="0"/>
              <w:rPr>
                <w:sz w:val="20"/>
                <w:szCs w:val="20"/>
                <w:color w:val="auto"/>
              </w:rPr>
            </w:pPr>
            <w:r>
              <w:rPr>
                <w:rFonts w:ascii="Arial" w:cs="Arial" w:eastAsia="Arial" w:hAnsi="Arial"/>
                <w:sz w:val="20"/>
                <w:szCs w:val="20"/>
                <w:color w:val="auto"/>
                <w:w w:val="87"/>
              </w:rPr>
              <w:t>1.00 - 1.20</w:t>
            </w:r>
          </w:p>
        </w:tc>
      </w:tr>
      <w:tr>
        <w:trPr>
          <w:trHeight w:val="307"/>
        </w:trPr>
        <w:tc>
          <w:tcPr>
            <w:tcW w:w="5300" w:type="dxa"/>
            <w:vAlign w:val="bottom"/>
            <w:gridSpan w:val="3"/>
          </w:tcPr>
          <w:p>
            <w:pPr>
              <w:jc w:val="center"/>
              <w:ind w:right="660"/>
              <w:spacing w:after="0"/>
              <w:rPr>
                <w:sz w:val="20"/>
                <w:szCs w:val="20"/>
                <w:color w:val="auto"/>
              </w:rPr>
            </w:pPr>
            <w:r>
              <w:rPr>
                <w:rFonts w:ascii="Arial" w:cs="Arial" w:eastAsia="Arial" w:hAnsi="Arial"/>
                <w:sz w:val="20"/>
                <w:szCs w:val="20"/>
                <w:color w:val="auto"/>
                <w:w w:val="88"/>
              </w:rPr>
              <w:t>Equal to or above 40th percentile but below 50th percentile</w:t>
            </w:r>
          </w:p>
        </w:tc>
        <w:tc>
          <w:tcPr>
            <w:tcW w:w="4360" w:type="dxa"/>
            <w:vAlign w:val="bottom"/>
          </w:tcPr>
          <w:p>
            <w:pPr>
              <w:jc w:val="center"/>
              <w:ind w:left="584"/>
              <w:spacing w:after="0"/>
              <w:rPr>
                <w:sz w:val="20"/>
                <w:szCs w:val="20"/>
                <w:color w:val="auto"/>
              </w:rPr>
            </w:pPr>
            <w:r>
              <w:rPr>
                <w:rFonts w:ascii="Arial" w:cs="Arial" w:eastAsia="Arial" w:hAnsi="Arial"/>
                <w:sz w:val="20"/>
                <w:szCs w:val="20"/>
                <w:color w:val="auto"/>
                <w:w w:val="86"/>
              </w:rPr>
              <w:t>0.5</w:t>
            </w:r>
          </w:p>
        </w:tc>
      </w:tr>
      <w:tr>
        <w:trPr>
          <w:trHeight w:val="307"/>
        </w:trPr>
        <w:tc>
          <w:tcPr>
            <w:tcW w:w="5300" w:type="dxa"/>
            <w:vAlign w:val="bottom"/>
            <w:gridSpan w:val="3"/>
          </w:tcPr>
          <w:p>
            <w:pPr>
              <w:jc w:val="center"/>
              <w:ind w:right="680"/>
              <w:spacing w:after="0"/>
              <w:rPr>
                <w:sz w:val="20"/>
                <w:szCs w:val="20"/>
                <w:color w:val="auto"/>
              </w:rPr>
            </w:pPr>
            <w:r>
              <w:rPr>
                <w:rFonts w:ascii="Arial" w:cs="Arial" w:eastAsia="Arial" w:hAnsi="Arial"/>
                <w:sz w:val="20"/>
                <w:szCs w:val="20"/>
                <w:color w:val="auto"/>
                <w:w w:val="90"/>
              </w:rPr>
              <w:t>Below 40th percentile</w:t>
            </w:r>
          </w:p>
        </w:tc>
        <w:tc>
          <w:tcPr>
            <w:tcW w:w="4360" w:type="dxa"/>
            <w:vAlign w:val="bottom"/>
          </w:tcPr>
          <w:p>
            <w:pPr>
              <w:jc w:val="center"/>
              <w:ind w:left="564"/>
              <w:spacing w:after="0"/>
              <w:rPr>
                <w:sz w:val="20"/>
                <w:szCs w:val="20"/>
                <w:color w:val="auto"/>
              </w:rPr>
            </w:pPr>
            <w:r>
              <w:rPr>
                <w:rFonts w:ascii="Arial" w:cs="Arial" w:eastAsia="Arial" w:hAnsi="Arial"/>
                <w:sz w:val="20"/>
                <w:szCs w:val="20"/>
                <w:color w:val="auto"/>
                <w:w w:val="89"/>
              </w:rPr>
              <w:t>0</w:t>
            </w:r>
          </w:p>
        </w:tc>
      </w:tr>
    </w:tbl>
    <w:p>
      <w:pPr>
        <w:spacing w:after="0" w:line="227" w:lineRule="exact"/>
        <w:rPr>
          <w:sz w:val="20"/>
          <w:szCs w:val="20"/>
          <w:color w:val="auto"/>
        </w:rPr>
      </w:pPr>
    </w:p>
    <w:p>
      <w:pPr>
        <w:ind w:right="1100"/>
        <w:spacing w:after="0" w:line="281" w:lineRule="auto"/>
        <w:rPr>
          <w:sz w:val="20"/>
          <w:szCs w:val="20"/>
          <w:color w:val="auto"/>
        </w:rPr>
      </w:pPr>
      <w:r>
        <w:rPr>
          <w:rFonts w:ascii="Arial" w:cs="Arial" w:eastAsia="Arial" w:hAnsi="Arial"/>
          <w:sz w:val="21"/>
          <w:szCs w:val="21"/>
          <w:color w:val="auto"/>
        </w:rPr>
        <w:t>In the event that Relative TSR over the TSR Performance Period is negative, the multiple applicable to the TSR Target Performance Award shall not exceed 1.</w:t>
      </w:r>
    </w:p>
    <w:p>
      <w:pPr>
        <w:spacing w:after="0" w:line="48" w:lineRule="exact"/>
        <w:rPr>
          <w:sz w:val="20"/>
          <w:szCs w:val="20"/>
          <w:color w:val="auto"/>
        </w:rPr>
      </w:pPr>
    </w:p>
    <w:p>
      <w:pPr>
        <w:ind w:firstLine="640"/>
        <w:spacing w:after="0" w:line="261" w:lineRule="auto"/>
        <w:rPr>
          <w:sz w:val="20"/>
          <w:szCs w:val="20"/>
          <w:color w:val="auto"/>
        </w:rPr>
      </w:pPr>
      <w:r>
        <w:rPr>
          <w:rFonts w:ascii="Arial" w:cs="Arial" w:eastAsia="Arial" w:hAnsi="Arial"/>
          <w:sz w:val="21"/>
          <w:szCs w:val="21"/>
          <w:color w:val="auto"/>
        </w:rPr>
        <w:t>If Relative TSR is equal to or above the 50th percentile but below the 90th percentile, the Participant will vest in a number of shares of Company Stock that is the mathematical linear interpolation between the number of shares of Company Stock that would vest at the defined ends of the applicable spectrum. No such interpolation shall occur in the event that Relative TSR is below the 50th percentile or equal to or above the 90th percentile.</w:t>
      </w:r>
    </w:p>
    <w:p>
      <w:pPr>
        <w:spacing w:after="0" w:line="69" w:lineRule="exact"/>
        <w:rPr>
          <w:sz w:val="20"/>
          <w:szCs w:val="20"/>
          <w:color w:val="auto"/>
        </w:rPr>
      </w:pPr>
    </w:p>
    <w:p>
      <w:pPr>
        <w:ind w:right="40" w:firstLine="640"/>
        <w:spacing w:after="0" w:line="261" w:lineRule="auto"/>
        <w:rPr>
          <w:sz w:val="20"/>
          <w:szCs w:val="20"/>
          <w:color w:val="auto"/>
        </w:rPr>
      </w:pPr>
      <w:r>
        <w:rPr>
          <w:rFonts w:ascii="Arial" w:cs="Arial" w:eastAsia="Arial" w:hAnsi="Arial"/>
          <w:sz w:val="21"/>
          <w:szCs w:val="21"/>
          <w:color w:val="auto"/>
        </w:rPr>
        <w:t>The determination of Relative TSR will be made in the sole discretion of the Committee, after the end of the TSR Performance Period once the applicable year-end audit is available. The Committee has discretion to accelerate the vesting of all or a portion of the Participant’s TSR Performance Award based upon the overall performance of the Company and/or the Participant or based upon any change in business conditions.</w:t>
      </w:r>
    </w:p>
    <w:p>
      <w:pPr>
        <w:spacing w:after="0" w:line="63" w:lineRule="exact"/>
        <w:rPr>
          <w:sz w:val="20"/>
          <w:szCs w:val="20"/>
          <w:color w:val="auto"/>
        </w:rPr>
      </w:pPr>
    </w:p>
    <w:p>
      <w:pPr>
        <w:ind w:left="500" w:hanging="493"/>
        <w:spacing w:after="0"/>
        <w:tabs>
          <w:tab w:leader="none" w:pos="500"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Definitions.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Exhibit A, the following terms have the meanings set forth below:</w:t>
      </w:r>
    </w:p>
    <w:p>
      <w:pPr>
        <w:spacing w:after="0" w:line="118" w:lineRule="exact"/>
        <w:rPr>
          <w:sz w:val="20"/>
          <w:szCs w:val="20"/>
          <w:color w:val="auto"/>
        </w:rPr>
      </w:pPr>
    </w:p>
    <w:p>
      <w:pPr>
        <w:ind w:right="320"/>
        <w:spacing w:after="0" w:line="336" w:lineRule="auto"/>
        <w:rPr>
          <w:sz w:val="20"/>
          <w:szCs w:val="20"/>
          <w:color w:val="auto"/>
        </w:rPr>
      </w:pPr>
      <w:r>
        <w:rPr>
          <w:rFonts w:ascii="Arial" w:cs="Arial" w:eastAsia="Arial" w:hAnsi="Arial"/>
          <w:sz w:val="19"/>
          <w:szCs w:val="19"/>
          <w:color w:val="auto"/>
        </w:rPr>
        <w:t>“Comparator Group” shall mean the companies listed on Annex A, attached hereto. Each such company shall be included in the Comparator Group only if the company is publicly-traded at both the beginning and end of the TSR Performance Period.</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21"/>
          <w:szCs w:val="21"/>
          <w:color w:val="auto"/>
        </w:rPr>
        <w:t>“Per Share Price” shall mean the average of the closing prices of common shares for the applicable company during the thirty (30) consecutive trading days ending on the day immediately preceding the applicable measurement date.</w:t>
      </w:r>
    </w:p>
    <w:p>
      <w:pPr>
        <w:spacing w:after="0" w:line="48" w:lineRule="exact"/>
        <w:rPr>
          <w:sz w:val="20"/>
          <w:szCs w:val="20"/>
          <w:color w:val="auto"/>
        </w:rPr>
      </w:pPr>
    </w:p>
    <w:p>
      <w:pPr>
        <w:spacing w:after="0" w:line="281" w:lineRule="auto"/>
        <w:rPr>
          <w:sz w:val="20"/>
          <w:szCs w:val="20"/>
          <w:color w:val="auto"/>
        </w:rPr>
      </w:pPr>
      <w:r>
        <w:rPr>
          <w:rFonts w:ascii="Arial" w:cs="Arial" w:eastAsia="Arial" w:hAnsi="Arial"/>
          <w:sz w:val="21"/>
          <w:szCs w:val="21"/>
          <w:color w:val="auto"/>
        </w:rPr>
        <w:t>“Relative TSR” shall mean the percentile ranking of the Company’s Total Shareholder Return as compared to the Total Shareholder Return of each company in the Comparator Group.</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78" w:lineRule="exact"/>
        <w:rPr>
          <w:sz w:val="20"/>
          <w:szCs w:val="20"/>
          <w:color w:val="auto"/>
        </w:rPr>
      </w:pPr>
    </w:p>
    <w:p>
      <w:pPr>
        <w:spacing w:after="0" w:line="308" w:lineRule="auto"/>
        <w:rPr>
          <w:sz w:val="20"/>
          <w:szCs w:val="20"/>
          <w:color w:val="auto"/>
        </w:rPr>
      </w:pPr>
      <w:r>
        <w:rPr>
          <w:rFonts w:ascii="Arial" w:cs="Arial" w:eastAsia="Arial" w:hAnsi="Arial"/>
          <w:sz w:val="20"/>
          <w:szCs w:val="20"/>
          <w:color w:val="auto"/>
        </w:rPr>
        <w:t>“Total Shareholder Return” shall mean the appreciation of the Per Share Price during the TSR Performance Period, plus any dividends paid on the applicable company’s common stock during such TSR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0600"/>
          </w:cols>
          <w:pgMar w:left="320" w:top="1440" w:right="979" w:bottom="1440" w:gutter="0" w:footer="0" w:header="0"/>
        </w:sectPr>
      </w:pPr>
    </w:p>
    <w:bookmarkStart w:id="82" w:name="page83"/>
    <w:bookmarkEnd w:id="82"/>
    <w:p>
      <w:pPr>
        <w:spacing w:after="0" w:line="72"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ANNEX A</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Comparator Group</w:t>
      </w:r>
    </w:p>
    <w:p>
      <w:pPr>
        <w:spacing w:after="0" w:line="124" w:lineRule="exact"/>
        <w:rPr>
          <w:sz w:val="20"/>
          <w:szCs w:val="20"/>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AbbVie Inc. (ABBV)</w:t>
      </w:r>
    </w:p>
    <w:p>
      <w:pPr>
        <w:spacing w:after="0" w:line="29"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Abbott Laboratories (ABT)</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Alkermes plc (ALKS)</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Amgen Inc. (AMGN)</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Amneal Pharmaceuticals Inc. (AMRX)</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AstraZeneca plc (AZN)</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Biogen Inc. (BIIB)</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BioMarin Pharmaceutical Inc. (BMRN)</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Bristol-Myers Squibb Company (BMY)</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Catalent Inc. (CTLT)</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Dr. Reddy’s Laboratories Ltd. (RDY)</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Eli Lilly and Company (LLY)</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Gilead Sciences Inc. (GILD)</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GlaxoSmithKline plc (GSK)</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Horizon Pharma Public Limited Company (HZNP)</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Incyte Corporation (INCY)</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Jazz Pharmaceuticals Public Limited Company (JAZZ)</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Johnson &amp; Johnson (JNJ)</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Lannett Company (LCI)</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Merck &amp; Co. Inc. (MRK)</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Novartis AG (NVS)</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Novo Nordisk A/S (NVO)</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Perrigo Company Public Limited Company (PRGO)</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Pfizer Inc. (PFE)</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Qiagen NV (QGEN)</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Regeneron Pharmaceuticals Inc. (REGN)</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Roche Holding AG (RHHBY)</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Sanofi (SNY)</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Takeda Pharmaceutical Company Limited (TAK)</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Taro Pharmaceutical Industries Ltd. (TARO)</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Teva Pharmaceutical Industries Limited (TEVA)</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United Therapeutics Corporation (UTHR)</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Valeant Pharmaceuticals International, Inc. (VRX)</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Vertex Pharmaceuticals Inc. (VRTX)</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Viatris Inc. (VTRS)</w:t>
      </w:r>
    </w:p>
    <w:p>
      <w:pPr>
        <w:spacing w:after="0" w:line="11" w:lineRule="exact"/>
        <w:rPr>
          <w:rFonts w:ascii="Arial" w:cs="Arial" w:eastAsia="Arial" w:hAnsi="Arial"/>
          <w:sz w:val="21"/>
          <w:szCs w:val="21"/>
          <w:color w:val="auto"/>
        </w:rPr>
      </w:pPr>
    </w:p>
    <w:p>
      <w:pPr>
        <w:ind w:left="640" w:hanging="634"/>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Zoetis Inc. (ZTS)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0920"/>
          </w:cols>
          <w:pgMar w:left="640" w:top="1440" w:right="339" w:bottom="1440" w:gutter="0" w:footer="0" w:header="0"/>
        </w:sectPr>
      </w:pPr>
    </w:p>
    <w:bookmarkStart w:id="83" w:name="page84"/>
    <w:bookmarkEnd w:id="83"/>
    <w:p>
      <w:pPr>
        <w:ind w:left="10140"/>
        <w:spacing w:after="0"/>
        <w:rPr>
          <w:sz w:val="20"/>
          <w:szCs w:val="20"/>
          <w:color w:val="auto"/>
        </w:rPr>
      </w:pPr>
      <w:r>
        <w:rPr>
          <w:rFonts w:ascii="Arial" w:cs="Arial" w:eastAsia="Arial" w:hAnsi="Arial"/>
          <w:sz w:val="21"/>
          <w:szCs w:val="21"/>
          <w:b w:val="1"/>
          <w:bCs w:val="1"/>
          <w:color w:val="auto"/>
        </w:rPr>
        <w:t>EXHIBIT B</w:t>
      </w:r>
    </w:p>
    <w:p>
      <w:pPr>
        <w:spacing w:after="0" w:line="118" w:lineRule="exact"/>
        <w:rPr>
          <w:sz w:val="20"/>
          <w:szCs w:val="20"/>
          <w:color w:val="auto"/>
        </w:rPr>
      </w:pPr>
    </w:p>
    <w:p>
      <w:pPr>
        <w:ind w:right="1100"/>
        <w:spacing w:after="0" w:line="287" w:lineRule="auto"/>
        <w:rPr>
          <w:sz w:val="20"/>
          <w:szCs w:val="20"/>
          <w:color w:val="auto"/>
        </w:rPr>
      </w:pPr>
      <w:r>
        <w:rPr>
          <w:rFonts w:ascii="Arial" w:cs="Arial" w:eastAsia="Arial" w:hAnsi="Arial"/>
          <w:sz w:val="21"/>
          <w:szCs w:val="21"/>
          <w:b w:val="1"/>
          <w:bCs w:val="1"/>
          <w:color w:val="auto"/>
        </w:rPr>
        <w:t>The following exhibit contains the FCF Performance Criteria in respect of 2021 through 2023, which is the FCF Performance Period for the 2021 FCF Performance Award.</w:t>
      </w:r>
    </w:p>
    <w:p>
      <w:pPr>
        <w:spacing w:after="0" w:line="36" w:lineRule="exact"/>
        <w:rPr>
          <w:sz w:val="20"/>
          <w:szCs w:val="20"/>
          <w:color w:val="auto"/>
        </w:rPr>
      </w:pPr>
    </w:p>
    <w:p>
      <w:pPr>
        <w:ind w:left="440" w:hanging="433"/>
        <w:spacing w:after="0"/>
        <w:tabs>
          <w:tab w:leader="none" w:pos="440"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FCF Performance Criteria.</w:t>
      </w:r>
    </w:p>
    <w:p>
      <w:pPr>
        <w:spacing w:after="0" w:line="124" w:lineRule="exact"/>
        <w:rPr>
          <w:sz w:val="20"/>
          <w:szCs w:val="20"/>
          <w:color w:val="auto"/>
        </w:rPr>
      </w:pPr>
    </w:p>
    <w:p>
      <w:pPr>
        <w:ind w:right="160" w:firstLine="640"/>
        <w:spacing w:after="0" w:line="261" w:lineRule="auto"/>
        <w:rPr>
          <w:sz w:val="20"/>
          <w:szCs w:val="20"/>
          <w:color w:val="auto"/>
        </w:rPr>
      </w:pPr>
      <w:r>
        <w:rPr>
          <w:rFonts w:ascii="Arial" w:cs="Arial" w:eastAsia="Arial" w:hAnsi="Arial"/>
          <w:sz w:val="21"/>
          <w:szCs w:val="21"/>
          <w:color w:val="auto"/>
        </w:rPr>
        <w:t>The Participant will be eligible to earn a number of shares of Company Stock equal to the number of restricted stock units underlying the target FCF Performance Award multiplied by the multiple applicable to the FCF Performance Award for the FCF Performance Period, which will be based on achievement of a Target relating to Adjusted Free Cash Flow (the “FCF Performance Criteria”) and determined in accordance with the below:</w:t>
      </w:r>
    </w:p>
    <w:p>
      <w:pPr>
        <w:spacing w:after="0" w:line="125" w:lineRule="exact"/>
        <w:rPr>
          <w:sz w:val="20"/>
          <w:szCs w:val="20"/>
          <w:color w:val="auto"/>
        </w:rPr>
      </w:pPr>
    </w:p>
    <w:tbl>
      <w:tblPr>
        <w:tblLayout w:type="fixed"/>
        <w:tblInd w:w="1060" w:type="dxa"/>
        <w:tblCellMar>
          <w:top w:w="0" w:type="dxa"/>
          <w:left w:w="0" w:type="dxa"/>
          <w:bottom w:w="0" w:type="dxa"/>
          <w:right w:w="0" w:type="dxa"/>
        </w:tblCellMar>
      </w:tblPr>
      <w:tr>
        <w:trPr>
          <w:trHeight w:val="227"/>
        </w:trPr>
        <w:tc>
          <w:tcPr>
            <w:tcW w:w="1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60" w:type="dxa"/>
            <w:vAlign w:val="bottom"/>
          </w:tcPr>
          <w:p>
            <w:pPr>
              <w:jc w:val="center"/>
              <w:ind w:left="491"/>
              <w:spacing w:after="0"/>
              <w:rPr>
                <w:sz w:val="20"/>
                <w:szCs w:val="20"/>
                <w:color w:val="auto"/>
              </w:rPr>
            </w:pPr>
            <w:r>
              <w:rPr>
                <w:rFonts w:ascii="Arial" w:cs="Arial" w:eastAsia="Arial" w:hAnsi="Arial"/>
                <w:sz w:val="18"/>
                <w:szCs w:val="18"/>
                <w:b w:val="1"/>
                <w:bCs w:val="1"/>
                <w:color w:val="auto"/>
                <w:w w:val="91"/>
              </w:rPr>
              <w:t>Multiple Applicable to FCF Performance Award</w:t>
            </w:r>
          </w:p>
        </w:tc>
      </w:tr>
      <w:tr>
        <w:trPr>
          <w:trHeight w:val="192"/>
        </w:trPr>
        <w:tc>
          <w:tcPr>
            <w:tcW w:w="1500" w:type="dxa"/>
            <w:vAlign w:val="bottom"/>
          </w:tcPr>
          <w:p>
            <w:pPr>
              <w:spacing w:after="0"/>
              <w:rPr>
                <w:sz w:val="16"/>
                <w:szCs w:val="16"/>
                <w:color w:val="auto"/>
              </w:rPr>
            </w:pPr>
          </w:p>
        </w:tc>
        <w:tc>
          <w:tcPr>
            <w:tcW w:w="20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0"/>
              </w:rPr>
              <w:t>Adjusted Free Cash Flow*</w:t>
            </w:r>
          </w:p>
        </w:tc>
        <w:tc>
          <w:tcPr>
            <w:tcW w:w="2080" w:type="dxa"/>
            <w:vAlign w:val="bottom"/>
          </w:tcPr>
          <w:p>
            <w:pPr>
              <w:spacing w:after="0"/>
              <w:rPr>
                <w:sz w:val="16"/>
                <w:szCs w:val="16"/>
                <w:color w:val="auto"/>
              </w:rPr>
            </w:pPr>
          </w:p>
        </w:tc>
        <w:tc>
          <w:tcPr>
            <w:tcW w:w="4260" w:type="dxa"/>
            <w:vAlign w:val="bottom"/>
          </w:tcPr>
          <w:p>
            <w:pPr>
              <w:jc w:val="center"/>
              <w:ind w:left="491"/>
              <w:spacing w:after="0" w:line="192" w:lineRule="exact"/>
              <w:rPr>
                <w:sz w:val="20"/>
                <w:szCs w:val="20"/>
                <w:color w:val="auto"/>
              </w:rPr>
            </w:pPr>
            <w:r>
              <w:rPr>
                <w:rFonts w:ascii="Arial" w:cs="Arial" w:eastAsia="Arial" w:hAnsi="Arial"/>
                <w:sz w:val="18"/>
                <w:szCs w:val="18"/>
                <w:b w:val="1"/>
                <w:bCs w:val="1"/>
                <w:color w:val="auto"/>
                <w:w w:val="91"/>
              </w:rPr>
              <w:t>for the FCF Performance Period</w:t>
            </w:r>
          </w:p>
        </w:tc>
      </w:tr>
      <w:tr>
        <w:trPr>
          <w:trHeight w:val="299"/>
        </w:trPr>
        <w:tc>
          <w:tcPr>
            <w:tcW w:w="560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Equal to or greater than 110% of Target</w:t>
            </w:r>
          </w:p>
        </w:tc>
        <w:tc>
          <w:tcPr>
            <w:tcW w:w="4260" w:type="dxa"/>
            <w:vAlign w:val="bottom"/>
          </w:tcPr>
          <w:p>
            <w:pPr>
              <w:jc w:val="center"/>
              <w:ind w:left="491"/>
              <w:spacing w:after="0"/>
              <w:rPr>
                <w:sz w:val="20"/>
                <w:szCs w:val="20"/>
                <w:color w:val="auto"/>
              </w:rPr>
            </w:pPr>
            <w:r>
              <w:rPr>
                <w:rFonts w:ascii="Arial" w:cs="Arial" w:eastAsia="Arial" w:hAnsi="Arial"/>
                <w:sz w:val="18"/>
                <w:szCs w:val="18"/>
                <w:color w:val="auto"/>
                <w:w w:val="79"/>
              </w:rPr>
              <w:t>2</w:t>
            </w:r>
          </w:p>
        </w:tc>
      </w:tr>
      <w:tr>
        <w:trPr>
          <w:trHeight w:val="280"/>
        </w:trPr>
        <w:tc>
          <w:tcPr>
            <w:tcW w:w="560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Equal to or greater than 107.5% of Target but less than 110% of Target</w:t>
            </w:r>
          </w:p>
        </w:tc>
        <w:tc>
          <w:tcPr>
            <w:tcW w:w="4260" w:type="dxa"/>
            <w:vAlign w:val="bottom"/>
          </w:tcPr>
          <w:p>
            <w:pPr>
              <w:jc w:val="center"/>
              <w:ind w:left="491"/>
              <w:spacing w:after="0"/>
              <w:rPr>
                <w:sz w:val="20"/>
                <w:szCs w:val="20"/>
                <w:color w:val="auto"/>
              </w:rPr>
            </w:pPr>
            <w:r>
              <w:rPr>
                <w:rFonts w:ascii="Arial" w:cs="Arial" w:eastAsia="Arial" w:hAnsi="Arial"/>
                <w:sz w:val="18"/>
                <w:szCs w:val="18"/>
                <w:color w:val="auto"/>
                <w:w w:val="91"/>
              </w:rPr>
              <w:t>1.75</w:t>
            </w:r>
          </w:p>
        </w:tc>
      </w:tr>
      <w:tr>
        <w:trPr>
          <w:trHeight w:val="280"/>
        </w:trPr>
        <w:tc>
          <w:tcPr>
            <w:tcW w:w="560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Equal to or greater than 105% of Target but less than 107.5% of Target</w:t>
            </w:r>
          </w:p>
        </w:tc>
        <w:tc>
          <w:tcPr>
            <w:tcW w:w="4260" w:type="dxa"/>
            <w:vAlign w:val="bottom"/>
          </w:tcPr>
          <w:p>
            <w:pPr>
              <w:jc w:val="center"/>
              <w:ind w:left="471"/>
              <w:spacing w:after="0"/>
              <w:rPr>
                <w:sz w:val="20"/>
                <w:szCs w:val="20"/>
                <w:color w:val="auto"/>
              </w:rPr>
            </w:pPr>
            <w:r>
              <w:rPr>
                <w:rFonts w:ascii="Arial" w:cs="Arial" w:eastAsia="Arial" w:hAnsi="Arial"/>
                <w:sz w:val="18"/>
                <w:szCs w:val="18"/>
                <w:color w:val="auto"/>
                <w:w w:val="87"/>
              </w:rPr>
              <w:t>1.5</w:t>
            </w:r>
          </w:p>
        </w:tc>
      </w:tr>
      <w:tr>
        <w:trPr>
          <w:trHeight w:val="280"/>
        </w:trPr>
        <w:tc>
          <w:tcPr>
            <w:tcW w:w="560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Equal to or greater than 102.5% of Target but less than 105% of Target</w:t>
            </w:r>
          </w:p>
        </w:tc>
        <w:tc>
          <w:tcPr>
            <w:tcW w:w="4260" w:type="dxa"/>
            <w:vAlign w:val="bottom"/>
          </w:tcPr>
          <w:p>
            <w:pPr>
              <w:jc w:val="center"/>
              <w:ind w:left="491"/>
              <w:spacing w:after="0"/>
              <w:rPr>
                <w:sz w:val="20"/>
                <w:szCs w:val="20"/>
                <w:color w:val="auto"/>
              </w:rPr>
            </w:pPr>
            <w:r>
              <w:rPr>
                <w:rFonts w:ascii="Arial" w:cs="Arial" w:eastAsia="Arial" w:hAnsi="Arial"/>
                <w:sz w:val="18"/>
                <w:szCs w:val="18"/>
                <w:color w:val="auto"/>
                <w:w w:val="91"/>
              </w:rPr>
              <w:t>1.25</w:t>
            </w:r>
          </w:p>
        </w:tc>
      </w:tr>
      <w:tr>
        <w:trPr>
          <w:trHeight w:val="280"/>
        </w:trPr>
        <w:tc>
          <w:tcPr>
            <w:tcW w:w="560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Equal to or greater than 100% of Target but less than 102.5% of Target</w:t>
            </w:r>
          </w:p>
        </w:tc>
        <w:tc>
          <w:tcPr>
            <w:tcW w:w="4260" w:type="dxa"/>
            <w:vAlign w:val="bottom"/>
          </w:tcPr>
          <w:p>
            <w:pPr>
              <w:jc w:val="center"/>
              <w:ind w:left="491"/>
              <w:spacing w:after="0"/>
              <w:rPr>
                <w:sz w:val="20"/>
                <w:szCs w:val="20"/>
                <w:color w:val="auto"/>
              </w:rPr>
            </w:pPr>
            <w:r>
              <w:rPr>
                <w:rFonts w:ascii="Arial" w:cs="Arial" w:eastAsia="Arial" w:hAnsi="Arial"/>
                <w:sz w:val="18"/>
                <w:szCs w:val="18"/>
                <w:color w:val="auto"/>
                <w:w w:val="79"/>
              </w:rPr>
              <w:t>1</w:t>
            </w:r>
          </w:p>
        </w:tc>
      </w:tr>
      <w:tr>
        <w:trPr>
          <w:trHeight w:val="280"/>
        </w:trPr>
        <w:tc>
          <w:tcPr>
            <w:tcW w:w="560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Equal to or greater than 95% of Target but less than 100% of Target</w:t>
            </w:r>
          </w:p>
        </w:tc>
        <w:tc>
          <w:tcPr>
            <w:tcW w:w="4260" w:type="dxa"/>
            <w:vAlign w:val="bottom"/>
          </w:tcPr>
          <w:p>
            <w:pPr>
              <w:jc w:val="center"/>
              <w:ind w:left="491"/>
              <w:spacing w:after="0"/>
              <w:rPr>
                <w:sz w:val="20"/>
                <w:szCs w:val="20"/>
                <w:color w:val="auto"/>
              </w:rPr>
            </w:pPr>
            <w:r>
              <w:rPr>
                <w:rFonts w:ascii="Arial" w:cs="Arial" w:eastAsia="Arial" w:hAnsi="Arial"/>
                <w:sz w:val="18"/>
                <w:szCs w:val="18"/>
                <w:color w:val="auto"/>
                <w:w w:val="91"/>
              </w:rPr>
              <w:t>0.75</w:t>
            </w:r>
          </w:p>
        </w:tc>
      </w:tr>
      <w:tr>
        <w:trPr>
          <w:trHeight w:val="280"/>
        </w:trPr>
        <w:tc>
          <w:tcPr>
            <w:tcW w:w="560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Equal to or greater than 90% of Target but less than 95% of Target</w:t>
            </w:r>
          </w:p>
        </w:tc>
        <w:tc>
          <w:tcPr>
            <w:tcW w:w="4260" w:type="dxa"/>
            <w:vAlign w:val="bottom"/>
          </w:tcPr>
          <w:p>
            <w:pPr>
              <w:jc w:val="center"/>
              <w:ind w:left="471"/>
              <w:spacing w:after="0"/>
              <w:rPr>
                <w:sz w:val="20"/>
                <w:szCs w:val="20"/>
                <w:color w:val="auto"/>
              </w:rPr>
            </w:pPr>
            <w:r>
              <w:rPr>
                <w:rFonts w:ascii="Arial" w:cs="Arial" w:eastAsia="Arial" w:hAnsi="Arial"/>
                <w:sz w:val="18"/>
                <w:szCs w:val="18"/>
                <w:color w:val="auto"/>
                <w:w w:val="87"/>
              </w:rPr>
              <w:t>0.5</w:t>
            </w:r>
          </w:p>
        </w:tc>
      </w:tr>
      <w:tr>
        <w:trPr>
          <w:trHeight w:val="280"/>
        </w:trPr>
        <w:tc>
          <w:tcPr>
            <w:tcW w:w="1500" w:type="dxa"/>
            <w:vAlign w:val="bottom"/>
          </w:tcPr>
          <w:p>
            <w:pPr>
              <w:spacing w:after="0"/>
              <w:rPr>
                <w:sz w:val="24"/>
                <w:szCs w:val="24"/>
                <w:color w:val="auto"/>
              </w:rPr>
            </w:pPr>
          </w:p>
        </w:tc>
        <w:tc>
          <w:tcPr>
            <w:tcW w:w="4100" w:type="dxa"/>
            <w:vAlign w:val="bottom"/>
            <w:gridSpan w:val="2"/>
          </w:tcPr>
          <w:p>
            <w:pPr>
              <w:jc w:val="center"/>
              <w:ind w:right="2080"/>
              <w:spacing w:after="0"/>
              <w:rPr>
                <w:sz w:val="20"/>
                <w:szCs w:val="20"/>
                <w:color w:val="auto"/>
              </w:rPr>
            </w:pPr>
            <w:r>
              <w:rPr>
                <w:rFonts w:ascii="Arial" w:cs="Arial" w:eastAsia="Arial" w:hAnsi="Arial"/>
                <w:sz w:val="18"/>
                <w:szCs w:val="18"/>
                <w:color w:val="auto"/>
                <w:w w:val="88"/>
              </w:rPr>
              <w:t>Less than 90% of Target</w:t>
            </w:r>
          </w:p>
        </w:tc>
        <w:tc>
          <w:tcPr>
            <w:tcW w:w="4260" w:type="dxa"/>
            <w:vAlign w:val="bottom"/>
          </w:tcPr>
          <w:p>
            <w:pPr>
              <w:jc w:val="center"/>
              <w:ind w:left="491"/>
              <w:spacing w:after="0"/>
              <w:rPr>
                <w:sz w:val="20"/>
                <w:szCs w:val="20"/>
                <w:color w:val="auto"/>
              </w:rPr>
            </w:pPr>
            <w:r>
              <w:rPr>
                <w:rFonts w:ascii="Arial" w:cs="Arial" w:eastAsia="Arial" w:hAnsi="Arial"/>
                <w:sz w:val="18"/>
                <w:szCs w:val="18"/>
                <w:color w:val="auto"/>
                <w:w w:val="79"/>
              </w:rPr>
              <w:t>0</w:t>
            </w:r>
          </w:p>
        </w:tc>
      </w:tr>
    </w:tbl>
    <w:p>
      <w:pPr>
        <w:spacing w:after="0" w:line="220" w:lineRule="exact"/>
        <w:rPr>
          <w:sz w:val="20"/>
          <w:szCs w:val="20"/>
          <w:color w:val="auto"/>
        </w:rPr>
      </w:pPr>
    </w:p>
    <w:p>
      <w:pPr>
        <w:ind w:right="100" w:firstLine="213"/>
        <w:spacing w:after="0" w:line="261" w:lineRule="auto"/>
        <w:rPr>
          <w:sz w:val="20"/>
          <w:szCs w:val="20"/>
          <w:color w:val="auto"/>
        </w:rPr>
      </w:pPr>
      <w:r>
        <w:rPr>
          <w:rFonts w:ascii="Arial" w:cs="Arial" w:eastAsia="Arial" w:hAnsi="Arial"/>
          <w:sz w:val="21"/>
          <w:szCs w:val="21"/>
          <w:color w:val="auto"/>
        </w:rPr>
        <w:t>If Adjusted Free Cash Flow is equal to or greater than 90% of Target but below 110% of Target, the Participant will earn a number of shares of Company Stock that is the mathematical linear interpolation between the number of shares of Company Stock that would be earned at the defined ends of the applicable spectrum. No such interpolation shall occur in the event that Adjusted Free Cash Flow is less than 90% of Target or equal to or greater than 110% of Target.</w:t>
      </w:r>
    </w:p>
    <w:p>
      <w:pPr>
        <w:spacing w:after="0" w:line="69" w:lineRule="exact"/>
        <w:rPr>
          <w:sz w:val="20"/>
          <w:szCs w:val="20"/>
          <w:color w:val="auto"/>
        </w:rPr>
      </w:pPr>
    </w:p>
    <w:p>
      <w:pPr>
        <w:ind w:right="260" w:firstLine="640"/>
        <w:spacing w:after="0" w:line="259" w:lineRule="auto"/>
        <w:rPr>
          <w:sz w:val="20"/>
          <w:szCs w:val="20"/>
          <w:color w:val="auto"/>
        </w:rPr>
      </w:pPr>
      <w:r>
        <w:rPr>
          <w:rFonts w:ascii="Arial" w:cs="Arial" w:eastAsia="Arial" w:hAnsi="Arial"/>
          <w:sz w:val="21"/>
          <w:szCs w:val="21"/>
          <w:color w:val="auto"/>
        </w:rPr>
        <w:t>The determination of Adjusted Free Cash Flow will be made in the sole discretion of the Committee, after the end of the FCF Performance Period once the 2023 year-end audit is available. The Committee may adjust the FCF Performance Award in a manner approved by the Committee at the time of the grant of the FCF Performance Award. The Committee has discretion to increase the portion of the Participant’s FCF Performance Award earned based upon the overall performance of the Company and/or the Participant or based upon any change in business conditions.</w:t>
      </w:r>
    </w:p>
    <w:p>
      <w:pPr>
        <w:spacing w:after="0" w:line="64" w:lineRule="exact"/>
        <w:rPr>
          <w:sz w:val="20"/>
          <w:szCs w:val="20"/>
          <w:color w:val="auto"/>
        </w:rPr>
      </w:pPr>
    </w:p>
    <w:p>
      <w:pPr>
        <w:ind w:left="560" w:hanging="553"/>
        <w:spacing w:after="0"/>
        <w:tabs>
          <w:tab w:leader="none" w:pos="560"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Definitions.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Exhibit B, the following terms have the meanings set forth below:</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“Adjusted EBITDA” shall have the meaning set forth in the most recent Form 8-K filed by the Company with the Securities and Exchange Commission (SEC) immediately preceding the date on which the Committee approves the Target, for which the purpose of such 8-K was to furnish to the SEC the Company’s earnings press release (a copy of such Form 8-K filing is available on the Company’s website)</w:t>
      </w:r>
    </w:p>
    <w:p>
      <w:pPr>
        <w:spacing w:after="0" w:line="69" w:lineRule="exact"/>
        <w:rPr>
          <w:sz w:val="20"/>
          <w:szCs w:val="20"/>
          <w:color w:val="auto"/>
        </w:rPr>
      </w:pPr>
    </w:p>
    <w:p>
      <w:pPr>
        <w:ind w:right="520"/>
        <w:spacing w:after="0" w:line="281" w:lineRule="auto"/>
        <w:rPr>
          <w:sz w:val="20"/>
          <w:szCs w:val="20"/>
          <w:color w:val="auto"/>
        </w:rPr>
      </w:pPr>
      <w:r>
        <w:rPr>
          <w:rFonts w:ascii="Arial" w:cs="Arial" w:eastAsia="Arial" w:hAnsi="Arial"/>
          <w:sz w:val="21"/>
          <w:szCs w:val="21"/>
          <w:color w:val="auto"/>
        </w:rPr>
        <w:t>“Capital Expenditures” shall mean the Company’s purchases of property, plant and equipment (including capitalized software costs).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1405" w:right="339" w:bottom="1440" w:gutter="0" w:footer="0" w:header="0"/>
        </w:sectPr>
      </w:pPr>
    </w:p>
    <w:bookmarkStart w:id="84" w:name="page85"/>
    <w:bookmarkEnd w:id="84"/>
    <w:p>
      <w:pPr>
        <w:spacing w:after="0" w:line="78" w:lineRule="exact"/>
        <w:rPr>
          <w:sz w:val="20"/>
          <w:szCs w:val="20"/>
          <w:color w:val="auto"/>
        </w:rPr>
      </w:pPr>
    </w:p>
    <w:p>
      <w:pPr>
        <w:ind w:right="40"/>
        <w:spacing w:after="0" w:line="336" w:lineRule="auto"/>
        <w:rPr>
          <w:sz w:val="20"/>
          <w:szCs w:val="20"/>
          <w:color w:val="auto"/>
        </w:rPr>
      </w:pPr>
      <w:r>
        <w:rPr>
          <w:rFonts w:ascii="Arial" w:cs="Arial" w:eastAsia="Arial" w:hAnsi="Arial"/>
          <w:sz w:val="19"/>
          <w:szCs w:val="19"/>
          <w:color w:val="auto"/>
        </w:rPr>
        <w:t>“Changes in Net Working Capital” shall mean changes in accounts receivable adjusted for non-cash items, plus changes in inventory adjusted for long-term and non-cash items, less changes in accounts payable adjusted for royalties and rebates.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“Adjusted Free Cash Flow” shall mean the metric that is calculated according to the following formula: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Adjusted EBITDA</w:t>
      </w:r>
    </w:p>
    <w:p>
      <w:pPr>
        <w:spacing w:after="0" w:line="92" w:lineRule="exact"/>
        <w:rPr>
          <w:sz w:val="20"/>
          <w:szCs w:val="20"/>
          <w:color w:val="auto"/>
        </w:rPr>
      </w:pPr>
    </w:p>
    <w:p>
      <w:pPr>
        <w:ind w:left="180"/>
        <w:spacing w:after="0"/>
        <w:tabs>
          <w:tab w:leader="none" w:pos="60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Changes in Net Working Capital</w:t>
      </w:r>
    </w:p>
    <w:p>
      <w:pPr>
        <w:spacing w:after="0" w:line="92" w:lineRule="exact"/>
        <w:rPr>
          <w:sz w:val="20"/>
          <w:szCs w:val="20"/>
          <w:color w:val="auto"/>
        </w:rPr>
      </w:pPr>
    </w:p>
    <w:p>
      <w:pPr>
        <w:ind w:left="620" w:hanging="349"/>
        <w:spacing w:after="0"/>
        <w:tabs>
          <w:tab w:leader="none" w:pos="620" w:val="left"/>
        </w:tabs>
        <w:numPr>
          <w:ilvl w:val="0"/>
          <w:numId w:val="63"/>
        </w:numPr>
        <w:rPr>
          <w:rFonts w:ascii="Arial" w:cs="Arial" w:eastAsia="Arial" w:hAnsi="Arial"/>
          <w:sz w:val="21"/>
          <w:szCs w:val="21"/>
          <w:color w:val="auto"/>
        </w:rPr>
      </w:pPr>
      <w:r>
        <w:rPr>
          <w:rFonts w:ascii="Arial" w:cs="Arial" w:eastAsia="Arial" w:hAnsi="Arial"/>
          <w:sz w:val="21"/>
          <w:szCs w:val="21"/>
          <w:color w:val="auto"/>
        </w:rPr>
        <w:t>Capital Expenditures</w:t>
      </w:r>
    </w:p>
    <w:p>
      <w:pPr>
        <w:spacing w:after="0" w:line="92" w:lineRule="exact"/>
        <w:rPr>
          <w:sz w:val="20"/>
          <w:szCs w:val="20"/>
          <w:color w:val="auto"/>
        </w:rPr>
      </w:pPr>
    </w:p>
    <w:p>
      <w:pPr>
        <w:ind w:left="620" w:right="60" w:hanging="442"/>
        <w:spacing w:after="0" w:line="326" w:lineRule="auto"/>
        <w:tabs>
          <w:tab w:leader="none" w:pos="60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In the case of any one or more acquisitions that occur after the formal Committee approval of the Target, the free cash flow arising from the acquiree’s operations subsequent to the date on which such acquiree is first consolidated by the Company (the direction of this adjustment shall be to neutralize the impact of any such acquisitions)</w:t>
      </w:r>
    </w:p>
    <w:p>
      <w:pPr>
        <w:spacing w:after="0" w:line="3" w:lineRule="exact"/>
        <w:rPr>
          <w:sz w:val="20"/>
          <w:szCs w:val="20"/>
          <w:color w:val="auto"/>
        </w:rPr>
      </w:pPr>
    </w:p>
    <w:p>
      <w:pPr>
        <w:ind w:left="620" w:hanging="442"/>
        <w:spacing w:after="0" w:line="288" w:lineRule="auto"/>
        <w:tabs>
          <w:tab w:leader="none" w:pos="600" w:val="left"/>
        </w:tabs>
        <w:rPr>
          <w:sz w:val="20"/>
          <w:szCs w:val="20"/>
          <w:color w:val="auto"/>
        </w:rPr>
      </w:pPr>
      <w:r>
        <w:rPr>
          <w:rFonts w:ascii="Arial" w:cs="Arial" w:eastAsia="Arial" w:hAnsi="Arial"/>
          <w:sz w:val="21"/>
          <w:szCs w:val="21"/>
          <w:color w:val="auto"/>
        </w:rPr>
        <w:t>+/-</w:t>
        <w:tab/>
        <w:t>In the case of any one or more divestitures that occur after the formal Committee approval of the Target, the free cash flows of the divestee’s operations that were forgone (at Target levels) subsequent to the date on which such divestee is first deconsolidated by the Company (the direction of this adjustment shall be to neutralize the impact of any such divestitures)</w:t>
      </w:r>
    </w:p>
    <w:p>
      <w:pPr>
        <w:spacing w:after="0" w:line="14" w:lineRule="exact"/>
        <w:rPr>
          <w:sz w:val="20"/>
          <w:szCs w:val="20"/>
          <w:color w:val="auto"/>
        </w:rPr>
      </w:pPr>
    </w:p>
    <w:p>
      <w:pPr>
        <w:ind w:left="620" w:right="160" w:hanging="442"/>
        <w:spacing w:after="0" w:line="288" w:lineRule="auto"/>
        <w:tabs>
          <w:tab w:leader="none" w:pos="600" w:val="left"/>
        </w:tabs>
        <w:rPr>
          <w:sz w:val="20"/>
          <w:szCs w:val="20"/>
          <w:color w:val="auto"/>
        </w:rPr>
      </w:pPr>
      <w:r>
        <w:rPr>
          <w:rFonts w:ascii="Arial" w:cs="Arial" w:eastAsia="Arial" w:hAnsi="Arial"/>
          <w:sz w:val="21"/>
          <w:szCs w:val="21"/>
          <w:color w:val="auto"/>
        </w:rPr>
        <w:t>+/-</w:t>
        <w:tab/>
        <w:t>In the case of any one or more acquisitions or divestitures that occur after the formal Committee approval of the Target, any other income, expenses, gains or losses not otherwise adjusted for in this formula that are directly related to such acquisitions or divestitures (the direction of this adjustment shall be to neutralize the impact of any such acquisitions or divestitures)</w:t>
      </w:r>
    </w:p>
    <w:p>
      <w:pPr>
        <w:spacing w:after="0" w:line="14" w:lineRule="exact"/>
        <w:rPr>
          <w:sz w:val="20"/>
          <w:szCs w:val="20"/>
          <w:color w:val="auto"/>
        </w:rPr>
      </w:pPr>
    </w:p>
    <w:p>
      <w:pPr>
        <w:ind w:left="620" w:right="20" w:hanging="442"/>
        <w:spacing w:after="0" w:line="306" w:lineRule="auto"/>
        <w:tabs>
          <w:tab w:leader="none" w:pos="60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0"/>
          <w:szCs w:val="20"/>
          <w:color w:val="auto"/>
        </w:rPr>
        <w:t>In the case of any one or more changes to our methodology for calculating Adjusted EBITDA, Changes in Net Working Capital or Capital Expenditures that occur after the formal Committee approval of the Target, any residual impacts to Adjusted Free Cash Flow not otherwise adjusted for in this formula that are directly related to such changes (the direction of this adjustment shall be to neutralize the impact of any such changes)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“Target” shall mean [ ] USD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B-2</w:t>
      </w:r>
    </w:p>
    <w:p>
      <w:pPr>
        <w:sectPr>
          <w:pgSz w:w="11900" w:h="16838" w:orient="portrait"/>
          <w:cols w:equalWidth="0" w:num="1">
            <w:col w:w="10500"/>
          </w:cols>
          <w:pgMar w:left="320" w:top="1440" w:right="1079" w:bottom="1440" w:gutter="0" w:footer="0" w:header="0"/>
        </w:sectPr>
      </w:pPr>
    </w:p>
    <w:bookmarkStart w:id="85" w:name="page86"/>
    <w:bookmarkEnd w:id="85"/>
    <w:p>
      <w:pPr>
        <w:jc w:val="right"/>
        <w:spacing w:after="0"/>
        <w:rPr>
          <w:sz w:val="20"/>
          <w:szCs w:val="20"/>
          <w:color w:val="auto"/>
        </w:rPr>
      </w:pPr>
      <w:r>
        <w:rPr>
          <w:rFonts w:ascii="Arial" w:cs="Arial" w:eastAsia="Arial" w:hAnsi="Arial"/>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Grant No.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ENDO INTERNATIONAL PLC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LONG-TERM CASH AWARD AGREEMENT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AMENDED AND RESTATED 2015 STOCK INCENTIVE PLAN</w:t>
      </w:r>
    </w:p>
    <w:p>
      <w:pPr>
        <w:spacing w:after="0" w:line="100" w:lineRule="exact"/>
        <w:rPr>
          <w:sz w:val="20"/>
          <w:szCs w:val="20"/>
          <w:color w:val="auto"/>
        </w:rPr>
      </w:pPr>
    </w:p>
    <w:p>
      <w:pPr>
        <w:ind w:right="20" w:firstLine="1279"/>
        <w:spacing w:after="0" w:line="259" w:lineRule="auto"/>
        <w:rPr>
          <w:sz w:val="20"/>
          <w:szCs w:val="20"/>
          <w:color w:val="auto"/>
        </w:rPr>
      </w:pPr>
      <w:r>
        <w:rPr>
          <w:rFonts w:ascii="Arial" w:cs="Arial" w:eastAsia="Arial" w:hAnsi="Arial"/>
          <w:sz w:val="21"/>
          <w:szCs w:val="21"/>
          <w:color w:val="auto"/>
        </w:rPr>
        <w:t>This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21"/>
          <w:szCs w:val="21"/>
          <w:color w:val="auto"/>
        </w:rPr>
        <w:t>Name of Participant:</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21"/>
          <w:szCs w:val="21"/>
          <w:color w:val="auto"/>
        </w:rPr>
        <w:t>Total Amount of Restricted Cash Subject to the Award:</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21"/>
          <w:szCs w:val="21"/>
          <w:color w:val="auto"/>
        </w:rPr>
        <w:t>Date of Grant:</w:t>
      </w:r>
    </w:p>
    <w:p>
      <w:pPr>
        <w:spacing w:after="0" w:line="92" w:lineRule="exact"/>
        <w:rPr>
          <w:sz w:val="20"/>
          <w:szCs w:val="20"/>
          <w:color w:val="auto"/>
        </w:rPr>
      </w:pPr>
    </w:p>
    <w:p>
      <w:pPr>
        <w:ind w:left="5020" w:right="60" w:hanging="4783"/>
        <w:spacing w:after="0" w:line="306" w:lineRule="auto"/>
        <w:tabs>
          <w:tab w:leader="none" w:pos="5000" w:val="left"/>
        </w:tabs>
        <w:rPr>
          <w:sz w:val="20"/>
          <w:szCs w:val="20"/>
          <w:color w:val="auto"/>
        </w:rPr>
      </w:pPr>
      <w:r>
        <w:rPr>
          <w:rFonts w:ascii="Arial" w:cs="Arial" w:eastAsia="Arial" w:hAnsi="Arial"/>
          <w:sz w:val="21"/>
          <w:szCs w:val="21"/>
          <w:color w:val="auto"/>
        </w:rPr>
        <w:t>Vesting Dates:</w:t>
      </w:r>
      <w:r>
        <w:rPr>
          <w:sz w:val="20"/>
          <w:szCs w:val="20"/>
          <w:color w:val="auto"/>
        </w:rPr>
        <w:tab/>
      </w:r>
      <w:r>
        <w:rPr>
          <w:rFonts w:ascii="Arial" w:cs="Arial" w:eastAsia="Arial" w:hAnsi="Arial"/>
          <w:sz w:val="20"/>
          <w:szCs w:val="20"/>
          <w:color w:val="auto"/>
        </w:rPr>
        <w:t>Award vests ratably in 6 tranches with the first tranche vesting six months following the Date of Grant and each additional tranche vesting six months following the prior vesting date such that the entire Award is vested on the third anniversary of the Date of Grant.</w:t>
      </w:r>
    </w:p>
    <w:p>
      <w:pPr>
        <w:spacing w:after="0" w:line="200" w:lineRule="exact"/>
        <w:rPr>
          <w:sz w:val="20"/>
          <w:szCs w:val="20"/>
          <w:color w:val="auto"/>
        </w:rPr>
      </w:pPr>
    </w:p>
    <w:p>
      <w:pPr>
        <w:spacing w:after="0" w:line="320" w:lineRule="exact"/>
        <w:rPr>
          <w:sz w:val="20"/>
          <w:szCs w:val="20"/>
          <w:color w:val="auto"/>
        </w:rPr>
      </w:pPr>
    </w:p>
    <w:p>
      <w:pPr>
        <w:ind w:right="720" w:firstLine="646"/>
        <w:spacing w:after="0" w:line="281" w:lineRule="auto"/>
        <w:tabs>
          <w:tab w:leader="none" w:pos="1279"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Grant of Award</w:t>
      </w:r>
      <w:r>
        <w:rPr>
          <w:rFonts w:ascii="Arial" w:cs="Arial" w:eastAsia="Arial" w:hAnsi="Arial"/>
          <w:sz w:val="21"/>
          <w:szCs w:val="21"/>
          <w:color w:val="auto"/>
        </w:rPr>
        <w:t>. The Company hereby grants to the Participant the restricted cash award set forth above (the “Award”), subject to all of the terms and conditions of this Award Agreement and the Plan.</w:t>
      </w:r>
    </w:p>
    <w:p>
      <w:pPr>
        <w:spacing w:after="0" w:line="47" w:lineRule="exact"/>
        <w:rPr>
          <w:rFonts w:ascii="Arial" w:cs="Arial" w:eastAsia="Arial" w:hAnsi="Arial"/>
          <w:sz w:val="21"/>
          <w:szCs w:val="21"/>
          <w:color w:val="auto"/>
        </w:rPr>
      </w:pPr>
    </w:p>
    <w:p>
      <w:pPr>
        <w:ind w:right="80" w:firstLine="646"/>
        <w:spacing w:after="0" w:line="273" w:lineRule="auto"/>
        <w:tabs>
          <w:tab w:leader="none" w:pos="1279"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Form of Payment and Vesting</w:t>
      </w:r>
      <w:r>
        <w:rPr>
          <w:rFonts w:ascii="Arial" w:cs="Arial" w:eastAsia="Arial" w:hAnsi="Arial"/>
          <w:sz w:val="20"/>
          <w:szCs w:val="20"/>
          <w:color w:val="auto"/>
        </w:rPr>
        <w:t>. The Award granted hereunder shall vest on the vesting dates set forth above, provided that the Participant is employed by the Company or one of its Subsidiaries on the applicable vesting date (except as set forth in Paragraph 4 of this Award Agreement). The Participant shall be entitled to receive an amount in cash equal to one-sixth (1/6) of the total amount of restricted cash subject to the Award as soon as practicable following the applicable vesting date, but no later than the later to occur of (a) the end of the calendar year in which the applicable vesting date occurs and (b) the fifteenth day of the third calendar month following the applicable vesting date.</w:t>
      </w:r>
    </w:p>
    <w:p>
      <w:pPr>
        <w:spacing w:after="0" w:line="56" w:lineRule="exact"/>
        <w:rPr>
          <w:rFonts w:ascii="Arial" w:cs="Arial" w:eastAsia="Arial" w:hAnsi="Arial"/>
          <w:sz w:val="20"/>
          <w:szCs w:val="20"/>
          <w:color w:val="auto"/>
        </w:rPr>
      </w:pPr>
    </w:p>
    <w:p>
      <w:pPr>
        <w:ind w:right="120" w:firstLine="646"/>
        <w:spacing w:after="0" w:line="307" w:lineRule="auto"/>
        <w:tabs>
          <w:tab w:leader="none" w:pos="127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The Award granted hereunder may not be sold, assigned, transferred, pledged, hypothecated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27" w:lineRule="exact"/>
        <w:rPr>
          <w:rFonts w:ascii="Arial" w:cs="Arial" w:eastAsia="Arial" w:hAnsi="Arial"/>
          <w:sz w:val="19"/>
          <w:szCs w:val="19"/>
          <w:color w:val="auto"/>
        </w:rPr>
      </w:pPr>
    </w:p>
    <w:p>
      <w:pPr>
        <w:ind w:left="1280" w:hanging="634"/>
        <w:spacing w:after="0"/>
        <w:tabs>
          <w:tab w:leader="none" w:pos="128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Termination of Service; Disability</w:t>
      </w:r>
      <w:r>
        <w:rPr>
          <w:rFonts w:ascii="Arial" w:cs="Arial" w:eastAsia="Arial" w:hAnsi="Arial"/>
          <w:sz w:val="21"/>
          <w:szCs w:val="21"/>
          <w:color w:val="auto"/>
        </w:rPr>
        <w:t>.</w:t>
      </w:r>
    </w:p>
    <w:p>
      <w:pPr>
        <w:sectPr>
          <w:pgSz w:w="11900" w:h="16838" w:orient="portrait"/>
          <w:cols w:equalWidth="0" w:num="1">
            <w:col w:w="11240"/>
          </w:cols>
          <w:pgMar w:left="320" w:top="125" w:right="339" w:bottom="1440" w:gutter="0" w:footer="0" w:header="0"/>
        </w:sectPr>
      </w:pPr>
    </w:p>
    <w:bookmarkStart w:id="86" w:name="page87"/>
    <w:bookmarkEnd w:id="86"/>
    <w:p>
      <w:pPr>
        <w:spacing w:after="0" w:line="78" w:lineRule="exact"/>
        <w:rPr>
          <w:sz w:val="20"/>
          <w:szCs w:val="20"/>
          <w:color w:val="auto"/>
        </w:rPr>
      </w:pPr>
    </w:p>
    <w:p>
      <w:pPr>
        <w:ind w:left="634" w:right="940" w:hanging="634"/>
        <w:spacing w:after="0" w:line="336" w:lineRule="auto"/>
        <w:tabs>
          <w:tab w:leader="none" w:pos="63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Termination of Service for Cause</w:t>
      </w:r>
      <w:r>
        <w:rPr>
          <w:rFonts w:ascii="Arial" w:cs="Arial" w:eastAsia="Arial" w:hAnsi="Arial"/>
          <w:sz w:val="19"/>
          <w:szCs w:val="19"/>
          <w:color w:val="auto"/>
        </w:rPr>
        <w:t>. Upon the Participant’s termination of service with the Company and its Subsidiaries for Cause, the unvested portion of the Participant’s Award shall be forfeited as of such date.</w:t>
      </w:r>
    </w:p>
    <w:p>
      <w:pPr>
        <w:spacing w:after="0" w:line="1" w:lineRule="exact"/>
        <w:rPr>
          <w:rFonts w:ascii="Arial" w:cs="Arial" w:eastAsia="Arial" w:hAnsi="Arial"/>
          <w:sz w:val="19"/>
          <w:szCs w:val="19"/>
          <w:color w:val="auto"/>
        </w:rPr>
      </w:pPr>
    </w:p>
    <w:p>
      <w:pPr>
        <w:ind w:left="634" w:right="240" w:hanging="634"/>
        <w:spacing w:after="0" w:line="336" w:lineRule="auto"/>
        <w:tabs>
          <w:tab w:leader="none" w:pos="62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Termination of Service on Account of Death</w:t>
      </w:r>
      <w:r>
        <w:rPr>
          <w:rFonts w:ascii="Arial" w:cs="Arial" w:eastAsia="Arial" w:hAnsi="Arial"/>
          <w:sz w:val="19"/>
          <w:szCs w:val="19"/>
          <w:color w:val="auto"/>
        </w:rPr>
        <w:t>. Upon termination of the Participant’s service with the Company and its Subsidiaries on account of death, the unvested portion of the Participant’s Award shall immediately vest.</w:t>
      </w:r>
    </w:p>
    <w:p>
      <w:pPr>
        <w:spacing w:after="0" w:line="1" w:lineRule="exact"/>
        <w:rPr>
          <w:rFonts w:ascii="Arial" w:cs="Arial" w:eastAsia="Arial" w:hAnsi="Arial"/>
          <w:sz w:val="19"/>
          <w:szCs w:val="19"/>
          <w:color w:val="auto"/>
        </w:rPr>
      </w:pPr>
    </w:p>
    <w:p>
      <w:pPr>
        <w:ind w:left="634" w:hanging="634"/>
        <w:spacing w:after="0" w:line="261" w:lineRule="auto"/>
        <w:tabs>
          <w:tab w:leader="none" w:pos="630"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 the unvested portion of the Participant’s Award as of the date of termination shall continue to vest in accordance with the original vesting schedule set forth in Paragraph 2 of this Award Agreement.</w:t>
      </w:r>
    </w:p>
    <w:p>
      <w:pPr>
        <w:spacing w:after="0" w:line="69" w:lineRule="exact"/>
        <w:rPr>
          <w:rFonts w:ascii="Arial" w:cs="Arial" w:eastAsia="Arial" w:hAnsi="Arial"/>
          <w:sz w:val="21"/>
          <w:szCs w:val="21"/>
          <w:color w:val="auto"/>
        </w:rPr>
      </w:pPr>
    </w:p>
    <w:p>
      <w:pPr>
        <w:ind w:left="634" w:right="300" w:hanging="634"/>
        <w:spacing w:after="0" w:line="261" w:lineRule="auto"/>
        <w:tabs>
          <w:tab w:leader="none" w:pos="629"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Participant incurs a Disability that also constitutes a “disability” within the meaning of Section 409A, the unvested portion of the Participant’s Award as of the date of such Disability shall continue to vest in accordance with the original vesting schedule set forth in Paragraph 2 of this Award Agreement regardless of any subsequent termination of service.</w:t>
      </w:r>
    </w:p>
    <w:p>
      <w:pPr>
        <w:spacing w:after="0" w:line="69" w:lineRule="exact"/>
        <w:rPr>
          <w:rFonts w:ascii="Arial" w:cs="Arial" w:eastAsia="Arial" w:hAnsi="Arial"/>
          <w:sz w:val="21"/>
          <w:szCs w:val="21"/>
          <w:color w:val="auto"/>
        </w:rPr>
      </w:pPr>
    </w:p>
    <w:p>
      <w:pPr>
        <w:ind w:left="634" w:right="20" w:hanging="634"/>
        <w:spacing w:after="0" w:line="285" w:lineRule="auto"/>
        <w:tabs>
          <w:tab w:leader="none" w:pos="63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Termination of Service by the Company without Cause or by the Participant for Good Reason</w:t>
      </w:r>
      <w:r>
        <w:rPr>
          <w:rFonts w:ascii="Arial" w:cs="Arial" w:eastAsia="Arial" w:hAnsi="Arial"/>
          <w:sz w:val="19"/>
          <w:szCs w:val="19"/>
          <w:color w:val="auto"/>
        </w:rPr>
        <w:t>. Upon termination of the Participant’s service with the Company and its Subsidiaries by the Company or its Subsidiaries without Cause, any portion of the Award that is unvested as of date of termination shall be forfeited. 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Paragraphs 4 and 5 of this Award Agreement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50" w:lineRule="exact"/>
        <w:rPr>
          <w:rFonts w:ascii="Arial" w:cs="Arial" w:eastAsia="Arial" w:hAnsi="Arial"/>
          <w:sz w:val="19"/>
          <w:szCs w:val="19"/>
          <w:color w:val="auto"/>
        </w:rPr>
      </w:pPr>
    </w:p>
    <w:p>
      <w:pPr>
        <w:ind w:left="634" w:right="100" w:hanging="634"/>
        <w:spacing w:after="0" w:line="261" w:lineRule="auto"/>
        <w:tabs>
          <w:tab w:leader="none" w:pos="633"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any Other Reason</w:t>
      </w:r>
      <w:r>
        <w:rPr>
          <w:rFonts w:ascii="Arial" w:cs="Arial" w:eastAsia="Arial" w:hAnsi="Arial"/>
          <w:sz w:val="21"/>
          <w:szCs w:val="21"/>
          <w:color w:val="auto"/>
        </w:rPr>
        <w:t>. Unless otherwise provided in an individual agreement with the Participant, if the Participant has a termination of service for any reason other than the reasons enumerated in Subparagraphs (a) through (e) above, any portion of the Award that is unvested as of date of termination of services shall be forfeited.</w:t>
      </w:r>
    </w:p>
    <w:p>
      <w:pPr>
        <w:spacing w:after="0" w:line="69" w:lineRule="exact"/>
        <w:rPr>
          <w:sz w:val="20"/>
          <w:szCs w:val="20"/>
          <w:color w:val="auto"/>
        </w:rPr>
      </w:pPr>
    </w:p>
    <w:p>
      <w:pPr>
        <w:ind w:left="634" w:hanging="634"/>
        <w:spacing w:after="0"/>
        <w:tabs>
          <w:tab w:leader="none" w:pos="634"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In the event of a Change in Control:</w:t>
      </w:r>
    </w:p>
    <w:p>
      <w:pPr>
        <w:spacing w:after="0" w:line="118" w:lineRule="exact"/>
        <w:rPr>
          <w:sz w:val="20"/>
          <w:szCs w:val="20"/>
          <w:color w:val="auto"/>
        </w:rPr>
      </w:pPr>
    </w:p>
    <w:p>
      <w:pPr>
        <w:ind w:left="634" w:right="120" w:hanging="634"/>
        <w:spacing w:after="0" w:line="261" w:lineRule="auto"/>
        <w:tabs>
          <w:tab w:leader="none" w:pos="630" w:val="left"/>
        </w:tabs>
        <w:numPr>
          <w:ilvl w:val="0"/>
          <w:numId w:val="67"/>
        </w:numPr>
        <w:rPr>
          <w:rFonts w:ascii="Arial" w:cs="Arial" w:eastAsia="Arial" w:hAnsi="Arial"/>
          <w:sz w:val="21"/>
          <w:szCs w:val="21"/>
          <w:color w:val="auto"/>
        </w:rPr>
      </w:pPr>
      <w:r>
        <w:rPr>
          <w:rFonts w:ascii="Arial" w:cs="Arial" w:eastAsia="Arial" w:hAnsi="Arial"/>
          <w:sz w:val="21"/>
          <w:szCs w:val="21"/>
          <w:color w:val="auto"/>
        </w:rPr>
        <w:t>if the Award is assumed or substituted (within the meaning of the Plan) in connection with such Change in Control, and the Participant incurs a termination of service with the Company and its Subsidiaries by the Company or its Subsidiary without Cause during the 24-month period following such Change in Control, then the Award shall vest on the date of such termination of services.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34"/>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94"/>
          </w:cols>
          <w:pgMar w:left="966" w:top="1440" w:right="339" w:bottom="1440" w:gutter="0" w:footer="0" w:header="0"/>
        </w:sectPr>
      </w:pPr>
    </w:p>
    <w:bookmarkStart w:id="87" w:name="page88"/>
    <w:bookmarkEnd w:id="87"/>
    <w:p>
      <w:pPr>
        <w:spacing w:after="0" w:line="78" w:lineRule="exact"/>
        <w:rPr>
          <w:sz w:val="20"/>
          <w:szCs w:val="20"/>
          <w:color w:val="auto"/>
        </w:rPr>
      </w:pPr>
    </w:p>
    <w:p>
      <w:pPr>
        <w:ind w:left="1260" w:right="700" w:hanging="634"/>
        <w:spacing w:after="0" w:line="266" w:lineRule="auto"/>
        <w:tabs>
          <w:tab w:leader="none" w:pos="1255" w:val="left"/>
        </w:tabs>
        <w:numPr>
          <w:ilvl w:val="0"/>
          <w:numId w:val="68"/>
        </w:numPr>
        <w:rPr>
          <w:rFonts w:ascii="Arial" w:cs="Arial" w:eastAsia="Arial" w:hAnsi="Arial"/>
          <w:sz w:val="21"/>
          <w:szCs w:val="21"/>
          <w:color w:val="auto"/>
        </w:rPr>
      </w:pPr>
      <w:r>
        <w:rPr>
          <w:rFonts w:ascii="Arial" w:cs="Arial" w:eastAsia="Arial" w:hAnsi="Arial"/>
          <w:sz w:val="21"/>
          <w:szCs w:val="21"/>
          <w:color w:val="auto"/>
        </w:rPr>
        <w:t>if the Award is not assumed or substituted in connection with such Change in Control, then the Award shall immediately vest and become payable in accordance with Paragraph 2 upon the occurrence of the Change in Control.</w:t>
      </w:r>
    </w:p>
    <w:p>
      <w:pPr>
        <w:spacing w:after="0" w:line="63" w:lineRule="exact"/>
        <w:rPr>
          <w:sz w:val="20"/>
          <w:szCs w:val="20"/>
          <w:color w:val="auto"/>
        </w:rPr>
      </w:pPr>
    </w:p>
    <w:p>
      <w:pPr>
        <w:ind w:left="-20" w:right="20" w:firstLine="646"/>
        <w:spacing w:after="0" w:line="283" w:lineRule="auto"/>
        <w:tabs>
          <w:tab w:leader="none" w:pos="1259"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For purposes of this Award Agreement, “Change in Control” shall have the meaning set forth in the Plan, provided that, notwithstanding anything contrary in the Plan: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 and (iii) for the avoidance of doubt, any one or more of the events that may result in a “Change in Control” may be effected pursuant to a takeover under Irish takeover rules, a compromise or arrangement sanctioned by the court under Chapter 1 of Part 9 of the Companies Act 2014 of the Republic of Ireland or otherwise under Part 9 of the Companies Act 2014 of the Republic of Ireland.</w:t>
      </w:r>
    </w:p>
    <w:p>
      <w:pPr>
        <w:spacing w:after="0" w:line="49" w:lineRule="exact"/>
        <w:rPr>
          <w:rFonts w:ascii="Arial" w:cs="Arial" w:eastAsia="Arial" w:hAnsi="Arial"/>
          <w:sz w:val="19"/>
          <w:szCs w:val="19"/>
          <w:color w:val="auto"/>
        </w:rPr>
      </w:pPr>
    </w:p>
    <w:p>
      <w:pPr>
        <w:ind w:left="-20" w:right="200" w:firstLine="646"/>
        <w:spacing w:after="0" w:line="261" w:lineRule="auto"/>
        <w:tabs>
          <w:tab w:leader="none" w:pos="1259"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Award Agreement Subject to Plan</w:t>
      </w:r>
      <w:r>
        <w:rPr>
          <w:rFonts w:ascii="Arial" w:cs="Arial" w:eastAsia="Arial" w:hAnsi="Arial"/>
          <w:sz w:val="21"/>
          <w:szCs w:val="21"/>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 the Plan shall govern, except as expressly provided by Paragraph 6 of this Award Agreement.</w:t>
      </w:r>
    </w:p>
    <w:p>
      <w:pPr>
        <w:spacing w:after="0" w:line="69" w:lineRule="exact"/>
        <w:rPr>
          <w:rFonts w:ascii="Arial" w:cs="Arial" w:eastAsia="Arial" w:hAnsi="Arial"/>
          <w:sz w:val="21"/>
          <w:szCs w:val="21"/>
          <w:color w:val="auto"/>
        </w:rPr>
      </w:pPr>
    </w:p>
    <w:p>
      <w:pPr>
        <w:ind w:left="-20" w:right="40" w:firstLine="646"/>
        <w:spacing w:after="0" w:line="261" w:lineRule="auto"/>
        <w:tabs>
          <w:tab w:leader="none" w:pos="1259"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No Rights to Continuation of Service</w:t>
      </w:r>
      <w:r>
        <w:rPr>
          <w:rFonts w:ascii="Arial" w:cs="Arial" w:eastAsia="Arial" w:hAnsi="Arial"/>
          <w:sz w:val="21"/>
          <w:szCs w:val="21"/>
          <w:color w:val="auto"/>
        </w:rPr>
        <w:t>. Nothing in the Plan or this Award Agreement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any time for any reason whatsoever, with or without Cause.</w:t>
      </w:r>
    </w:p>
    <w:p>
      <w:pPr>
        <w:spacing w:after="0" w:line="69" w:lineRule="exact"/>
        <w:rPr>
          <w:rFonts w:ascii="Arial" w:cs="Arial" w:eastAsia="Arial" w:hAnsi="Arial"/>
          <w:sz w:val="21"/>
          <w:szCs w:val="21"/>
          <w:color w:val="auto"/>
        </w:rPr>
      </w:pPr>
    </w:p>
    <w:p>
      <w:pPr>
        <w:ind w:left="-20" w:firstLine="646"/>
        <w:spacing w:after="0" w:line="261" w:lineRule="auto"/>
        <w:tabs>
          <w:tab w:leader="none" w:pos="1259"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and its Subsidiaries shall be entitled to deduct from any Award granted hereunder or other compensation payable to the Participant any sums required by federal, state or local tax law to be withheld or to satisfy any applicable payroll deductions with respect to the vesting of, lapse of restrictions on, or payment of any Award, up to the maximum statutory tax rates.</w:t>
      </w:r>
    </w:p>
    <w:p>
      <w:pPr>
        <w:spacing w:after="0" w:line="69" w:lineRule="exact"/>
        <w:rPr>
          <w:rFonts w:ascii="Arial" w:cs="Arial" w:eastAsia="Arial" w:hAnsi="Arial"/>
          <w:sz w:val="21"/>
          <w:szCs w:val="21"/>
          <w:color w:val="auto"/>
        </w:rPr>
      </w:pPr>
    </w:p>
    <w:p>
      <w:pPr>
        <w:ind w:left="-20" w:right="180" w:firstLine="646"/>
        <w:spacing w:after="0" w:line="289" w:lineRule="auto"/>
        <w:tabs>
          <w:tab w:leader="none" w:pos="1259"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The Award is intended to comply with Code Section 409A to the extent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40" w:top="1440" w:right="339" w:bottom="1440" w:gutter="0" w:footer="0" w:header="0"/>
        </w:sectPr>
      </w:pPr>
    </w:p>
    <w:bookmarkStart w:id="88" w:name="page89"/>
    <w:bookmarkEnd w:id="88"/>
    <w:p>
      <w:pPr>
        <w:spacing w:after="0" w:line="78"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color w:val="auto"/>
        </w:rPr>
        <w:t>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10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67" w:lineRule="exact"/>
        <w:rPr>
          <w:sz w:val="20"/>
          <w:szCs w:val="20"/>
          <w:color w:val="auto"/>
        </w:rPr>
      </w:pPr>
    </w:p>
    <w:p>
      <w:pPr>
        <w:ind w:firstLine="646"/>
        <w:spacing w:after="0" w:line="266" w:lineRule="auto"/>
        <w:tabs>
          <w:tab w:leader="none" w:pos="1272"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Award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63" w:lineRule="exact"/>
        <w:rPr>
          <w:rFonts w:ascii="Arial" w:cs="Arial" w:eastAsia="Arial" w:hAnsi="Arial"/>
          <w:sz w:val="21"/>
          <w:szCs w:val="21"/>
          <w:color w:val="auto"/>
        </w:rPr>
      </w:pPr>
    </w:p>
    <w:p>
      <w:pPr>
        <w:ind w:right="220" w:firstLine="646"/>
        <w:spacing w:after="0" w:line="266" w:lineRule="auto"/>
        <w:tabs>
          <w:tab w:leader="none" w:pos="127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Binding on Successors</w:t>
      </w:r>
      <w:r>
        <w:rPr>
          <w:rFonts w:ascii="Arial" w:cs="Arial" w:eastAsia="Arial" w:hAnsi="Arial"/>
          <w:sz w:val="21"/>
          <w:szCs w:val="21"/>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63" w:lineRule="exact"/>
        <w:rPr>
          <w:rFonts w:ascii="Arial" w:cs="Arial" w:eastAsia="Arial" w:hAnsi="Arial"/>
          <w:sz w:val="21"/>
          <w:szCs w:val="21"/>
          <w:color w:val="auto"/>
        </w:rPr>
      </w:pPr>
    </w:p>
    <w:p>
      <w:pPr>
        <w:ind w:right="100" w:firstLine="646"/>
        <w:spacing w:after="0" w:line="281" w:lineRule="auto"/>
        <w:tabs>
          <w:tab w:leader="none" w:pos="127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 Assignment</w:t>
      </w:r>
      <w:r>
        <w:rPr>
          <w:rFonts w:ascii="Arial" w:cs="Arial" w:eastAsia="Arial" w:hAnsi="Arial"/>
          <w:sz w:val="21"/>
          <w:szCs w:val="21"/>
          <w:color w:val="auto"/>
        </w:rPr>
        <w:t>. Notwithstanding anything to the contrary in this Award Agreement, neither this Award Agreement nor any rights granted herein shall be assignable by the Participant.</w:t>
      </w:r>
    </w:p>
    <w:p>
      <w:pPr>
        <w:spacing w:after="0" w:line="47" w:lineRule="exact"/>
        <w:rPr>
          <w:rFonts w:ascii="Arial" w:cs="Arial" w:eastAsia="Arial" w:hAnsi="Arial"/>
          <w:sz w:val="21"/>
          <w:szCs w:val="21"/>
          <w:color w:val="auto"/>
        </w:rPr>
      </w:pPr>
    </w:p>
    <w:p>
      <w:pPr>
        <w:ind w:right="300" w:firstLine="646"/>
        <w:spacing w:after="0" w:line="286" w:lineRule="auto"/>
        <w:tabs>
          <w:tab w:leader="none" w:pos="127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Necessary Acts</w:t>
      </w:r>
      <w:r>
        <w:rPr>
          <w:rFonts w:ascii="Arial" w:cs="Arial" w:eastAsia="Arial" w:hAnsi="Arial"/>
          <w:sz w:val="20"/>
          <w:szCs w:val="20"/>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Irish law.</w:t>
      </w:r>
    </w:p>
    <w:p>
      <w:pPr>
        <w:spacing w:after="0" w:line="44" w:lineRule="exact"/>
        <w:rPr>
          <w:rFonts w:ascii="Arial" w:cs="Arial" w:eastAsia="Arial" w:hAnsi="Arial"/>
          <w:sz w:val="20"/>
          <w:szCs w:val="20"/>
          <w:color w:val="auto"/>
        </w:rPr>
      </w:pPr>
    </w:p>
    <w:p>
      <w:pPr>
        <w:ind w:right="500" w:firstLine="646"/>
        <w:spacing w:after="0" w:line="281" w:lineRule="auto"/>
        <w:tabs>
          <w:tab w:leader="none" w:pos="127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Entire Award Agreement</w:t>
      </w:r>
      <w:r>
        <w:rPr>
          <w:rFonts w:ascii="Arial" w:cs="Arial" w:eastAsia="Arial" w:hAnsi="Arial"/>
          <w:sz w:val="21"/>
          <w:szCs w:val="21"/>
          <w:color w:val="auto"/>
        </w:rPr>
        <w:t>. This Award Agreement and the Plan contain the entire agreement and understanding among the parties as to the subject matter hereof.</w:t>
      </w:r>
    </w:p>
    <w:p>
      <w:pPr>
        <w:spacing w:after="0" w:line="47" w:lineRule="exact"/>
        <w:rPr>
          <w:rFonts w:ascii="Arial" w:cs="Arial" w:eastAsia="Arial" w:hAnsi="Arial"/>
          <w:sz w:val="21"/>
          <w:szCs w:val="21"/>
          <w:color w:val="auto"/>
        </w:rPr>
      </w:pPr>
    </w:p>
    <w:p>
      <w:pPr>
        <w:ind w:right="380" w:firstLine="646"/>
        <w:spacing w:after="0" w:line="281" w:lineRule="auto"/>
        <w:tabs>
          <w:tab w:leader="none" w:pos="127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Headings are used solely for the convenience of the parties and shall not be deemed to be a limitation upon or descriptive of the contents of any such Paragraph.</w:t>
      </w:r>
    </w:p>
    <w:p>
      <w:pPr>
        <w:spacing w:after="0" w:line="47" w:lineRule="exact"/>
        <w:rPr>
          <w:rFonts w:ascii="Arial" w:cs="Arial" w:eastAsia="Arial" w:hAnsi="Arial"/>
          <w:sz w:val="21"/>
          <w:szCs w:val="21"/>
          <w:color w:val="auto"/>
        </w:rPr>
      </w:pPr>
    </w:p>
    <w:p>
      <w:pPr>
        <w:ind w:right="600" w:firstLine="646"/>
        <w:spacing w:after="0" w:line="308" w:lineRule="auto"/>
        <w:tabs>
          <w:tab w:leader="none" w:pos="127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Award Agreement may be executed in any number of counterparts, each of which shall be deemed to be an original and all of which together shall be deemed to be one and the same instrument.</w:t>
      </w:r>
    </w:p>
    <w:p>
      <w:pPr>
        <w:spacing w:after="0" w:line="22" w:lineRule="exact"/>
        <w:rPr>
          <w:rFonts w:ascii="Arial" w:cs="Arial" w:eastAsia="Arial" w:hAnsi="Arial"/>
          <w:sz w:val="20"/>
          <w:szCs w:val="20"/>
          <w:color w:val="auto"/>
        </w:rPr>
      </w:pPr>
    </w:p>
    <w:p>
      <w:pPr>
        <w:ind w:right="220" w:firstLine="646"/>
        <w:spacing w:after="0" w:line="266" w:lineRule="auto"/>
        <w:tabs>
          <w:tab w:leader="none" w:pos="127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20"/>
          </w:cols>
          <w:pgMar w:left="320" w:top="1440" w:right="359" w:bottom="1440" w:gutter="0" w:footer="0" w:header="0"/>
        </w:sectPr>
      </w:pPr>
    </w:p>
    <w:bookmarkStart w:id="89" w:name="page90"/>
    <w:bookmarkEnd w:id="89"/>
    <w:p>
      <w:pPr>
        <w:spacing w:after="0" w:line="7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Company:</w:t>
      </w:r>
    </w:p>
    <w:p>
      <w:pPr>
        <w:spacing w:after="0" w:line="118"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Endo International plc</w:t>
      </w:r>
    </w:p>
    <w:p>
      <w:pPr>
        <w:spacing w:after="0" w:line="3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c/o Endo Health Solutions Inc.</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1400 Atwater Drive</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Malvern, PA 19355</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Attention: Treasurer</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the Participant:</w:t>
      </w:r>
    </w:p>
    <w:p>
      <w:pPr>
        <w:spacing w:after="0" w:line="118"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 the address on file with the Company.</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Either party hereto may change such party’s address for notices by notice duly given pursuant hereto.</w:t>
      </w:r>
    </w:p>
    <w:p>
      <w:pPr>
        <w:spacing w:after="0" w:line="118" w:lineRule="exact"/>
        <w:rPr>
          <w:sz w:val="20"/>
          <w:szCs w:val="20"/>
          <w:color w:val="auto"/>
        </w:rPr>
      </w:pPr>
    </w:p>
    <w:p>
      <w:pPr>
        <w:ind w:left="1280" w:hanging="634"/>
        <w:spacing w:after="0"/>
        <w:tabs>
          <w:tab w:leader="none" w:pos="128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amendment or modification hereof shall be valid unless it shall be in writing and signed by all</w:t>
      </w:r>
    </w:p>
    <w:p>
      <w:pPr>
        <w:spacing w:after="0" w:line="4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parties hereto.</w:t>
      </w:r>
    </w:p>
    <w:p>
      <w:pPr>
        <w:spacing w:after="0" w:line="100" w:lineRule="exact"/>
        <w:rPr>
          <w:rFonts w:ascii="Arial" w:cs="Arial" w:eastAsia="Arial" w:hAnsi="Arial"/>
          <w:sz w:val="20"/>
          <w:szCs w:val="20"/>
          <w:color w:val="auto"/>
        </w:rPr>
      </w:pPr>
    </w:p>
    <w:p>
      <w:pPr>
        <w:ind w:firstLine="646"/>
        <w:spacing w:after="0" w:line="266" w:lineRule="auto"/>
        <w:tabs>
          <w:tab w:leader="none" w:pos="1279"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Participant hereby acknowledges receipt of a copy of the Plan and this Award Agreement. The Participant has read and understands the terms and provisions thereof, and accepts the Award subject to all the terms and conditions of the Plan and this Award Agreement.</w:t>
      </w:r>
    </w:p>
    <w:p>
      <w:pPr>
        <w:spacing w:after="0" w:line="63" w:lineRule="exact"/>
        <w:rPr>
          <w:rFonts w:ascii="Arial" w:cs="Arial" w:eastAsia="Arial" w:hAnsi="Arial"/>
          <w:sz w:val="21"/>
          <w:szCs w:val="21"/>
          <w:color w:val="auto"/>
        </w:rPr>
      </w:pPr>
    </w:p>
    <w:p>
      <w:pPr>
        <w:ind w:right="60" w:firstLine="646"/>
        <w:spacing w:after="0" w:line="259" w:lineRule="auto"/>
        <w:tabs>
          <w:tab w:leader="none" w:pos="1279"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No Compensation for Loss of Rights</w:t>
      </w:r>
      <w:r>
        <w:rPr>
          <w:rFonts w:ascii="Arial" w:cs="Arial" w:eastAsia="Arial" w:hAnsi="Arial"/>
          <w:sz w:val="21"/>
          <w:szCs w:val="21"/>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69" w:lineRule="exact"/>
        <w:rPr>
          <w:rFonts w:ascii="Arial" w:cs="Arial" w:eastAsia="Arial" w:hAnsi="Arial"/>
          <w:sz w:val="21"/>
          <w:szCs w:val="21"/>
          <w:color w:val="auto"/>
        </w:rPr>
      </w:pPr>
    </w:p>
    <w:p>
      <w:pPr>
        <w:ind w:right="40" w:firstLine="646"/>
        <w:spacing w:after="0" w:line="257" w:lineRule="auto"/>
        <w:tabs>
          <w:tab w:leader="none" w:pos="1279"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All the terms and provisions of this Award Agreement are distinct and severable, and if any term or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74" w:lineRule="exact"/>
        <w:rPr>
          <w:rFonts w:ascii="Arial" w:cs="Arial" w:eastAsia="Arial" w:hAnsi="Arial"/>
          <w:sz w:val="21"/>
          <w:szCs w:val="21"/>
          <w:color w:val="auto"/>
        </w:rPr>
      </w:pPr>
    </w:p>
    <w:p>
      <w:pPr>
        <w:ind w:right="20" w:firstLine="646"/>
        <w:spacing w:after="0" w:line="286" w:lineRule="auto"/>
        <w:tabs>
          <w:tab w:leader="none" w:pos="127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Data Protection</w:t>
      </w:r>
      <w:r>
        <w:rPr>
          <w:rFonts w:ascii="Arial" w:cs="Arial" w:eastAsia="Arial" w:hAnsi="Arial"/>
          <w:sz w:val="19"/>
          <w:szCs w:val="19"/>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78" w:lineRule="exact"/>
        <w:rPr>
          <w:sz w:val="20"/>
          <w:szCs w:val="20"/>
          <w:color w:val="auto"/>
        </w:rPr>
      </w:pPr>
    </w:p>
    <w:p>
      <w:pPr>
        <w:ind w:right="240"/>
        <w:spacing w:after="0" w:line="266" w:lineRule="auto"/>
        <w:rPr>
          <w:sz w:val="20"/>
          <w:szCs w:val="20"/>
          <w:color w:val="auto"/>
        </w:rPr>
      </w:pPr>
      <w:r>
        <w:rPr>
          <w:rFonts w:ascii="Arial" w:cs="Arial" w:eastAsia="Arial" w:hAnsi="Arial"/>
          <w:sz w:val="21"/>
          <w:szCs w:val="21"/>
          <w:color w:val="auto"/>
        </w:rPr>
        <w:t>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63" w:lineRule="exact"/>
        <w:rPr>
          <w:sz w:val="20"/>
          <w:szCs w:val="20"/>
          <w:color w:val="auto"/>
        </w:rPr>
      </w:pPr>
    </w:p>
    <w:p>
      <w:pPr>
        <w:ind w:right="280" w:firstLine="646"/>
        <w:spacing w:after="0" w:line="266" w:lineRule="auto"/>
        <w:tabs>
          <w:tab w:leader="none" w:pos="1279"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Additional Matters</w:t>
      </w:r>
      <w:r>
        <w:rPr>
          <w:rFonts w:ascii="Arial" w:cs="Arial" w:eastAsia="Arial" w:hAnsi="Arial"/>
          <w:sz w:val="21"/>
          <w:szCs w:val="21"/>
          <w:color w:val="auto"/>
        </w:rPr>
        <w:t>. This Award Agreement is intended to comply with the applicable laws of any country or jurisdiction where the Awards are granted under the Plan, and all provisions hereof shall be construed in a manner to so comply. The following provisions apply to Participants providing services in the country noted:</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Canada: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The “Vesting Dates” for the Award shall be deleted in its entirety and replaced with the following language:</w:t>
      </w:r>
    </w:p>
    <w:p>
      <w:pPr>
        <w:spacing w:after="0" w:line="118" w:lineRule="exact"/>
        <w:rPr>
          <w:sz w:val="20"/>
          <w:szCs w:val="20"/>
          <w:color w:val="auto"/>
        </w:rPr>
      </w:pPr>
    </w:p>
    <w:p>
      <w:pPr>
        <w:ind w:left="640" w:right="120"/>
        <w:spacing w:after="0" w:line="297" w:lineRule="auto"/>
        <w:rPr>
          <w:sz w:val="20"/>
          <w:szCs w:val="20"/>
          <w:color w:val="auto"/>
        </w:rPr>
      </w:pPr>
      <w:r>
        <w:rPr>
          <w:rFonts w:ascii="Arial" w:cs="Arial" w:eastAsia="Arial" w:hAnsi="Arial"/>
          <w:sz w:val="19"/>
          <w:szCs w:val="19"/>
          <w:color w:val="auto"/>
        </w:rPr>
        <w:t>Award vests ratably in 6 tranches with the first tranche vesting six months following the Date of Grant and each additional tranche vesting six months following the prior vesting date, except that the final tranche vests on November 30</w:t>
      </w:r>
      <w:r>
        <w:rPr>
          <w:rFonts w:ascii="Arial" w:cs="Arial" w:eastAsia="Arial" w:hAnsi="Arial"/>
          <w:sz w:val="24"/>
          <w:szCs w:val="24"/>
          <w:color w:val="auto"/>
          <w:vertAlign w:val="superscript"/>
        </w:rPr>
        <w:t>th</w:t>
      </w:r>
      <w:r>
        <w:rPr>
          <w:rFonts w:ascii="Arial" w:cs="Arial" w:eastAsia="Arial" w:hAnsi="Arial"/>
          <w:sz w:val="19"/>
          <w:szCs w:val="19"/>
          <w:color w:val="auto"/>
        </w:rPr>
        <w:t>, 2023.</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Section 2 above shall be deleted in its entirety and replaced with the following language:</w:t>
      </w:r>
    </w:p>
    <w:p>
      <w:pPr>
        <w:spacing w:after="0" w:line="118" w:lineRule="exact"/>
        <w:rPr>
          <w:sz w:val="20"/>
          <w:szCs w:val="20"/>
          <w:color w:val="auto"/>
        </w:rPr>
      </w:pPr>
    </w:p>
    <w:p>
      <w:pPr>
        <w:ind w:left="640"/>
        <w:spacing w:after="0" w:line="256" w:lineRule="auto"/>
        <w:rPr>
          <w:sz w:val="20"/>
          <w:szCs w:val="20"/>
          <w:color w:val="auto"/>
        </w:rPr>
      </w:pPr>
      <w:r>
        <w:rPr>
          <w:rFonts w:ascii="Arial" w:cs="Arial" w:eastAsia="Arial" w:hAnsi="Arial"/>
          <w:sz w:val="21"/>
          <w:szCs w:val="21"/>
          <w:u w:val="single" w:color="auto"/>
          <w:color w:val="auto"/>
        </w:rPr>
        <w:t>Form of Payment and Vesting</w:t>
      </w:r>
      <w:r>
        <w:rPr>
          <w:rFonts w:ascii="Arial" w:cs="Arial" w:eastAsia="Arial" w:hAnsi="Arial"/>
          <w:sz w:val="21"/>
          <w:szCs w:val="21"/>
          <w:color w:val="auto"/>
        </w:rPr>
        <w:t>. The Award granted hereunder shall vest on the vesting dates set forth above, provided that the Participant is employed by the Company or one of its Subsidiaries on the applicable vesting date (except as set forth in Paragraph 4 of this Award Agreement). The Participant shall be entitled to receive an amount in cash equal to one-sixth (1/6) of the total amount of restricted cash subject to the Award as soon as practicable following the applicable vesting date, but no later than the later to occur of (a) the end of the calendar year in which the applicable vesting date occurs and (b) the fifteenth day of the third calendar month following the applicable vesting date, except that the final tranche shall be paid no later than December 31, 2023.</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Section 4 above shall be amended to add the following language at the end thereof as a new subsection (g):</w:t>
      </w:r>
    </w:p>
    <w:p>
      <w:pPr>
        <w:spacing w:after="0" w:line="118" w:lineRule="exact"/>
        <w:rPr>
          <w:sz w:val="20"/>
          <w:szCs w:val="20"/>
          <w:color w:val="auto"/>
        </w:rPr>
      </w:pPr>
    </w:p>
    <w:p>
      <w:pPr>
        <w:ind w:left="640" w:right="140" w:firstLine="6"/>
        <w:spacing w:after="0" w:line="266" w:lineRule="auto"/>
        <w:tabs>
          <w:tab w:leader="none" w:pos="1098"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9 above shall be deleted in its entirety and replaced with the following language:</w:t>
      </w:r>
    </w:p>
    <w:p>
      <w:pPr>
        <w:spacing w:after="0" w:line="118" w:lineRule="exact"/>
        <w:rPr>
          <w:sz w:val="20"/>
          <w:szCs w:val="20"/>
          <w:color w:val="auto"/>
        </w:rPr>
      </w:pPr>
    </w:p>
    <w:p>
      <w:pPr>
        <w:ind w:left="640" w:right="180" w:firstLine="6"/>
        <w:spacing w:after="0" w:line="307" w:lineRule="auto"/>
        <w:tabs>
          <w:tab w:leader="none" w:pos="1013"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shall be entitled to deduct from any Award granted hereunder or other compensation payable to the Participant any sums required by federal, provincial or local tax law to be withheld or to satisfy any applicable payroll deductions with respect to the vesting of, lapse of restrictions on, or payment of any Award.</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India: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As used herein, “Participant” shall not include consultants of any Subsidiary in India.</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4(b) shall deleted in its entirety and replaced with the following language: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00"/>
          </w:cols>
          <w:pgMar w:left="320" w:top="1440" w:right="379" w:bottom="1440" w:gutter="0" w:footer="0" w:header="0"/>
        </w:sectPr>
      </w:pPr>
    </w:p>
    <w:bookmarkStart w:id="91" w:name="page92"/>
    <w:bookmarkEnd w:id="91"/>
    <w:p>
      <w:pPr>
        <w:spacing w:after="0" w:line="78" w:lineRule="exact"/>
        <w:rPr>
          <w:sz w:val="20"/>
          <w:szCs w:val="20"/>
          <w:color w:val="auto"/>
        </w:rPr>
      </w:pPr>
    </w:p>
    <w:p>
      <w:pPr>
        <w:ind w:left="640" w:right="260"/>
        <w:spacing w:after="0" w:line="281" w:lineRule="auto"/>
        <w:rPr>
          <w:sz w:val="20"/>
          <w:szCs w:val="20"/>
          <w:color w:val="auto"/>
        </w:rPr>
      </w:pPr>
      <w:r>
        <w:rPr>
          <w:rFonts w:ascii="Arial" w:cs="Arial" w:eastAsia="Arial" w:hAnsi="Arial"/>
          <w:sz w:val="21"/>
          <w:szCs w:val="21"/>
          <w:u w:val="single" w:color="auto"/>
          <w:color w:val="auto"/>
        </w:rPr>
        <w:t>Termination of Service on Account of Death</w:t>
      </w:r>
      <w:r>
        <w:rPr>
          <w:rFonts w:ascii="Arial" w:cs="Arial" w:eastAsia="Arial" w:hAnsi="Arial"/>
          <w:sz w:val="21"/>
          <w:szCs w:val="21"/>
          <w:color w:val="auto"/>
        </w:rPr>
        <w:t>. Upon termination of the Participant’s service on account of death, all of the Participant’s unvested Awards shall immediately vest in his legal heirs or nominees.</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Section 4(c) shall be deleted in its entirety and replaced with the following language:</w:t>
      </w:r>
    </w:p>
    <w:p>
      <w:pPr>
        <w:spacing w:after="0" w:line="118" w:lineRule="exact"/>
        <w:rPr>
          <w:sz w:val="20"/>
          <w:szCs w:val="20"/>
          <w:color w:val="auto"/>
        </w:rPr>
      </w:pPr>
    </w:p>
    <w:p>
      <w:pPr>
        <w:ind w:left="640" w:right="300"/>
        <w:spacing w:after="0" w:line="266" w:lineRule="auto"/>
        <w:rPr>
          <w:sz w:val="20"/>
          <w:szCs w:val="20"/>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 all of the Participant’s unvested Awards shall vest on the date of termination of service.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4(d) shall be deleted in its entirety and replaced with the following language:</w:t>
      </w:r>
    </w:p>
    <w:p>
      <w:pPr>
        <w:spacing w:after="0" w:line="118" w:lineRule="exact"/>
        <w:rPr>
          <w:sz w:val="20"/>
          <w:szCs w:val="20"/>
          <w:color w:val="auto"/>
        </w:rPr>
      </w:pPr>
    </w:p>
    <w:p>
      <w:pPr>
        <w:ind w:left="640" w:right="160"/>
        <w:spacing w:after="0" w:line="259" w:lineRule="auto"/>
        <w:rPr>
          <w:sz w:val="20"/>
          <w:szCs w:val="20"/>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Participant incurs a Disability that also constitutes a “disability” within the meaning of Section 409A, all of the Participant’s unvested Awards as of the date of such Disability shall continue to vest in accordance with the original vesting schedule set forth in Paragraph 2 of this Award Agreement regardless of any subsequent termination of service, provided such Disability does not result in termination of service. In the event of termination of service, the unvested Award shall vest in him on the date of termination.</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Section 9 shall be deleted in its entirety and replaced with the following language:</w:t>
      </w:r>
    </w:p>
    <w:p>
      <w:pPr>
        <w:spacing w:after="0" w:line="118" w:lineRule="exact"/>
        <w:rPr>
          <w:sz w:val="20"/>
          <w:szCs w:val="20"/>
          <w:color w:val="auto"/>
        </w:rPr>
      </w:pPr>
    </w:p>
    <w:p>
      <w:pPr>
        <w:ind w:left="640"/>
        <w:spacing w:after="0" w:line="257" w:lineRule="auto"/>
        <w:rPr>
          <w:sz w:val="20"/>
          <w:szCs w:val="20"/>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Subsidiary under whose payroll the Participant is registered shall have the right to deduct or withhold from the Award or payroll of the Participant an amount sufficient to satisfy income taxes required by law to be withheld with respect to the vesting of, lapse of restrictions on, or payment of any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Section 12 shall be amended to delete the term “transferees”.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13 shall be deleted in its entirety and replaced with the following language:</w:t>
      </w:r>
    </w:p>
    <w:p>
      <w:pPr>
        <w:spacing w:after="0" w:line="118" w:lineRule="exact"/>
        <w:rPr>
          <w:sz w:val="20"/>
          <w:szCs w:val="20"/>
          <w:color w:val="auto"/>
        </w:rPr>
      </w:pPr>
    </w:p>
    <w:p>
      <w:pPr>
        <w:ind w:left="640" w:right="100"/>
        <w:spacing w:after="0" w:line="266" w:lineRule="auto"/>
        <w:rPr>
          <w:sz w:val="20"/>
          <w:szCs w:val="20"/>
          <w:color w:val="auto"/>
        </w:rPr>
      </w:pPr>
      <w:r>
        <w:rPr>
          <w:rFonts w:ascii="Arial" w:cs="Arial" w:eastAsia="Arial" w:hAnsi="Arial"/>
          <w:sz w:val="21"/>
          <w:szCs w:val="21"/>
          <w:u w:val="single" w:color="auto"/>
          <w:color w:val="auto"/>
        </w:rPr>
        <w:t>No Assignment</w:t>
      </w:r>
      <w:r>
        <w:rPr>
          <w:rFonts w:ascii="Arial" w:cs="Arial" w:eastAsia="Arial" w:hAnsi="Arial"/>
          <w:sz w:val="21"/>
          <w:szCs w:val="21"/>
          <w:color w:val="auto"/>
        </w:rPr>
        <w:t>. Notwithstanding anything to the contrary in this Award Agreement, but subject to the assignment of the Award upon death of the Participant, neither this Award Agreement nor any rights granted herein shall be assignable by the Participant.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14 shall be deleted in its entirety and replaced with the following language:</w:t>
      </w:r>
    </w:p>
    <w:p>
      <w:pPr>
        <w:spacing w:after="0" w:line="118" w:lineRule="exact"/>
        <w:rPr>
          <w:sz w:val="20"/>
          <w:szCs w:val="20"/>
          <w:color w:val="auto"/>
        </w:rPr>
      </w:pPr>
    </w:p>
    <w:p>
      <w:pPr>
        <w:ind w:left="640" w:right="240"/>
        <w:spacing w:after="0" w:line="259" w:lineRule="auto"/>
        <w:rPr>
          <w:sz w:val="20"/>
          <w:szCs w:val="20"/>
          <w:color w:val="auto"/>
        </w:rPr>
      </w:pPr>
      <w:r>
        <w:rPr>
          <w:rFonts w:ascii="Arial" w:cs="Arial" w:eastAsia="Arial" w:hAnsi="Arial"/>
          <w:sz w:val="21"/>
          <w:szCs w:val="21"/>
          <w:u w:val="single" w:color="auto"/>
          <w:color w:val="auto"/>
        </w:rPr>
        <w:t>Necessary Acts</w:t>
      </w:r>
      <w:r>
        <w:rPr>
          <w:rFonts w:ascii="Arial" w:cs="Arial" w:eastAsia="Arial" w:hAnsi="Arial"/>
          <w:sz w:val="21"/>
          <w:szCs w:val="21"/>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Ireland:</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and be of no force and effect.</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8 above shall be deleted in its entirety and replaced with the following language: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78" w:lineRule="exact"/>
        <w:rPr>
          <w:sz w:val="20"/>
          <w:szCs w:val="20"/>
          <w:color w:val="auto"/>
        </w:rPr>
      </w:pPr>
    </w:p>
    <w:p>
      <w:pPr>
        <w:ind w:left="640" w:right="220"/>
        <w:spacing w:after="0" w:line="297" w:lineRule="auto"/>
        <w:rPr>
          <w:sz w:val="20"/>
          <w:szCs w:val="20"/>
          <w:color w:val="auto"/>
        </w:rPr>
      </w:pPr>
      <w:r>
        <w:rPr>
          <w:rFonts w:ascii="Arial" w:cs="Arial" w:eastAsia="Arial" w:hAnsi="Arial"/>
          <w:sz w:val="19"/>
          <w:szCs w:val="19"/>
          <w:u w:val="single" w:color="auto"/>
          <w:color w:val="auto"/>
        </w:rPr>
        <w:t>No Rights to Continuation of Service</w:t>
      </w:r>
      <w:r>
        <w:rPr>
          <w:rFonts w:ascii="Arial" w:cs="Arial" w:eastAsia="Arial" w:hAnsi="Arial"/>
          <w:sz w:val="19"/>
          <w:szCs w:val="19"/>
          <w:color w:val="auto"/>
        </w:rPr>
        <w:t>. Nothing in the Plan or this Award Agreement shall confer upon the Participant any right to continue in the employ of the Company or any Subsidiary thereof or shall interfere with or restrict any right the Company or its shareholders (or of a Subsidiary or its shareholders, as the case may be) may have to terminate the Participant’s service any time for any reason whatsoever, with or without Cause, subject to applicable law.</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Section 21 shall be deleted in its entirety and replaced by the following provision:</w:t>
      </w:r>
    </w:p>
    <w:p>
      <w:pPr>
        <w:spacing w:after="0" w:line="118" w:lineRule="exact"/>
        <w:rPr>
          <w:sz w:val="20"/>
          <w:szCs w:val="20"/>
          <w:color w:val="auto"/>
        </w:rPr>
      </w:pPr>
    </w:p>
    <w:p>
      <w:pPr>
        <w:ind w:left="640" w:right="100"/>
        <w:spacing w:after="0" w:line="255" w:lineRule="auto"/>
        <w:rPr>
          <w:sz w:val="20"/>
          <w:szCs w:val="20"/>
          <w:color w:val="auto"/>
        </w:rPr>
      </w:pPr>
      <w:r>
        <w:rPr>
          <w:rFonts w:ascii="Arial" w:cs="Arial" w:eastAsia="Arial" w:hAnsi="Arial"/>
          <w:sz w:val="21"/>
          <w:szCs w:val="21"/>
          <w:color w:val="auto"/>
        </w:rPr>
        <w:t>Nothing contained in the Plan or this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Award the Participant shall be deemed irrevocably to have waived any such entitlement.</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Section 23 shall be amended by the addition of the following sentence at the end of the clause:</w:t>
      </w:r>
    </w:p>
    <w:p>
      <w:pPr>
        <w:spacing w:after="0" w:line="118" w:lineRule="exact"/>
        <w:rPr>
          <w:sz w:val="20"/>
          <w:szCs w:val="20"/>
          <w:color w:val="auto"/>
        </w:rPr>
      </w:pPr>
    </w:p>
    <w:p>
      <w:pPr>
        <w:jc w:val="both"/>
        <w:ind w:left="640" w:right="500"/>
        <w:spacing w:after="0" w:line="333" w:lineRule="auto"/>
        <w:rPr>
          <w:sz w:val="20"/>
          <w:szCs w:val="20"/>
          <w:color w:val="auto"/>
        </w:rPr>
      </w:pPr>
      <w:r>
        <w:rPr>
          <w:rFonts w:ascii="Arial" w:cs="Arial" w:eastAsia="Arial" w:hAnsi="Arial"/>
          <w:sz w:val="19"/>
          <w:szCs w:val="19"/>
          <w:color w:val="auto"/>
        </w:rPr>
        <w:t>For the purposes of operating the Plan, the Company will collect and process information relating to the Participant in accordance with the privacy notice that is available from the human resources department of the Company on request.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Luxembourg</w:t>
      </w:r>
      <w:r>
        <w:rPr>
          <w:rFonts w:ascii="Arial" w:cs="Arial" w:eastAsia="Arial" w:hAnsi="Arial"/>
          <w:sz w:val="21"/>
          <w:szCs w:val="2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in its entirety and replaced with the following language:</w:t>
      </w:r>
    </w:p>
    <w:p>
      <w:pPr>
        <w:spacing w:after="0" w:line="118" w:lineRule="exact"/>
        <w:rPr>
          <w:sz w:val="20"/>
          <w:szCs w:val="20"/>
          <w:color w:val="auto"/>
        </w:rPr>
      </w:pPr>
    </w:p>
    <w:p>
      <w:pPr>
        <w:ind w:left="640" w:right="960"/>
        <w:spacing w:after="0" w:line="336" w:lineRule="auto"/>
        <w:rPr>
          <w:sz w:val="20"/>
          <w:szCs w:val="20"/>
          <w:color w:val="auto"/>
        </w:rPr>
      </w:pPr>
      <w:r>
        <w:rPr>
          <w:rFonts w:ascii="Arial" w:cs="Arial" w:eastAsia="Arial" w:hAnsi="Arial"/>
          <w:sz w:val="19"/>
          <w:szCs w:val="19"/>
          <w:u w:val="single" w:color="auto"/>
          <w:color w:val="auto"/>
        </w:rPr>
        <w:t>Termination of Service on Account of Retirement</w:t>
      </w:r>
      <w:r>
        <w:rPr>
          <w:rFonts w:ascii="Arial" w:cs="Arial" w:eastAsia="Arial" w:hAnsi="Arial"/>
          <w:sz w:val="19"/>
          <w:szCs w:val="19"/>
          <w:color w:val="auto"/>
        </w:rPr>
        <w:t>. If the Participant voluntarily retires according to Luxembourg employment law, all of the Participant’s then unvested Awards shall vest on the Participant’s termination date.</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21"/>
          <w:szCs w:val="21"/>
          <w:color w:val="auto"/>
        </w:rPr>
        <w:t>Section 4(d) above shall be amended to (i) delete the phrase “that also constitutes a ‘disability’ within the meaning of Section 409A of the Code” therefrom and (ii) add the following language at the end thereof:</w:t>
      </w:r>
    </w:p>
    <w:p>
      <w:pPr>
        <w:spacing w:after="0" w:line="48" w:lineRule="exact"/>
        <w:rPr>
          <w:sz w:val="20"/>
          <w:szCs w:val="20"/>
          <w:color w:val="auto"/>
        </w:rPr>
      </w:pPr>
    </w:p>
    <w:p>
      <w:pPr>
        <w:ind w:left="640"/>
        <w:spacing w:after="0" w:line="259" w:lineRule="auto"/>
        <w:rPr>
          <w:sz w:val="20"/>
          <w:szCs w:val="20"/>
          <w:color w:val="auto"/>
        </w:rPr>
      </w:pPr>
      <w:r>
        <w:rPr>
          <w:rFonts w:ascii="Arial" w:cs="Arial" w:eastAsia="Arial" w:hAnsi="Arial"/>
          <w:sz w:val="21"/>
          <w:szCs w:val="21"/>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21"/>
          <w:szCs w:val="21"/>
          <w:i w:val="1"/>
          <w:iCs w:val="1"/>
          <w:color w:val="auto"/>
        </w:rPr>
        <w:t>reclassement</w:t>
      </w:r>
      <w:r>
        <w:rPr>
          <w:rFonts w:ascii="Arial" w:cs="Arial" w:eastAsia="Arial" w:hAnsi="Arial"/>
          <w:sz w:val="21"/>
          <w:szCs w:val="21"/>
          <w:color w:val="auto"/>
        </w:rPr>
        <w:t xml:space="preserve"> by the competent commission following an irrevocable decision from said commission.</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Section 4 above shall be amended to add the following language at the end thereof as a new sub-section (g):</w:t>
      </w:r>
    </w:p>
    <w:p>
      <w:pPr>
        <w:spacing w:after="0" w:line="118" w:lineRule="exact"/>
        <w:rPr>
          <w:sz w:val="20"/>
          <w:szCs w:val="20"/>
          <w:color w:val="auto"/>
        </w:rPr>
      </w:pPr>
    </w:p>
    <w:p>
      <w:pPr>
        <w:ind w:left="640" w:right="740" w:firstLine="6"/>
        <w:spacing w:after="0" w:line="281" w:lineRule="auto"/>
        <w:tabs>
          <w:tab w:leader="none" w:pos="1102" w:val="left"/>
        </w:tabs>
        <w:numPr>
          <w:ilvl w:val="0"/>
          <w:numId w:val="75"/>
        </w:numPr>
        <w:rPr>
          <w:rFonts w:ascii="Arial" w:cs="Arial" w:eastAsia="Arial" w:hAnsi="Arial"/>
          <w:sz w:val="21"/>
          <w:szCs w:val="21"/>
          <w:color w:val="auto"/>
        </w:rPr>
      </w:pPr>
      <w:r>
        <w:rPr>
          <w:rFonts w:ascii="Arial" w:cs="Arial" w:eastAsia="Arial" w:hAnsi="Arial"/>
          <w:sz w:val="21"/>
          <w:szCs w:val="21"/>
          <w:color w:val="auto"/>
        </w:rPr>
        <w:t>It is understood that the Participant’s termination of service for any reason shall take place in accordance with applicable Luxembourg employment law rules.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40" w:right="359" w:bottom="1440" w:gutter="0" w:footer="0" w:header="0"/>
        </w:sectPr>
      </w:pPr>
    </w:p>
    <w:bookmarkStart w:id="93" w:name="page94"/>
    <w:bookmarkEnd w:id="93"/>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Section 9 above shall be amended to add the following language at the end thereof:</w:t>
      </w:r>
    </w:p>
    <w:p>
      <w:pPr>
        <w:spacing w:after="0" w:line="118" w:lineRule="exact"/>
        <w:rPr>
          <w:sz w:val="20"/>
          <w:szCs w:val="20"/>
          <w:color w:val="auto"/>
        </w:rPr>
      </w:pPr>
    </w:p>
    <w:p>
      <w:pPr>
        <w:ind w:left="640"/>
        <w:spacing w:after="0" w:line="261" w:lineRule="auto"/>
        <w:rPr>
          <w:sz w:val="20"/>
          <w:szCs w:val="20"/>
          <w:color w:val="auto"/>
        </w:rPr>
      </w:pPr>
      <w:r>
        <w:rPr>
          <w:rFonts w:ascii="Arial" w:cs="Arial" w:eastAsia="Arial" w:hAnsi="Arial"/>
          <w:sz w:val="21"/>
          <w:szCs w:val="21"/>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Section 12 above shall be amended to delete the word “transferees” therefrom.</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Section 13 above shall be deleted in its entirety and replaced with the following language:</w:t>
      </w:r>
    </w:p>
    <w:p>
      <w:pPr>
        <w:spacing w:after="0" w:line="118" w:lineRule="exact"/>
        <w:rPr>
          <w:sz w:val="20"/>
          <w:szCs w:val="20"/>
          <w:color w:val="auto"/>
        </w:rPr>
      </w:pPr>
    </w:p>
    <w:p>
      <w:pPr>
        <w:ind w:left="640" w:right="220"/>
        <w:spacing w:after="0" w:line="307"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Section 23 above shall be amended to add the following language at the end thereof:</w:t>
      </w:r>
    </w:p>
    <w:p>
      <w:pPr>
        <w:spacing w:after="0" w:line="118" w:lineRule="exact"/>
        <w:rPr>
          <w:sz w:val="20"/>
          <w:szCs w:val="20"/>
          <w:color w:val="auto"/>
        </w:rPr>
      </w:pPr>
    </w:p>
    <w:p>
      <w:pPr>
        <w:jc w:val="both"/>
        <w:ind w:left="640" w:right="200" w:firstLine="6"/>
        <w:spacing w:after="0" w:line="261" w:lineRule="auto"/>
        <w:tabs>
          <w:tab w:leader="none" w:pos="747" w:val="left"/>
        </w:tabs>
        <w:numPr>
          <w:ilvl w:val="0"/>
          <w:numId w:val="76"/>
        </w:numPr>
        <w:rPr>
          <w:rFonts w:ascii="Arial" w:cs="Arial" w:eastAsia="Arial" w:hAnsi="Arial"/>
          <w:sz w:val="21"/>
          <w:szCs w:val="21"/>
          <w:color w:val="auto"/>
        </w:rPr>
      </w:pPr>
      <w:r>
        <w:rPr>
          <w:rFonts w:ascii="Arial" w:cs="Arial" w:eastAsia="Arial" w:hAnsi="Arial"/>
          <w:sz w:val="21"/>
          <w:szCs w:val="21"/>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United Kingdom:</w:t>
      </w:r>
    </w:p>
    <w:p>
      <w:pPr>
        <w:spacing w:after="0" w:line="124" w:lineRule="exact"/>
        <w:rPr>
          <w:sz w:val="20"/>
          <w:szCs w:val="20"/>
          <w:color w:val="auto"/>
        </w:rPr>
      </w:pPr>
    </w:p>
    <w:p>
      <w:pPr>
        <w:ind w:right="100"/>
        <w:spacing w:after="0" w:line="266"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4(c) above shall be deleted and be of no force and effect.</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w:t>
      </w:r>
    </w:p>
    <w:p>
      <w:pPr>
        <w:spacing w:after="0" w:line="53" w:lineRule="exact"/>
        <w:rPr>
          <w:sz w:val="20"/>
          <w:szCs w:val="20"/>
          <w:color w:val="auto"/>
        </w:rPr>
      </w:pPr>
    </w:p>
    <w:p>
      <w:pPr>
        <w:ind w:left="640" w:right="20" w:firstLine="6"/>
        <w:spacing w:after="0" w:line="257" w:lineRule="auto"/>
        <w:tabs>
          <w:tab w:leader="none" w:pos="895" w:val="left"/>
        </w:tabs>
        <w:numPr>
          <w:ilvl w:val="0"/>
          <w:numId w:val="77"/>
        </w:numPr>
        <w:rPr>
          <w:rFonts w:ascii="Arial" w:cs="Arial" w:eastAsia="Arial" w:hAnsi="Arial"/>
          <w:sz w:val="21"/>
          <w:szCs w:val="21"/>
          <w:color w:val="auto"/>
        </w:rPr>
      </w:pPr>
      <w:r>
        <w:rPr>
          <w:rFonts w:ascii="Arial" w:cs="Arial" w:eastAsia="Arial" w:hAnsi="Arial"/>
          <w:sz w:val="21"/>
          <w:szCs w:val="21"/>
          <w:color w:val="auto"/>
        </w:rPr>
        <w:t>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color w:val="auto"/>
        </w:rPr>
        <w:t>Section 9 above shall be amended to add the following language at the end thereof:</w:t>
      </w:r>
    </w:p>
    <w:p>
      <w:pPr>
        <w:spacing w:after="0" w:line="118" w:lineRule="exact"/>
        <w:rPr>
          <w:sz w:val="20"/>
          <w:szCs w:val="20"/>
          <w:color w:val="auto"/>
        </w:rPr>
      </w:pPr>
    </w:p>
    <w:p>
      <w:pPr>
        <w:jc w:val="both"/>
        <w:ind w:left="640" w:right="100"/>
        <w:spacing w:after="0" w:line="286" w:lineRule="auto"/>
        <w:rPr>
          <w:sz w:val="20"/>
          <w:szCs w:val="20"/>
          <w:color w:val="auto"/>
        </w:rPr>
      </w:pPr>
      <w:r>
        <w:rPr>
          <w:rFonts w:ascii="Arial" w:cs="Arial" w:eastAsia="Arial" w:hAnsi="Arial"/>
          <w:sz w:val="20"/>
          <w:szCs w:val="20"/>
          <w:u w:val="single" w:color="auto"/>
          <w:color w:val="auto"/>
        </w:rPr>
        <w:t>Tax Liabilities</w:t>
      </w:r>
      <w:r>
        <w:rPr>
          <w:rFonts w:ascii="Arial" w:cs="Arial" w:eastAsia="Arial" w:hAnsi="Arial"/>
          <w:sz w:val="20"/>
          <w:szCs w:val="20"/>
          <w:color w:val="auto"/>
        </w:rPr>
        <w:t>. The Participant irrevocably agrees to pay, or enter into arrangements to the satisfaction of the Company to pay, to the Company, the Participant’s employer or former employer (as appropriate) the amount of any Tax Liability. For the purposes of this section the following capitalized terms shall have the meanings set out below:</w:t>
      </w:r>
    </w:p>
    <w:p>
      <w:pPr>
        <w:spacing w:after="0" w:line="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Taxable Event</w:t>
      </w:r>
      <w:r>
        <w:rPr>
          <w:rFonts w:ascii="Arial" w:cs="Arial" w:eastAsia="Arial" w:hAnsi="Arial"/>
          <w:sz w:val="19"/>
          <w:szCs w:val="19"/>
          <w:color w:val="auto"/>
        </w:rPr>
        <w:t>”: any event or circumstance that gives rise to a liability for the Participant to pay income tax and national</w:t>
      </w:r>
    </w:p>
    <w:p>
      <w:pPr>
        <w:spacing w:after="0" w:line="53" w:lineRule="exact"/>
        <w:rPr>
          <w:sz w:val="20"/>
          <w:szCs w:val="20"/>
          <w:color w:val="auto"/>
        </w:rPr>
      </w:pPr>
    </w:p>
    <w:p>
      <w:pPr>
        <w:ind w:left="640" w:right="1060"/>
        <w:spacing w:after="0" w:line="264" w:lineRule="auto"/>
        <w:rPr>
          <w:sz w:val="20"/>
          <w:szCs w:val="20"/>
          <w:color w:val="auto"/>
        </w:rPr>
      </w:pPr>
      <w:r>
        <w:rPr>
          <w:rFonts w:ascii="Arial" w:cs="Arial" w:eastAsia="Arial" w:hAnsi="Arial"/>
          <w:sz w:val="21"/>
          <w:szCs w:val="21"/>
          <w:color w:val="auto"/>
        </w:rPr>
        <w:t>insurance contributions or either of them in respect of: (a) the Award, including its assignment or surrender for consideration, or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40"/>
          </w:cols>
          <w:pgMar w:left="320" w:top="1440" w:right="439" w:bottom="1440" w:gutter="0" w:footer="0" w:header="0"/>
        </w:sectPr>
      </w:pPr>
    </w:p>
    <w:bookmarkStart w:id="94" w:name="page95"/>
    <w:bookmarkEnd w:id="94"/>
    <w:p>
      <w:pPr>
        <w:spacing w:after="0" w:line="78" w:lineRule="exact"/>
        <w:rPr>
          <w:sz w:val="20"/>
          <w:szCs w:val="20"/>
          <w:color w:val="auto"/>
        </w:rPr>
      </w:pPr>
    </w:p>
    <w:p>
      <w:pPr>
        <w:ind w:left="640" w:right="260"/>
        <w:spacing w:after="0" w:line="261" w:lineRule="auto"/>
        <w:rPr>
          <w:sz w:val="20"/>
          <w:szCs w:val="20"/>
          <w:color w:val="auto"/>
        </w:rPr>
      </w:pPr>
      <w:r>
        <w:rPr>
          <w:rFonts w:ascii="Arial" w:cs="Arial" w:eastAsia="Arial" w:hAnsi="Arial"/>
          <w:sz w:val="21"/>
          <w:szCs w:val="21"/>
          <w:color w:val="auto"/>
        </w:rPr>
        <w:t>receipt of any benefit in connection with it; (b) any amounts or assets: (i) earmarked or held to satisfy the Award; (ii) acquired pursuant to the Award; or (iii) acquired in consideration of the assignment or surrender of the Award; or (c) any amount due in respect of assets within (a) above and not made good by the Participant within the time limit specified in section 222 ITEPA.</w:t>
      </w:r>
    </w:p>
    <w:p>
      <w:pPr>
        <w:spacing w:after="0" w:line="69" w:lineRule="exact"/>
        <w:rPr>
          <w:sz w:val="20"/>
          <w:szCs w:val="20"/>
          <w:color w:val="auto"/>
        </w:rPr>
      </w:pPr>
    </w:p>
    <w:p>
      <w:pPr>
        <w:ind w:left="640" w:right="200"/>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Liability</w:t>
      </w:r>
      <w:r>
        <w:rPr>
          <w:rFonts w:ascii="Arial" w:cs="Arial" w:eastAsia="Arial" w:hAnsi="Arial"/>
          <w:sz w:val="21"/>
          <w:szCs w:val="21"/>
          <w:color w:val="auto"/>
        </w:rPr>
        <w:t>”: any income tax and primary class 1 (employee) national insurance contributions that any employer (or former employer) of the Participant is liable to account for (or reasonably believes it is liable to account for) as a result of any Taxable Event.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Section 21 shall be replaced by the following provision:</w:t>
      </w:r>
    </w:p>
    <w:p>
      <w:pPr>
        <w:spacing w:after="0" w:line="118" w:lineRule="exact"/>
        <w:rPr>
          <w:sz w:val="20"/>
          <w:szCs w:val="20"/>
          <w:color w:val="auto"/>
        </w:rPr>
      </w:pPr>
    </w:p>
    <w:p>
      <w:pPr>
        <w:ind w:left="640" w:right="80"/>
        <w:spacing w:after="0" w:line="268" w:lineRule="auto"/>
        <w:rPr>
          <w:sz w:val="20"/>
          <w:szCs w:val="20"/>
          <w:color w:val="auto"/>
        </w:rPr>
      </w:pPr>
      <w:r>
        <w:rPr>
          <w:rFonts w:ascii="Arial" w:cs="Arial" w:eastAsia="Arial" w:hAnsi="Arial"/>
          <w:sz w:val="20"/>
          <w:szCs w:val="20"/>
          <w:color w:val="auto"/>
        </w:rPr>
        <w:t>Nothing contained in the Plan or this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Award the Participant shall be deemed irrevocably to have waived any such entitlement. This exclusion applies equally (and without limitation) to any loss arising from the way in which discretion is (or is not) exercised under any Section of the Plan even if the exercise (or non-exercise) of such discretion is, or appears to be, irrational or perverse or breaches, or is claimed to breach, any implied term of the Plan or any other contract between the Participant and the Participant’s employer.</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Section 23 shall be replaced with the following:</w:t>
      </w:r>
    </w:p>
    <w:p>
      <w:pPr>
        <w:spacing w:after="0" w:line="118" w:lineRule="exact"/>
        <w:rPr>
          <w:sz w:val="20"/>
          <w:szCs w:val="20"/>
          <w:color w:val="auto"/>
        </w:rPr>
      </w:pPr>
    </w:p>
    <w:p>
      <w:pPr>
        <w:ind w:left="640"/>
        <w:spacing w:after="0" w:line="270" w:lineRule="auto"/>
        <w:rPr>
          <w:sz w:val="20"/>
          <w:szCs w:val="20"/>
          <w:color w:val="auto"/>
        </w:rPr>
      </w:pPr>
      <w:r>
        <w:rPr>
          <w:rFonts w:ascii="Arial" w:cs="Arial" w:eastAsia="Arial" w:hAnsi="Arial"/>
          <w:sz w:val="20"/>
          <w:szCs w:val="20"/>
          <w:color w:val="auto"/>
        </w:rPr>
        <w:t>By participating in the Plan, the Participant acknowledges that the Company and its Subsidiaries may hold and process data relating to him or her (including personal data) in relation to and as a consequence of the Award. The Company, its Subsidiaries and the Participant’s employer hold certain personal information, including the Participant’s name, home address and telephone number, date of birth, identification number, salary, nationality, job title, any Awards awarded, forfeited, vested, unvested or outstanding in the Participant’s favour, for the purpose of managing and administering the Plan (“</w:t>
      </w:r>
      <w:r>
        <w:rPr>
          <w:rFonts w:ascii="Arial" w:cs="Arial" w:eastAsia="Arial" w:hAnsi="Arial"/>
          <w:sz w:val="20"/>
          <w:szCs w:val="20"/>
          <w:u w:val="single" w:color="auto"/>
          <w:color w:val="auto"/>
        </w:rPr>
        <w:t>Data</w:t>
      </w:r>
      <w:r>
        <w:rPr>
          <w:rFonts w:ascii="Arial" w:cs="Arial" w:eastAsia="Arial" w:hAnsi="Arial"/>
          <w:sz w:val="20"/>
          <w:szCs w:val="20"/>
          <w:color w:val="auto"/>
        </w:rPr>
        <w:t>”). The Company and its Subsidiaries will transfer Data to any third parties assisting the Company in the implementation, administration and management of the Plan. These recipients may be located outside of the European Economic Area including in the UK or the United States.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00"/>
          </w:cols>
          <w:pgMar w:left="320" w:top="1440" w:right="379" w:bottom="1440" w:gutter="0" w:footer="0" w:header="0"/>
        </w:sectPr>
      </w:pPr>
    </w:p>
    <w:bookmarkStart w:id="95" w:name="page96"/>
    <w:bookmarkEnd w:id="95"/>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parties hereto have executed this Award Agreement as of the date set forth above.</w:t>
      </w:r>
    </w:p>
    <w:p>
      <w:pPr>
        <w:spacing w:after="0" w:line="304"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ENDO INTERNATIONAL PLC</w:t>
      </w:r>
    </w:p>
    <w:p>
      <w:pPr>
        <w:spacing w:after="0" w:line="106"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33655</wp:posOffset>
            </wp:positionV>
            <wp:extent cx="25723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57" w:lineRule="exact"/>
        <w:rPr>
          <w:sz w:val="20"/>
          <w:szCs w:val="20"/>
          <w:color w:val="auto"/>
        </w:rPr>
      </w:pPr>
    </w:p>
    <w:p>
      <w:pPr>
        <w:ind w:left="6420"/>
        <w:spacing w:after="0"/>
        <w:tabs>
          <w:tab w:leader="none" w:pos="7180" w:val="left"/>
        </w:tabs>
        <w:rPr>
          <w:sz w:val="20"/>
          <w:szCs w:val="20"/>
          <w:color w:val="auto"/>
        </w:rPr>
      </w:pPr>
      <w:r>
        <w:rPr>
          <w:rFonts w:ascii="Arial" w:cs="Arial" w:eastAsia="Arial" w:hAnsi="Arial"/>
          <w:sz w:val="20"/>
          <w:szCs w:val="20"/>
          <w:color w:val="auto"/>
        </w:rPr>
        <w:t>Name:</w:t>
        <w:tab/>
        <w:t>Blaise Coleman</w:t>
      </w:r>
    </w:p>
    <w:p>
      <w:pPr>
        <w:spacing w:after="0" w:line="90" w:lineRule="exact"/>
        <w:rPr>
          <w:sz w:val="20"/>
          <w:szCs w:val="20"/>
          <w:color w:val="auto"/>
        </w:rPr>
      </w:pPr>
    </w:p>
    <w:p>
      <w:pPr>
        <w:ind w:left="6520"/>
        <w:spacing w:after="0"/>
        <w:tabs>
          <w:tab w:leader="none" w:pos="7180" w:val="left"/>
        </w:tabs>
        <w:rPr>
          <w:sz w:val="20"/>
          <w:szCs w:val="20"/>
          <w:color w:val="auto"/>
        </w:rPr>
      </w:pPr>
      <w:r>
        <w:rPr>
          <w:rFonts w:ascii="Arial" w:cs="Arial" w:eastAsia="Arial" w:hAnsi="Arial"/>
          <w:sz w:val="20"/>
          <w:szCs w:val="20"/>
          <w:color w:val="auto"/>
        </w:rPr>
        <w:t>Title:</w:t>
        <w:tab/>
        <w:t>President &amp; Chief Executive Officer</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PARTICIPANT</w:t>
      </w:r>
    </w:p>
    <w:p>
      <w:pPr>
        <w:spacing w:after="0" w:line="83"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33655</wp:posOffset>
            </wp:positionV>
            <wp:extent cx="25723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57"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20" w:top="1440" w:right="35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040765" cy="3130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040765"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November 5, 2020</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George Apostol</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First Floor, Minverva House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Ballsbridge, D4 Ireland</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Dear George,</w:t>
      </w:r>
    </w:p>
    <w:p>
      <w:pPr>
        <w:spacing w:after="0" w:line="118" w:lineRule="exact"/>
        <w:rPr>
          <w:sz w:val="20"/>
          <w:szCs w:val="20"/>
          <w:color w:val="auto"/>
        </w:rPr>
      </w:pPr>
    </w:p>
    <w:p>
      <w:pPr>
        <w:ind w:right="120" w:firstLine="480"/>
        <w:spacing w:after="0" w:line="307" w:lineRule="auto"/>
        <w:rPr>
          <w:sz w:val="20"/>
          <w:szCs w:val="20"/>
          <w:color w:val="auto"/>
        </w:rPr>
      </w:pPr>
      <w:r>
        <w:rPr>
          <w:rFonts w:ascii="Arial" w:cs="Arial" w:eastAsia="Arial" w:hAnsi="Arial"/>
          <w:sz w:val="19"/>
          <w:szCs w:val="19"/>
          <w:color w:val="auto"/>
        </w:rPr>
        <w:t>Your exceptional leadership and business expertise are critical to Endo (“Endo” or the “Company”) as we continue to advance our mission to develop and deliver life-enhancing products through focused execution. You are one of Endo’s key leaders who is critical to the implementation of our strategy and the pursuit of our vision of helping everyone we serve live their best life.</w:t>
      </w:r>
    </w:p>
    <w:p>
      <w:pPr>
        <w:spacing w:after="0" w:line="28" w:lineRule="exact"/>
        <w:rPr>
          <w:sz w:val="20"/>
          <w:szCs w:val="20"/>
          <w:color w:val="auto"/>
        </w:rPr>
      </w:pPr>
    </w:p>
    <w:p>
      <w:pPr>
        <w:ind w:firstLine="480"/>
        <w:spacing w:after="0" w:line="255" w:lineRule="auto"/>
        <w:rPr>
          <w:sz w:val="20"/>
          <w:szCs w:val="20"/>
          <w:color w:val="auto"/>
        </w:rPr>
      </w:pPr>
      <w:r>
        <w:rPr>
          <w:rFonts w:ascii="Arial" w:cs="Arial" w:eastAsia="Arial" w:hAnsi="Arial"/>
          <w:sz w:val="21"/>
          <w:szCs w:val="21"/>
          <w:color w:val="auto"/>
        </w:rPr>
        <w:t xml:space="preserve">Based upon the criticality of your role and your contributions, I am pleased to inform you that you are eligible to receive a one-time cash-based compensation arrangement (Continuity Compensation) in the amount of </w:t>
      </w:r>
      <w:r>
        <w:rPr>
          <w:rFonts w:ascii="Arial" w:cs="Arial" w:eastAsia="Arial" w:hAnsi="Arial"/>
          <w:sz w:val="21"/>
          <w:szCs w:val="21"/>
          <w:b w:val="1"/>
          <w:bCs w:val="1"/>
          <w:color w:val="auto"/>
        </w:rPr>
        <w:t>€487,520</w:t>
      </w:r>
      <w:r>
        <w:rPr>
          <w:rFonts w:ascii="Arial" w:cs="Arial" w:eastAsia="Arial" w:hAnsi="Arial"/>
          <w:sz w:val="21"/>
          <w:szCs w:val="21"/>
          <w:color w:val="auto"/>
        </w:rPr>
        <w:t xml:space="preserve"> (subject to applicable tax withholdings). This Continuity Compensation will be paid in three equal installments of approximately €162,506.67 within 60 days following June 15, 2021, September 15, 2021 and December 15, 2021 (each a “Vesting Period”), and will be in addition to your annual cash incentive opportunity. To qualify for the Continuity Compensation payments, you must maintain strong work performance and remain employed with the Company through the applicable Vesting Periods. Continuity Compensation payments will be accelerated if your employment is terminated by Endo without cause before the end of any applicable Vesting Period. Any unpaid Continuity Compensation amounts will be forfeited if you are terminated for cause or resign before the end of a Vesting Period.</w:t>
      </w:r>
    </w:p>
    <w:p>
      <w:pPr>
        <w:spacing w:after="0" w:line="76" w:lineRule="exact"/>
        <w:rPr>
          <w:sz w:val="20"/>
          <w:szCs w:val="20"/>
          <w:color w:val="auto"/>
        </w:rPr>
      </w:pPr>
    </w:p>
    <w:p>
      <w:pPr>
        <w:ind w:right="160" w:firstLine="480"/>
        <w:spacing w:after="0" w:line="275" w:lineRule="auto"/>
        <w:rPr>
          <w:sz w:val="20"/>
          <w:szCs w:val="20"/>
          <w:color w:val="auto"/>
        </w:rPr>
      </w:pPr>
      <w:r>
        <w:rPr>
          <w:rFonts w:ascii="Arial" w:cs="Arial" w:eastAsia="Arial" w:hAnsi="Arial"/>
          <w:sz w:val="20"/>
          <w:szCs w:val="20"/>
          <w:color w:val="auto"/>
        </w:rPr>
        <w:t>The Continuity Compensation arrangement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The Continuity Compensation payments are part of a one-time arrangement and is not an acquired right. Nor will the Continuity Compensation create any legal claim for you in respect to its cause or amount, either for the past or for the future.</w:t>
      </w:r>
    </w:p>
    <w:p>
      <w:pPr>
        <w:spacing w:after="0" w:line="55" w:lineRule="exact"/>
        <w:rPr>
          <w:sz w:val="20"/>
          <w:szCs w:val="20"/>
          <w:color w:val="auto"/>
        </w:rPr>
      </w:pPr>
    </w:p>
    <w:p>
      <w:pPr>
        <w:ind w:right="140" w:firstLine="480"/>
        <w:spacing w:after="0" w:line="261" w:lineRule="auto"/>
        <w:rPr>
          <w:sz w:val="20"/>
          <w:szCs w:val="20"/>
          <w:color w:val="auto"/>
        </w:rPr>
      </w:pPr>
      <w:r>
        <w:rPr>
          <w:rFonts w:ascii="Arial" w:cs="Arial" w:eastAsia="Arial" w:hAnsi="Arial"/>
          <w:sz w:val="21"/>
          <w:szCs w:val="21"/>
          <w:color w:val="auto"/>
        </w:rPr>
        <w:t>This letter does not form a part of the employment contract between you and the Company or alter any other terms and conditions of your employment. You or Endo may terminate your employment at any time, for any reason, with or without Cause, pursuant to your employment contract or applicable law. No modifications of this letter may be made in the absence of a written document signed by the parties.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xml:space="preserve">Page </w:t>
      </w:r>
      <w:r>
        <w:rPr>
          <w:rFonts w:ascii="Arial" w:cs="Arial" w:eastAsia="Arial" w:hAnsi="Arial"/>
          <w:sz w:val="21"/>
          <w:szCs w:val="21"/>
          <w:b w:val="1"/>
          <w:bCs w:val="1"/>
          <w:color w:val="auto"/>
        </w:rPr>
        <w:t>1</w:t>
      </w:r>
      <w:r>
        <w:rPr>
          <w:rFonts w:ascii="Arial" w:cs="Arial" w:eastAsia="Arial" w:hAnsi="Arial"/>
          <w:sz w:val="21"/>
          <w:szCs w:val="21"/>
          <w:color w:val="auto"/>
        </w:rPr>
        <w:t xml:space="preserve"> of </w:t>
      </w:r>
      <w:r>
        <w:rPr>
          <w:rFonts w:ascii="Arial" w:cs="Arial" w:eastAsia="Arial" w:hAnsi="Arial"/>
          <w:sz w:val="21"/>
          <w:szCs w:val="21"/>
          <w:b w:val="1"/>
          <w:bCs w:val="1"/>
          <w:color w:val="auto"/>
        </w:rPr>
        <w:t>2</w:t>
      </w:r>
    </w:p>
    <w:p>
      <w:pPr>
        <w:sectPr>
          <w:pgSz w:w="11900" w:h="16838" w:orient="portrait"/>
          <w:cols w:equalWidth="0" w:num="1">
            <w:col w:w="11240"/>
          </w:cols>
          <w:pgMar w:left="320" w:top="125" w:right="339" w:bottom="1440" w:gutter="0" w:footer="0" w:header="0"/>
        </w:sectPr>
      </w:pPr>
    </w:p>
    <w:bookmarkStart w:id="97" w:name="page98"/>
    <w:bookmarkEnd w:id="97"/>
    <w:p>
      <w:pPr>
        <w:ind w:firstLine="480"/>
        <w:spacing w:after="0" w:line="29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040765" cy="313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040765" cy="313055"/>
                    </a:xfrm>
                    <a:prstGeom prst="rect">
                      <a:avLst/>
                    </a:prstGeom>
                    <a:noFill/>
                  </pic:spPr>
                </pic:pic>
              </a:graphicData>
            </a:graphic>
          </wp:anchor>
        </w:drawing>
        <w:t>We thank you for your commitment to the Company, and are confident that Endo can count on your continued support. Please indicate your acceptance by signing and returning one copy of this letter agreement to Vito Romano, SVP Total Rewards and HR Operations.</w:t>
      </w:r>
    </w:p>
    <w:p>
      <w:pPr>
        <w:sectPr>
          <w:pgSz w:w="11900" w:h="16838" w:orient="portrait"/>
          <w:cols w:equalWidth="0" w:num="1">
            <w:col w:w="11240"/>
          </w:cols>
          <w:pgMar w:left="320" w:top="1171" w:right="3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Best Regards,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36556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655695" cy="8255"/>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21"/>
          <w:szCs w:val="21"/>
          <w:color w:val="auto"/>
        </w:rPr>
        <w:t>Blaise Coleman</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GEORGE APOSTOL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36556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655695" cy="8255"/>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21"/>
          <w:szCs w:val="21"/>
          <w:color w:val="auto"/>
        </w:rPr>
        <w:t>George Apostol</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1"/>
          <w:szCs w:val="21"/>
          <w:color w:val="auto"/>
        </w:rPr>
        <w:t>/S/ TRACY BASSO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30632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auto"/>
        </w:rPr>
        <w:t>Tracy Basso</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30632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auto"/>
        </w:rPr>
        <w:t>Date (the “Effective Date”)</w:t>
      </w:r>
    </w:p>
    <w:p>
      <w:pPr>
        <w:spacing w:after="0" w:line="213" w:lineRule="exact"/>
        <w:rPr>
          <w:sz w:val="20"/>
          <w:szCs w:val="20"/>
          <w:color w:val="auto"/>
        </w:rPr>
      </w:pPr>
    </w:p>
    <w:p>
      <w:pPr>
        <w:sectPr>
          <w:pgSz w:w="11900" w:h="16838" w:orient="portrait"/>
          <w:cols w:equalWidth="0" w:num="2">
            <w:col w:w="5680" w:space="720"/>
            <w:col w:w="4840"/>
          </w:cols>
          <w:pgMar w:left="320" w:top="1171" w:right="339" w:bottom="144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1240"/>
          </w:cols>
          <w:pgMar w:left="320" w:top="1171" w:right="3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0" w:lineRule="exact"/>
        <w:rPr>
          <w:sz w:val="20"/>
          <w:szCs w:val="20"/>
          <w:color w:val="auto"/>
        </w:rPr>
      </w:pPr>
    </w:p>
    <w:p>
      <w:pPr>
        <w:ind w:left="580" w:hanging="174"/>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86" w:lineRule="exact"/>
        <w:rPr>
          <w:rFonts w:ascii="Arial" w:cs="Arial" w:eastAsia="Arial" w:hAnsi="Arial"/>
          <w:sz w:val="18"/>
          <w:szCs w:val="18"/>
          <w:color w:val="auto"/>
        </w:rPr>
      </w:pPr>
    </w:p>
    <w:p>
      <w:pPr>
        <w:ind w:left="400" w:firstLine="6"/>
        <w:spacing w:after="0" w:line="330" w:lineRule="auto"/>
        <w:tabs>
          <w:tab w:leader="none" w:pos="5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6"/>
          <w:szCs w:val="16"/>
          <w:color w:val="auto"/>
        </w:rPr>
      </w:pPr>
    </w:p>
    <w:p>
      <w:pPr>
        <w:ind w:left="400" w:right="280" w:firstLine="6"/>
        <w:spacing w:after="0" w:line="297" w:lineRule="auto"/>
        <w:tabs>
          <w:tab w:leader="none" w:pos="578"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400" w:right="80" w:firstLine="6"/>
        <w:spacing w:after="0" w:line="257" w:lineRule="auto"/>
        <w:tabs>
          <w:tab w:leader="none" w:pos="5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400" w:right="100" w:firstLine="486"/>
        <w:spacing w:after="0" w:line="257" w:lineRule="auto"/>
        <w:tabs>
          <w:tab w:leader="none" w:pos="106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400" w:right="460" w:firstLine="486"/>
        <w:spacing w:after="0" w:line="257" w:lineRule="auto"/>
        <w:tabs>
          <w:tab w:leader="none" w:pos="10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400" w:right="600" w:firstLine="486"/>
        <w:spacing w:after="0" w:line="330" w:lineRule="auto"/>
        <w:tabs>
          <w:tab w:leader="none" w:pos="1062"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00" w:right="80" w:firstLine="486"/>
        <w:spacing w:after="0" w:line="257" w:lineRule="auto"/>
        <w:tabs>
          <w:tab w:leader="none" w:pos="10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00" w:right="220" w:firstLine="6"/>
        <w:spacing w:after="0" w:line="330" w:lineRule="auto"/>
        <w:tabs>
          <w:tab w:leader="none" w:pos="5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 w:lineRule="exact"/>
        <w:rPr>
          <w:rFonts w:ascii="Arial" w:cs="Arial" w:eastAsia="Arial" w:hAnsi="Arial"/>
          <w:sz w:val="16"/>
          <w:szCs w:val="16"/>
          <w:color w:val="auto"/>
        </w:rPr>
      </w:pPr>
    </w:p>
    <w:p>
      <w:pPr>
        <w:ind w:left="400" w:right="800" w:firstLine="486"/>
        <w:spacing w:after="0" w:line="330" w:lineRule="auto"/>
        <w:tabs>
          <w:tab w:leader="none" w:pos="1062"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00" w:right="500" w:firstLine="486"/>
        <w:spacing w:after="0" w:line="267" w:lineRule="auto"/>
        <w:tabs>
          <w:tab w:leader="none" w:pos="10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9197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ind w:left="200"/>
              <w:spacing w:after="0"/>
              <w:rPr>
                <w:sz w:val="20"/>
                <w:szCs w:val="20"/>
                <w:color w:val="auto"/>
              </w:rPr>
            </w:pPr>
            <w:r>
              <w:rPr>
                <w:rFonts w:ascii="Arial" w:cs="Arial" w:eastAsia="Arial" w:hAnsi="Arial"/>
                <w:sz w:val="18"/>
                <w:szCs w:val="18"/>
                <w:color w:val="auto"/>
                <w:w w:val="88"/>
              </w:rPr>
              <w:t>May 7, 2021</w:t>
            </w:r>
          </w:p>
        </w:tc>
      </w:tr>
    </w:tbl>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Mark Bradley, certify that:</w:t>
      </w:r>
    </w:p>
    <w:p>
      <w:pPr>
        <w:spacing w:after="0" w:line="100" w:lineRule="exact"/>
        <w:rPr>
          <w:sz w:val="20"/>
          <w:szCs w:val="20"/>
          <w:color w:val="auto"/>
        </w:rPr>
      </w:pPr>
    </w:p>
    <w:p>
      <w:pPr>
        <w:ind w:left="580" w:hanging="174"/>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86" w:lineRule="exact"/>
        <w:rPr>
          <w:rFonts w:ascii="Arial" w:cs="Arial" w:eastAsia="Arial" w:hAnsi="Arial"/>
          <w:sz w:val="18"/>
          <w:szCs w:val="18"/>
          <w:color w:val="auto"/>
        </w:rPr>
      </w:pPr>
    </w:p>
    <w:p>
      <w:pPr>
        <w:ind w:left="400" w:firstLine="6"/>
        <w:spacing w:after="0" w:line="330" w:lineRule="auto"/>
        <w:tabs>
          <w:tab w:leader="none" w:pos="5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6"/>
          <w:szCs w:val="16"/>
          <w:color w:val="auto"/>
        </w:rPr>
      </w:pPr>
    </w:p>
    <w:p>
      <w:pPr>
        <w:ind w:left="400" w:right="280" w:firstLine="6"/>
        <w:spacing w:after="0" w:line="297" w:lineRule="auto"/>
        <w:tabs>
          <w:tab w:leader="none" w:pos="578"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400" w:right="80" w:firstLine="6"/>
        <w:spacing w:after="0" w:line="257" w:lineRule="auto"/>
        <w:tabs>
          <w:tab w:leader="none" w:pos="5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400" w:right="100" w:firstLine="486"/>
        <w:spacing w:after="0" w:line="257" w:lineRule="auto"/>
        <w:tabs>
          <w:tab w:leader="none" w:pos="1062"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400" w:right="460" w:firstLine="486"/>
        <w:spacing w:after="0" w:line="257" w:lineRule="auto"/>
        <w:tabs>
          <w:tab w:leader="none" w:pos="10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400" w:right="600" w:firstLine="486"/>
        <w:spacing w:after="0" w:line="330" w:lineRule="auto"/>
        <w:tabs>
          <w:tab w:leader="none" w:pos="1062"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00" w:right="80" w:firstLine="486"/>
        <w:spacing w:after="0" w:line="257" w:lineRule="auto"/>
        <w:tabs>
          <w:tab w:leader="none" w:pos="10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00" w:right="220" w:firstLine="6"/>
        <w:spacing w:after="0" w:line="330" w:lineRule="auto"/>
        <w:tabs>
          <w:tab w:leader="none" w:pos="5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 w:lineRule="exact"/>
        <w:rPr>
          <w:rFonts w:ascii="Arial" w:cs="Arial" w:eastAsia="Arial" w:hAnsi="Arial"/>
          <w:sz w:val="16"/>
          <w:szCs w:val="16"/>
          <w:color w:val="auto"/>
        </w:rPr>
      </w:pPr>
    </w:p>
    <w:p>
      <w:pPr>
        <w:ind w:left="400" w:right="800" w:firstLine="486"/>
        <w:spacing w:after="0" w:line="330" w:lineRule="auto"/>
        <w:tabs>
          <w:tab w:leader="none" w:pos="1062"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00" w:right="500" w:firstLine="486"/>
        <w:spacing w:after="0" w:line="267" w:lineRule="auto"/>
        <w:tabs>
          <w:tab w:leader="none" w:pos="10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9197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Bradley</w:t>
      </w: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ind w:left="200"/>
              <w:spacing w:after="0"/>
              <w:rPr>
                <w:sz w:val="20"/>
                <w:szCs w:val="20"/>
                <w:color w:val="auto"/>
              </w:rPr>
            </w:pPr>
            <w:r>
              <w:rPr>
                <w:rFonts w:ascii="Arial" w:cs="Arial" w:eastAsia="Arial" w:hAnsi="Arial"/>
                <w:sz w:val="18"/>
                <w:szCs w:val="18"/>
                <w:color w:val="auto"/>
                <w:w w:val="88"/>
              </w:rPr>
              <w:t>May 7, 2021</w:t>
            </w:r>
          </w:p>
        </w:tc>
      </w:tr>
    </w:tbl>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8" w:lineRule="exact"/>
        <w:rPr>
          <w:sz w:val="20"/>
          <w:szCs w:val="20"/>
          <w:color w:val="auto"/>
        </w:rPr>
      </w:pPr>
    </w:p>
    <w:p>
      <w:pPr>
        <w:ind w:left="400" w:right="460" w:firstLine="406"/>
        <w:spacing w:after="0" w:line="267" w:lineRule="auto"/>
        <w:tabs>
          <w:tab w:leader="none" w:pos="10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(the Report) fully complies with the requirements of Section 13(a) or 15(d) of the Securities Exchange Act of 1934 (15 U.S.C. 78m); and</w:t>
      </w:r>
    </w:p>
    <w:p>
      <w:pPr>
        <w:spacing w:after="0" w:line="45" w:lineRule="exact"/>
        <w:rPr>
          <w:rFonts w:ascii="Arial" w:cs="Arial" w:eastAsia="Arial" w:hAnsi="Arial"/>
          <w:sz w:val="18"/>
          <w:szCs w:val="18"/>
          <w:color w:val="auto"/>
        </w:rPr>
      </w:pPr>
    </w:p>
    <w:p>
      <w:pPr>
        <w:ind w:left="400" w:right="640" w:firstLine="406"/>
        <w:spacing w:after="0" w:line="267" w:lineRule="auto"/>
        <w:tabs>
          <w:tab w:leader="none" w:pos="10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45"/>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920" w:type="dxa"/>
            <w:vAlign w:val="bottom"/>
          </w:tcPr>
          <w:p>
            <w:pPr>
              <w:spacing w:after="0"/>
              <w:rPr>
                <w:sz w:val="21"/>
                <w:szCs w:val="2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2700" w:type="dxa"/>
            <w:vAlign w:val="bottom"/>
            <w:gridSpan w:val="2"/>
          </w:tcPr>
          <w:p>
            <w:pPr>
              <w:spacing w:after="0" w:line="176" w:lineRule="exact"/>
              <w:rPr>
                <w:sz w:val="20"/>
                <w:szCs w:val="20"/>
                <w:color w:val="auto"/>
              </w:rPr>
            </w:pPr>
            <w:r>
              <w:rPr>
                <w:rFonts w:ascii="Arial" w:cs="Arial" w:eastAsia="Arial" w:hAnsi="Arial"/>
                <w:sz w:val="18"/>
                <w:szCs w:val="18"/>
                <w:color w:val="auto"/>
                <w:w w:val="89"/>
              </w:rPr>
              <w:t>President and Chief Executive Officer</w:t>
            </w:r>
          </w:p>
        </w:tc>
      </w:tr>
      <w:tr>
        <w:trPr>
          <w:trHeight w:val="224"/>
        </w:trPr>
        <w:tc>
          <w:tcPr>
            <w:tcW w:w="9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166" w:lineRule="exact"/>
        <w:rPr>
          <w:sz w:val="20"/>
          <w:szCs w:val="20"/>
          <w:color w:val="auto"/>
        </w:rPr>
      </w:pPr>
    </w:p>
    <w:p>
      <w:pPr>
        <w:ind w:right="140" w:firstLine="440"/>
        <w:spacing w:after="0" w:line="26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5" w:lineRule="exact"/>
        <w:rPr>
          <w:sz w:val="20"/>
          <w:szCs w:val="20"/>
          <w:color w:val="auto"/>
        </w:rPr>
      </w:pPr>
    </w:p>
    <w:p>
      <w:pPr>
        <w:ind w:right="280" w:firstLine="440"/>
        <w:spacing w:after="0" w:line="267" w:lineRule="auto"/>
        <w:rPr>
          <w:sz w:val="20"/>
          <w:szCs w:val="20"/>
          <w:color w:val="auto"/>
        </w:rPr>
      </w:pPr>
      <w:r>
        <w:rPr>
          <w:rFonts w:ascii="Arial" w:cs="Arial" w:eastAsia="Arial" w:hAnsi="Arial"/>
          <w:sz w:val="18"/>
          <w:szCs w:val="18"/>
          <w:color w:val="auto"/>
        </w:rPr>
        <w:t>I, Mark Bradley, as Chief Financial Officer of Endo International plc (the Company), hereby certify, pursuant to 18 U.S.C. Section 1350, as adopted pursuant to Section 906 of the Sarbanes-Oxley Act of 2002, that:</w:t>
      </w:r>
    </w:p>
    <w:p>
      <w:pPr>
        <w:spacing w:after="0" w:line="59" w:lineRule="exact"/>
        <w:rPr>
          <w:sz w:val="20"/>
          <w:szCs w:val="20"/>
          <w:color w:val="auto"/>
        </w:rPr>
      </w:pPr>
    </w:p>
    <w:p>
      <w:pPr>
        <w:ind w:left="400" w:right="460" w:firstLine="406"/>
        <w:spacing w:after="0" w:line="267" w:lineRule="auto"/>
        <w:tabs>
          <w:tab w:leader="none" w:pos="10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(the Report) fully complies with the requirements of Section 13(a) or 15(d) of the Securities Exchange Act of 1934 (15 U.S.C. 78m); and</w:t>
      </w:r>
    </w:p>
    <w:p>
      <w:pPr>
        <w:spacing w:after="0" w:line="45" w:lineRule="exact"/>
        <w:rPr>
          <w:rFonts w:ascii="Arial" w:cs="Arial" w:eastAsia="Arial" w:hAnsi="Arial"/>
          <w:sz w:val="18"/>
          <w:szCs w:val="18"/>
          <w:color w:val="auto"/>
        </w:rPr>
      </w:pPr>
    </w:p>
    <w:p>
      <w:pPr>
        <w:ind w:left="400" w:right="640" w:firstLine="406"/>
        <w:spacing w:after="0" w:line="267" w:lineRule="auto"/>
        <w:tabs>
          <w:tab w:leader="none" w:pos="10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MARK BRADLEY</w:t>
            </w:r>
          </w:p>
        </w:tc>
        <w:tc>
          <w:tcPr>
            <w:tcW w:w="1860" w:type="dxa"/>
            <w:vAlign w:val="bottom"/>
          </w:tcPr>
          <w:p>
            <w:pPr>
              <w:spacing w:after="0"/>
              <w:rPr>
                <w:sz w:val="17"/>
                <w:szCs w:val="17"/>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gridSpan w:val="2"/>
          </w:tcPr>
          <w:p>
            <w:pPr>
              <w:spacing w:after="0"/>
              <w:rPr>
                <w:sz w:val="20"/>
                <w:szCs w:val="20"/>
                <w:color w:val="auto"/>
              </w:rPr>
            </w:pPr>
            <w:r>
              <w:rPr>
                <w:rFonts w:ascii="Arial" w:cs="Arial" w:eastAsia="Arial" w:hAnsi="Arial"/>
                <w:sz w:val="18"/>
                <w:szCs w:val="18"/>
                <w:color w:val="auto"/>
              </w:rPr>
              <w:t>Mark Bradley</w:t>
            </w: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520" w:type="dxa"/>
            <w:vAlign w:val="bottom"/>
            <w:gridSpan w:val="2"/>
          </w:tcPr>
          <w:p>
            <w:pPr>
              <w:spacing w:after="0" w:line="176" w:lineRule="exact"/>
              <w:rPr>
                <w:sz w:val="20"/>
                <w:szCs w:val="20"/>
                <w:color w:val="auto"/>
              </w:rPr>
            </w:pPr>
            <w:r>
              <w:rPr>
                <w:rFonts w:ascii="Arial" w:cs="Arial" w:eastAsia="Arial" w:hAnsi="Arial"/>
                <w:sz w:val="18"/>
                <w:szCs w:val="18"/>
                <w:color w:val="auto"/>
                <w:w w:val="90"/>
              </w:rPr>
              <w:t>Executive Vice President, Chief Financial Officer</w:t>
            </w:r>
          </w:p>
        </w:tc>
      </w:tr>
      <w:tr>
        <w:trPr>
          <w:trHeight w:val="224"/>
        </w:trPr>
        <w:tc>
          <w:tcPr>
            <w:tcW w:w="9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166" w:lineRule="exact"/>
        <w:rPr>
          <w:sz w:val="20"/>
          <w:szCs w:val="20"/>
          <w:color w:val="auto"/>
        </w:rPr>
      </w:pPr>
    </w:p>
    <w:p>
      <w:pPr>
        <w:ind w:right="140" w:firstLine="440"/>
        <w:spacing w:after="0" w:line="26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1)"/>
      <w:numFmt w:val="decimal"/>
      <w:start w:val="2"/>
    </w:lvl>
  </w:abstractNum>
  <w:abstractNum w:abstractNumId="11">
    <w:nsid w:val="542289EC"/>
    <w:multiLevelType w:val="hybridMultilevel"/>
    <w:lvl w:ilvl="0">
      <w:lvlJc w:val="left"/>
      <w:lvlText w:val="(%1)"/>
      <w:numFmt w:val="lowerRoman"/>
      <w:start w:val="2"/>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lowerLetter"/>
      <w:start w:val="4"/>
    </w:lvl>
  </w:abstractNum>
  <w:abstractNum w:abstractNumId="30">
    <w:nsid w:val="275AC794"/>
    <w:multiLevelType w:val="hybridMultilevel"/>
    <w:lvl w:ilvl="0">
      <w:lvlJc w:val="left"/>
      <w:lvlText w:val="%1."/>
      <w:numFmt w:val="decimal"/>
      <w:start w:val="5"/>
    </w:lvl>
  </w:abstractNum>
  <w:abstractNum w:abstractNumId="31">
    <w:nsid w:val="39386575"/>
    <w:multiLevelType w:val="hybridMultilevel"/>
    <w:lvl w:ilvl="0">
      <w:lvlJc w:val="left"/>
      <w:lvlText w:val="%1"/>
      <w:numFmt w:val="decimal"/>
      <w:start w:val="1"/>
    </w:lvl>
    <w:lvl w:ilvl="1">
      <w:lvlJc w:val="left"/>
      <w:lvlText w:val="(%2)"/>
      <w:numFmt w:val="lowerLetter"/>
      <w:start w:val="1"/>
    </w:lvl>
  </w:abstractNum>
  <w:abstractNum w:abstractNumId="32">
    <w:nsid w:val="1CF10FD8"/>
    <w:multiLevelType w:val="hybridMultilevel"/>
    <w:lvl w:ilvl="0">
      <w:lvlJc w:val="left"/>
      <w:lvlText w:val="%1."/>
      <w:numFmt w:val="decimal"/>
      <w:start w:val="6"/>
    </w:lvl>
    <w:lvl w:ilvl="1">
      <w:lvlJc w:val="left"/>
      <w:lvlText w:val="%2"/>
      <w:numFmt w:val="lowerLetter"/>
      <w:start w:val="1"/>
    </w:lvl>
  </w:abstractNum>
  <w:abstractNum w:abstractNumId="33">
    <w:nsid w:val="180115BE"/>
    <w:multiLevelType w:val="hybridMultilevel"/>
    <w:lvl w:ilvl="0">
      <w:lvlJc w:val="left"/>
      <w:lvlText w:val="%1."/>
      <w:numFmt w:val="decimal"/>
      <w:start w:val="7"/>
    </w:lvl>
  </w:abstractNum>
  <w:abstractNum w:abstractNumId="34">
    <w:nsid w:val="235BA861"/>
    <w:multiLevelType w:val="hybridMultilevel"/>
    <w:lvl w:ilvl="0">
      <w:lvlJc w:val="left"/>
      <w:lvlText w:val="%1."/>
      <w:numFmt w:val="decimal"/>
      <w:start w:val="12"/>
    </w:lvl>
  </w:abstractNum>
  <w:abstractNum w:abstractNumId="35">
    <w:nsid w:val="47398C89"/>
    <w:multiLevelType w:val="hybridMultilevel"/>
    <w:lvl w:ilvl="0">
      <w:lvlJc w:val="left"/>
      <w:lvlText w:val="%1."/>
      <w:numFmt w:val="decimal"/>
      <w:start w:val="19"/>
    </w:lvl>
  </w:abstractNum>
  <w:abstractNum w:abstractNumId="36">
    <w:nsid w:val="354FE9F9"/>
    <w:multiLevelType w:val="hybridMultilevel"/>
    <w:lvl w:ilvl="0">
      <w:lvlJc w:val="left"/>
      <w:lvlText w:val="%1."/>
      <w:numFmt w:val="decimal"/>
      <w:start w:val="20"/>
    </w:lvl>
  </w:abstractNum>
  <w:abstractNum w:abstractNumId="37">
    <w:nsid w:val="15B5AF5C"/>
    <w:multiLevelType w:val="hybridMultilevel"/>
    <w:lvl w:ilvl="0">
      <w:lvlJc w:val="left"/>
      <w:lvlText w:val="%1."/>
      <w:numFmt w:val="decimal"/>
      <w:start w:val="25"/>
    </w:lvl>
  </w:abstractNum>
  <w:abstractNum w:abstractNumId="38">
    <w:nsid w:val="741226BB"/>
    <w:multiLevelType w:val="hybridMultilevel"/>
    <w:lvl w:ilvl="0">
      <w:lvlJc w:val="left"/>
      <w:lvlText w:val="(%1)"/>
      <w:numFmt w:val="lowerLetter"/>
      <w:start w:val="7"/>
    </w:lvl>
  </w:abstractNum>
  <w:abstractNum w:abstractNumId="39">
    <w:nsid w:val="D34B6A8"/>
    <w:multiLevelType w:val="hybridMultilevel"/>
    <w:lvl w:ilvl="0">
      <w:lvlJc w:val="left"/>
      <w:lvlText w:val="%1."/>
      <w:numFmt w:val="decimal"/>
      <w:start w:val="10"/>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decimal"/>
      <w:start w:val="1"/>
    </w:lvl>
    <w:lvl w:ilvl="1">
      <w:lvlJc w:val="left"/>
      <w:lvlText w:val="(%2)"/>
      <w:numFmt w:val="lowerLetter"/>
      <w:start w:val="1"/>
    </w:lvl>
  </w:abstractNum>
  <w:abstractNum w:abstractNumId="42">
    <w:nsid w:val="6157409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3">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4">
    <w:nsid w:val="77AE35E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5">
    <w:nsid w:val="579BE4F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6">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5FF87E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2F305DE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
    <w:nsid w:val="25A70BF7"/>
    <w:multiLevelType w:val="hybridMultilevel"/>
    <w:lvl w:ilvl="0">
      <w:lvlJc w:val="left"/>
      <w:lvlText w:val="%1."/>
      <w:numFmt w:val="decimal"/>
      <w:start w:val="7"/>
    </w:lvl>
  </w:abstractNum>
  <w:abstractNum w:abstractNumId="50">
    <w:nsid w:val="1DBABF00"/>
    <w:multiLevelType w:val="hybridMultilevel"/>
    <w:lvl w:ilvl="0">
      <w:lvlJc w:val="left"/>
      <w:lvlText w:val="%1."/>
      <w:numFmt w:val="decimal"/>
      <w:start w:val="12"/>
    </w:lvl>
  </w:abstractNum>
  <w:abstractNum w:abstractNumId="51">
    <w:nsid w:val="4AD084E9"/>
    <w:multiLevelType w:val="hybridMultilevel"/>
    <w:lvl w:ilvl="0">
      <w:lvlJc w:val="left"/>
      <w:lvlText w:val="%1."/>
      <w:numFmt w:val="decimal"/>
      <w:start w:val="21"/>
    </w:lvl>
  </w:abstractNum>
  <w:abstractNum w:abstractNumId="52">
    <w:nsid w:val="1F48EAA1"/>
    <w:multiLevelType w:val="hybridMultilevel"/>
    <w:lvl w:ilvl="0">
      <w:lvlJc w:val="left"/>
      <w:lvlText w:val="%1."/>
      <w:numFmt w:val="decimal"/>
      <w:start w:val="25"/>
    </w:lvl>
  </w:abstractNum>
  <w:abstractNum w:abstractNumId="53">
    <w:nsid w:val="1381823A"/>
    <w:multiLevelType w:val="hybridMultilevel"/>
    <w:lvl w:ilvl="0">
      <w:lvlJc w:val="left"/>
      <w:lvlText w:val="(%1)"/>
      <w:numFmt w:val="lowerLetter"/>
      <w:start w:val="7"/>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upperLetter"/>
      <w:start w:val="3"/>
    </w:lvl>
  </w:abstractNum>
  <w:abstractNum w:abstractNumId="56">
    <w:nsid w:val="6590700B"/>
    <w:multiLevelType w:val="hybridMultilevel"/>
    <w:lvl w:ilvl="0">
      <w:lvlJc w:val="left"/>
      <w:lvlText w:val="(%1)"/>
      <w:numFmt w:val="lowerLetter"/>
      <w:start w:val="4"/>
    </w:lvl>
  </w:abstractNum>
  <w:abstractNum w:abstractNumId="57">
    <w:nsid w:val="15014ACB"/>
    <w:multiLevelType w:val="hybridMultilevel"/>
    <w:lvl w:ilvl="0">
      <w:lvlJc w:val="left"/>
      <w:lvlText w:val="(%1)"/>
      <w:numFmt w:val="upperLetter"/>
      <w:start w:val="9"/>
    </w:lvl>
  </w:abstractNum>
  <w:abstractNum w:abstractNumId="58">
    <w:nsid w:val="5F5E7FD0"/>
    <w:multiLevelType w:val="hybridMultilevel"/>
    <w:lvl w:ilvl="0">
      <w:lvlJc w:val="left"/>
      <w:lvlText w:val="(%1)"/>
      <w:numFmt w:val="upperLetter"/>
      <w:start w:val="35"/>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upperLetter"/>
      <w:start w:val="9"/>
    </w:lvl>
  </w:abstractNum>
  <w:abstractNum w:abstractNumId="61">
    <w:nsid w:val="6B94764"/>
    <w:multiLevelType w:val="hybridMultilevel"/>
    <w:lvl w:ilvl="0">
      <w:lvlJc w:val="left"/>
      <w:lvlText w:val="(%1)"/>
      <w:numFmt w:val="upperLetter"/>
      <w:start w:val="35"/>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decimal"/>
      <w:start w:val="5"/>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2"/>
    </w:lvl>
  </w:abstractNum>
  <w:abstractNum w:abstractNumId="68">
    <w:nsid w:val="7BD3EE7B"/>
    <w:multiLevelType w:val="hybridMultilevel"/>
    <w:lvl w:ilvl="0">
      <w:lvlJc w:val="left"/>
      <w:lvlText w:val="%1."/>
      <w:numFmt w:val="decimal"/>
      <w:start w:val="6"/>
    </w:lvl>
  </w:abstractNum>
  <w:abstractNum w:abstractNumId="69">
    <w:nsid w:val="51D9C564"/>
    <w:multiLevelType w:val="hybridMultilevel"/>
    <w:lvl w:ilvl="0">
      <w:lvlJc w:val="left"/>
      <w:lvlText w:val="%1."/>
      <w:numFmt w:val="decimal"/>
      <w:start w:val="11"/>
    </w:lvl>
  </w:abstractNum>
  <w:abstractNum w:abstractNumId="70">
    <w:nsid w:val="613EFDC5"/>
    <w:multiLevelType w:val="hybridMultilevel"/>
    <w:lvl w:ilvl="0">
      <w:lvlJc w:val="left"/>
      <w:lvlText w:val="%1."/>
      <w:numFmt w:val="decimal"/>
      <w:start w:val="19"/>
    </w:lvl>
  </w:abstractNum>
  <w:abstractNum w:abstractNumId="71">
    <w:nsid w:val="BF72B14"/>
    <w:multiLevelType w:val="hybridMultilevel"/>
    <w:lvl w:ilvl="0">
      <w:lvlJc w:val="left"/>
      <w:lvlText w:val="%1."/>
      <w:numFmt w:val="decimal"/>
      <w:start w:val="24"/>
    </w:lvl>
  </w:abstractNum>
  <w:abstractNum w:abstractNumId="72">
    <w:nsid w:val="11447B73"/>
    <w:multiLevelType w:val="hybridMultilevel"/>
    <w:lvl w:ilvl="0">
      <w:lvlJc w:val="left"/>
      <w:lvlText w:val="(%1)"/>
      <w:numFmt w:val="lowerLetter"/>
      <w:start w:val="7"/>
    </w:lvl>
  </w:abstractNum>
  <w:abstractNum w:abstractNumId="73">
    <w:nsid w:val="42963E5A"/>
    <w:multiLevelType w:val="hybridMultilevel"/>
    <w:lvl w:ilvl="0">
      <w:lvlJc w:val="left"/>
      <w:lvlText w:val="%1."/>
      <w:numFmt w:val="decimal"/>
      <w:start w:val="9"/>
    </w:lvl>
  </w:abstractNum>
  <w:abstractNum w:abstractNumId="74">
    <w:nsid w:val="A0382C5"/>
    <w:multiLevelType w:val="hybridMultilevel"/>
    <w:lvl w:ilvl="0">
      <w:lvlJc w:val="left"/>
      <w:lvlText w:val="(%1)"/>
      <w:numFmt w:val="lowerLetter"/>
      <w:start w:val="7"/>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Roman"/>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jpeg"/><Relationship Id="rId94" Type="http://schemas.openxmlformats.org/officeDocument/2006/relationships/image" Target="media/image84.jpe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75" Type="http://schemas.openxmlformats.org/officeDocument/2006/relationships/hyperlink" Target="http://www.sec.gov/Archives/edgar/data/1593034/000119312521094652/d120772dex41.htm" TargetMode="External"/><Relationship Id="rId76" Type="http://schemas.openxmlformats.org/officeDocument/2006/relationships/hyperlink" Target="http://www.sec.gov/Archives/edgar/data/1593034/000119312521094652/d120772dex101.htm" TargetMode="External"/><Relationship Id="rId77" Type="http://schemas.openxmlformats.org/officeDocument/2006/relationships/hyperlink" Target="http://www.sec.gov/Archives/edgar/data/1593034/000159303421000056/a20210429ex101apostolemp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2021-05-07T09:26:00Z</dcterms:created>
  <dcterms:modified xsi:type="dcterms:W3CDTF">2021-05-07T09:26:00Z</dcterms:modified>
</cp:coreProperties>
</file>