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Endo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G30401106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G30401106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Oaktree Opportunities Fund Xb Holdings (Delaware),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1,211,199.00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1,211,199.00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1,211,199.00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980"/>
          </w:cols>
          <w:pgMar w:left="320" w:top="111" w:right="43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reported percentage is calculated based on 76,400,000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October 29, 2024, as reported on the Issuer's Form 10-Q filed on November 5, 2024.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G30401106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Oaktree Opportunities Fund Xi Holdings (Delaware),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140"/>
          </w:cols>
          <w:pgMar w:left="320" w:top="111" w:right="439" w:bottom="0" w:gutter="0" w:footer="0" w:header="0"/>
          <w:type w:val="continuous"/>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4,591,306.00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4,591,306.00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4,591,306.00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ectPr>
          <w:pgSz w:w="11900" w:h="16838" w:orient="portrait"/>
          <w:cols w:equalWidth="0" w:num="2">
            <w:col w:w="1100" w:space="60"/>
            <w:col w:w="9980"/>
          </w:cols>
          <w:pgMar w:left="320" w:top="111" w:right="43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270"/>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reported percentage is calculated based on 76,400,000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October 29, 2024, as reported on the Issuer's Form 10-Q filed on November 5, 2024.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G30401106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Oaktree Opportunities Fund Xii Holdings (Delaware),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40"/>
          </w:cols>
          <w:pgMar w:left="320" w:top="369" w:right="4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321,941.00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321,941.00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321,941.00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980"/>
          </w:cols>
          <w:pgMar w:left="320" w:top="369" w:right="43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reported percentage is calculated based on 76,400,000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October 29, 2024, as reported on the Issuer's Form 10-Q filed on November 5, 2024.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40"/>
          </w:cols>
          <w:pgMar w:left="320" w:top="369" w:right="439" w:bottom="0" w:gutter="0" w:footer="0" w:header="0"/>
          <w:type w:val="continuous"/>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G30401106</w:t>
      </w:r>
    </w:p>
    <w:p>
      <w:pPr>
        <w:sectPr>
          <w:pgSz w:w="11900" w:h="16838" w:orient="portrait"/>
          <w:cols w:equalWidth="0" w:num="1">
            <w:col w:w="11140"/>
          </w:cols>
          <w:pgMar w:left="320" w:top="369" w:right="439" w:bottom="0" w:gutter="0" w:footer="0" w:header="0"/>
          <w:type w:val="continuous"/>
        </w:sectPr>
      </w:pPr>
    </w:p>
    <w:bookmarkStart w:id="3" w:name="page4"/>
    <w:bookmarkEnd w:id="3"/>
    <w:p>
      <w:pPr>
        <w:spacing w:after="0" w:line="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Oaktree Capital Holdings,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90" w:orient="portrait"/>
          <w:cols w:equalWidth="0" w:num="1">
            <w:col w:w="11140"/>
          </w:cols>
          <w:pgMar w:left="320" w:top="639" w:right="43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6,124,446.00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6,124,446.00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6,124,446.00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90" w:orient="portrait"/>
          <w:cols w:equalWidth="0" w:num="2">
            <w:col w:w="1100" w:space="60"/>
            <w:col w:w="9980"/>
          </w:cols>
          <w:pgMar w:left="320" w:top="639" w:right="43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reported percentage is calculated based on 76,400,000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October 29, 2024, as reported on the Issuer's Form 10-Q filed on November 5, 2024.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G30401106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Oaktree Capital Group Holdings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90" w:orient="portrait"/>
          <w:cols w:equalWidth="0" w:num="1">
            <w:col w:w="11140"/>
          </w:cols>
          <w:pgMar w:left="320" w:top="639" w:right="439" w:bottom="0" w:gutter="0" w:footer="0" w:header="0"/>
          <w:type w:val="continuous"/>
        </w:sectPr>
      </w:pPr>
    </w:p>
    <w:bookmarkStart w:id="4" w:name="page5"/>
    <w:bookmarkEnd w:id="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6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6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68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6,124,446.00</w:t>
            </w:r>
          </w:p>
        </w:tc>
        <w:tc>
          <w:tcPr>
            <w:tcW w:w="0" w:type="dxa"/>
            <w:vAlign w:val="bottom"/>
          </w:tcPr>
          <w:p>
            <w:pPr>
              <w:spacing w:after="0"/>
              <w:rPr>
                <w:sz w:val="1"/>
                <w:szCs w:val="1"/>
                <w:color w:val="auto"/>
              </w:rPr>
            </w:pPr>
          </w:p>
        </w:tc>
      </w:tr>
      <w:tr>
        <w:trPr>
          <w:trHeight w:val="284"/>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6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6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6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6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86"/>
        </w:trPr>
        <w:tc>
          <w:tcPr>
            <w:tcW w:w="1020" w:type="dxa"/>
            <w:vAlign w:val="bottom"/>
          </w:tcPr>
          <w:p>
            <w:pPr>
              <w:spacing w:after="0"/>
              <w:rPr>
                <w:sz w:val="24"/>
                <w:szCs w:val="24"/>
                <w:color w:val="auto"/>
              </w:rPr>
            </w:pPr>
          </w:p>
        </w:tc>
        <w:tc>
          <w:tcPr>
            <w:tcW w:w="7680" w:type="dxa"/>
            <w:vAlign w:val="bottom"/>
          </w:tcPr>
          <w:p>
            <w:pPr>
              <w:ind w:left="140"/>
              <w:spacing w:after="0" w:line="485" w:lineRule="exact"/>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6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6,124,446.00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9</w:t>
            </w:r>
          </w:p>
        </w:tc>
        <w:tc>
          <w:tcPr>
            <w:tcW w:w="7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6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6,124,446.00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10</w:t>
            </w:r>
          </w:p>
        </w:tc>
        <w:tc>
          <w:tcPr>
            <w:tcW w:w="76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box if the aggregate amount in row (9)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6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8.02 %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6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reported percentage is calculated based on 76,400,000 shares of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October 29, 2024, as reported on the Issuer's Form 10-Q filed on November 5, 2024.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Endo International plc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First Floor, Minerva House, Simmonscourt Road, Ballsbridge, Dublin 4, Ireland, 00000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This statement is filed by the entities and persons listed below, all of whom together are referred to herein as the</w:t>
      </w:r>
    </w:p>
    <w:p>
      <w:pPr>
        <w:spacing w:after="0" w:line="14" w:lineRule="exact"/>
        <w:rPr>
          <w:sz w:val="20"/>
          <w:szCs w:val="20"/>
          <w:color w:val="auto"/>
        </w:rPr>
      </w:pPr>
    </w:p>
    <w:p>
      <w:pPr>
        <w:ind w:left="960" w:right="40" w:hanging="912"/>
        <w:spacing w:after="0" w:line="234"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"Reporting Persons": (i) Oaktree Opportunities Fund Xb Holdings (Delaware), L.P. ("Fund Xb"); (ii) Oaktree Opportunities Fund Xi Holdings (Delaware), L.P. ("Fund Xi"); (iii) Oaktree Opportunities Fund Xii Holdings (Delaware), L.P. ("Fund Xii") (iv) Oaktree Capital Holdings, LLC ("OCH"); and (v) Oaktree Capital Group Holdings GP, LLC ("OCGH GP").</w:t>
      </w:r>
    </w:p>
    <w:p>
      <w:pPr>
        <w:spacing w:after="0" w:line="1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333 S. Grand Avenue, 28th Floor, Los Angeles, CA 90071</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United States of America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G30401106</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1140"/>
          </w:cols>
          <w:pgMar w:left="320" w:top="102" w:right="439" w:bottom="0" w:gutter="0" w:footer="0" w:header="0"/>
        </w:sectPr>
      </w:pPr>
    </w:p>
    <w:bookmarkStart w:id="5" w:name="page6"/>
    <w:bookmarkEnd w:id="5"/>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80"/>
        <w:spacing w:after="0" w:line="253" w:lineRule="auto"/>
        <w:rPr>
          <w:sz w:val="20"/>
          <w:szCs w:val="20"/>
          <w:color w:val="auto"/>
        </w:rPr>
      </w:pPr>
      <w:r>
        <w:rPr>
          <w:rFonts w:ascii="Times New Roman" w:cs="Times New Roman" w:eastAsia="Times New Roman" w:hAnsi="Times New Roman"/>
          <w:sz w:val="21"/>
          <w:szCs w:val="21"/>
          <w:color w:val="auto"/>
        </w:rPr>
        <w:t>See responses to Item 9 on each cover page. Fund Xb directly holds 1,211,199 shares of Common Stock, Fund Xi directly holds 4,591,306 shares of Common Stock and Fund Xii directly holds 321,941 shares of Common Stock. In</w:t>
      </w:r>
    </w:p>
    <w:p>
      <w:pPr>
        <w:spacing w:after="0" w:line="1" w:lineRule="exact"/>
        <w:rPr>
          <w:sz w:val="20"/>
          <w:szCs w:val="20"/>
          <w:color w:val="auto"/>
        </w:rPr>
      </w:pPr>
    </w:p>
    <w:p>
      <w:pPr>
        <w:ind w:left="920" w:right="60" w:hanging="912"/>
        <w:spacing w:after="0" w:line="201" w:lineRule="auto"/>
        <w:tabs>
          <w:tab w:leader="none" w:pos="92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aggregate, the Reporting Persons beneficially own, as of the date hereof, 6,124,446 shares of Common Stock, representing approximately 8.02% of the Common Stock outstanding as of the date hereof. Pursuant to Rule 13d-4 of the Act, the Reporting Persons declare that filing this statement on Schedule 13G (this "Statement") shall not be construed as an admission that any of the Reporting Persons are, for the purposes of Section 13(d) and/or Section 13(g) of the Act, the beneficial owner of any securities covered by this Statement, and such beneficial ownership is expressly disclaimed by each Reporting Person.</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responses to Item 11 on each cover page. %</w:t>
      </w:r>
    </w:p>
    <w:p>
      <w:pPr>
        <w:spacing w:after="0" w:line="20"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400" w:firstLine="6"/>
        <w:spacing w:after="0" w:line="509" w:lineRule="auto"/>
        <w:tabs>
          <w:tab w:leader="none" w:pos="258"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See responses to Item 5 on each cover page.</w:t>
      </w:r>
    </w:p>
    <w:p>
      <w:pPr>
        <w:spacing w:after="0" w:line="1" w:lineRule="exact"/>
        <w:rPr>
          <w:rFonts w:ascii="Times New Roman" w:cs="Times New Roman" w:eastAsia="Times New Roman" w:hAnsi="Times New Roman"/>
          <w:sz w:val="21"/>
          <w:szCs w:val="21"/>
          <w:color w:val="auto"/>
        </w:rPr>
      </w:pPr>
    </w:p>
    <w:p>
      <w:pPr>
        <w:ind w:right="6240" w:firstLine="6"/>
        <w:spacing w:after="0" w:line="509" w:lineRule="auto"/>
        <w:tabs>
          <w:tab w:leader="none" w:pos="318"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responses to Item 6 on each cover page.</w:t>
      </w:r>
    </w:p>
    <w:p>
      <w:pPr>
        <w:spacing w:after="0" w:line="1" w:lineRule="exact"/>
        <w:rPr>
          <w:rFonts w:ascii="Times New Roman" w:cs="Times New Roman" w:eastAsia="Times New Roman" w:hAnsi="Times New Roman"/>
          <w:sz w:val="21"/>
          <w:szCs w:val="21"/>
          <w:color w:val="auto"/>
        </w:rPr>
      </w:pPr>
    </w:p>
    <w:p>
      <w:pPr>
        <w:ind w:right="5320" w:firstLine="6"/>
        <w:spacing w:after="0" w:line="486" w:lineRule="auto"/>
        <w:tabs>
          <w:tab w:leader="none" w:pos="37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responses to Item 7 on each cover page.</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responses to Item 8 on each cover page.</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26" w:right="399" w:bottom="0" w:gutter="0" w:footer="0" w:header="0"/>
          <w:type w:val="continuous"/>
        </w:sectPr>
      </w:pPr>
    </w:p>
    <w:bookmarkStart w:id="6" w:name="page7"/>
    <w:bookmarkEnd w:id="6"/>
    <w:p>
      <w:pPr>
        <w:ind w:left="5240"/>
        <w:spacing w:after="0"/>
        <w:rPr>
          <w:sz w:val="20"/>
          <w:szCs w:val="20"/>
          <w:color w:val="auto"/>
        </w:rPr>
      </w:pPr>
      <w:r>
        <w:rPr>
          <w:rFonts w:ascii="Times New Roman" w:cs="Times New Roman" w:eastAsia="Times New Roman" w:hAnsi="Times New Roman"/>
          <w:sz w:val="21"/>
          <w:szCs w:val="21"/>
          <w:color w:val="auto"/>
        </w:rPr>
        <w:t>Oaktree Opportunities Fund Xb Holdings (Delaware), L.P.</w:t>
      </w:r>
    </w:p>
    <w:p>
      <w:pPr>
        <w:spacing w:after="0" w:line="164"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Henry Orren</w:t>
      </w:r>
    </w:p>
    <w:p>
      <w:pPr>
        <w:spacing w:after="0" w:line="4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Name/Title: Henry Orren / Senior Vice President</w:t>
      </w:r>
    </w:p>
    <w:p>
      <w:pPr>
        <w:spacing w:after="0" w:line="44"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1"/>
          <w:szCs w:val="21"/>
          <w:color w:val="auto"/>
        </w:rPr>
        <w:t>Oaktree Opportunities Fund Xi Holdings (Delaware), L.P.</w:t>
      </w:r>
    </w:p>
    <w:p>
      <w:pPr>
        <w:spacing w:after="0" w:line="164"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Henry Orren</w:t>
      </w:r>
    </w:p>
    <w:p>
      <w:pPr>
        <w:spacing w:after="0" w:line="4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Name/Title: Henry Orren / Senior Vice President</w:t>
      </w:r>
    </w:p>
    <w:p>
      <w:pPr>
        <w:spacing w:after="0" w:line="44"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Oaktree Opportunities Fund Xii Holdings (Delaware), L.P.</w:t>
      </w:r>
    </w:p>
    <w:p>
      <w:pPr>
        <w:spacing w:after="0" w:line="152"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Henry Orren</w:t>
      </w:r>
    </w:p>
    <w:p>
      <w:pPr>
        <w:spacing w:after="0" w:line="4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Name/Title: Henry Orren / Senior Vice President</w:t>
      </w:r>
    </w:p>
    <w:p>
      <w:pPr>
        <w:spacing w:after="0" w:line="44"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Oaktree Capital Holdings, LLC</w:t>
      </w:r>
    </w:p>
    <w:p>
      <w:pPr>
        <w:spacing w:after="0" w:line="152"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Henry Orren</w:t>
      </w:r>
    </w:p>
    <w:p>
      <w:pPr>
        <w:spacing w:after="0" w:line="4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Name/Title: Henry Orren / Senior Vice President</w:t>
      </w:r>
    </w:p>
    <w:p>
      <w:pPr>
        <w:spacing w:after="0" w:line="44"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Oaktree Capital Group Holdings GP, LLC</w:t>
      </w:r>
    </w:p>
    <w:p>
      <w:pPr>
        <w:spacing w:after="0" w:line="152"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Henry Orren</w:t>
      </w:r>
    </w:p>
    <w:p>
      <w:pPr>
        <w:spacing w:after="0" w:line="4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Name/Title: Henry Orren / Senior Vice President</w:t>
      </w:r>
    </w:p>
    <w:p>
      <w:pPr>
        <w:spacing w:after="0" w:line="44"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0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24.1 Joint Filing Agreement, by and among the Reporting Persons, dated as of February 14, 2025.</w:t>
      </w:r>
    </w:p>
    <w:p>
      <w:pPr>
        <w:sectPr>
          <w:pgSz w:w="11900" w:h="16838" w:orient="portrait"/>
          <w:cols w:equalWidth="0" w:num="1">
            <w:col w:w="10320"/>
          </w:cols>
          <w:pgMar w:left="360" w:top="193" w:right="121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RULE 13D-1(K)</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 is filed on behalf of each of the undersigned with respect to the Common Stock, par value $0.01 par value per share, of Endo International plc, and that all subsequent amendments to this statement on Schedule 13G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such person contained herein or therein, but shall not be responsible for the completeness and accuracy of the information concerning the others, except to the extent that such person knows or has reason to believe that such information is inaccurate.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2025</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OAKTREE OPPORTUNITIES FUND Xb HOLDINGS (DELAWARE),</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L.P.</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Oaktree Fund GP,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Oaktree Fund GP I, L.P.</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Henry Orren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OAKTREE OPPORTUNITIES FUND Xi HOLDINGS (DELAWARE),</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L.P.</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Oaktree Fund GP,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Oaktree Fund GP I, L.P.</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Henry Orren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OAKTREE OPPORTUNITIES FUND Xii HOLDINGS (DELAWARE),</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L.P.</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Oaktree Fund GP,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Oaktree Fund GP I, L.P.</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Henry Orren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OAKTREE CAPITAL HOLDINGS,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Henry Orren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OAKTREE CAPITAL GROUP HOLDINGS GP,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Henry Orren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5"/>
    </w:lvl>
  </w:abstractNum>
  <w:abstractNum w:abstractNumId="8">
    <w:nsid w:val="216231B"/>
    <w:multiLevelType w:val="hybridMultilevel"/>
    <w:lvl w:ilvl="0">
      <w:lvlJc w:val="left"/>
      <w:lvlText w:val="(%1)"/>
      <w:numFmt w:val="lowerLetter"/>
      <w:start w:val="1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3"/>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2025-02-14T15:08:09Z</dcterms:created>
  <dcterms:modified xsi:type="dcterms:W3CDTF">2025-02-14T15:08:09Z</dcterms:modified>
</cp:coreProperties>
</file>