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4" w:lineRule="exact"/>
        <w:rPr>
          <w:sz w:val="24"/>
          <w:szCs w:val="24"/>
          <w:color w:val="auto"/>
        </w:rPr>
      </w:pPr>
    </w:p>
    <w:p>
      <w:pPr>
        <w:ind w:left="4406"/>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4"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1" w:lineRule="exact"/>
        <w:rPr>
          <w:sz w:val="24"/>
          <w:szCs w:val="24"/>
          <w:color w:val="auto"/>
        </w:rPr>
      </w:pPr>
    </w:p>
    <w:p>
      <w:pPr>
        <w:ind w:left="4406"/>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4"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2"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6, 2024</w:t>
      </w:r>
    </w:p>
    <w:p>
      <w:pPr>
        <w:spacing w:after="0" w:line="4" w:lineRule="exact"/>
        <w:rPr>
          <w:sz w:val="24"/>
          <w:szCs w:val="24"/>
          <w:color w:val="auto"/>
        </w:rPr>
      </w:pPr>
    </w:p>
    <w:p>
      <w:pPr>
        <w:ind w:left="4406"/>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5"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38"/>
          <w:szCs w:val="38"/>
          <w:b w:val="1"/>
          <w:bCs w:val="1"/>
          <w:color w:val="auto"/>
        </w:rPr>
        <w:t>Endo International plc</w:t>
      </w:r>
    </w:p>
    <w:p>
      <w:pPr>
        <w:spacing w:after="0" w:line="12"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4" w:lineRule="exact"/>
        <w:rPr>
          <w:sz w:val="24"/>
          <w:szCs w:val="24"/>
          <w:color w:val="auto"/>
        </w:rPr>
      </w:pPr>
    </w:p>
    <w:p>
      <w:pPr>
        <w:ind w:left="4406"/>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21" w:lineRule="exact"/>
        <w:rPr>
          <w:sz w:val="24"/>
          <w:szCs w:val="24"/>
          <w:color w:val="auto"/>
        </w:rPr>
      </w:pPr>
    </w:p>
    <w:tbl>
      <w:tblPr>
        <w:tblLayout w:type="fixed"/>
        <w:tblInd w:w="1246" w:type="dxa"/>
        <w:tblCellMar>
          <w:top w:w="0" w:type="dxa"/>
          <w:left w:w="0" w:type="dxa"/>
          <w:bottom w:w="0" w:type="dxa"/>
          <w:right w:w="0" w:type="dxa"/>
        </w:tblCellMar>
      </w:tblPr>
      <w:tr>
        <w:trPr>
          <w:trHeight w:val="208"/>
        </w:trPr>
        <w:tc>
          <w:tcPr>
            <w:tcW w:w="3660" w:type="dxa"/>
            <w:vAlign w:val="bottom"/>
          </w:tcPr>
          <w:p>
            <w:pPr>
              <w:jc w:val="center"/>
              <w:ind w:right="2333"/>
              <w:spacing w:after="0"/>
              <w:rPr>
                <w:sz w:val="20"/>
                <w:szCs w:val="20"/>
                <w:color w:val="auto"/>
              </w:rPr>
            </w:pPr>
            <w:r>
              <w:rPr>
                <w:rFonts w:ascii="Times New Roman" w:cs="Times New Roman" w:eastAsia="Times New Roman" w:hAnsi="Times New Roman"/>
                <w:sz w:val="16"/>
                <w:szCs w:val="16"/>
                <w:b w:val="1"/>
                <w:bCs w:val="1"/>
                <w:color w:val="auto"/>
                <w:w w:val="98"/>
              </w:rPr>
              <w:t>Ireland</w:t>
            </w:r>
          </w:p>
        </w:tc>
        <w:tc>
          <w:tcPr>
            <w:tcW w:w="2060" w:type="dxa"/>
            <w:vAlign w:val="bottom"/>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001-36326</w:t>
            </w:r>
          </w:p>
        </w:tc>
        <w:tc>
          <w:tcPr>
            <w:tcW w:w="2840" w:type="dxa"/>
            <w:vAlign w:val="bottom"/>
          </w:tcPr>
          <w:p>
            <w:pPr>
              <w:jc w:val="center"/>
              <w:ind w:left="1936"/>
              <w:spacing w:after="0"/>
              <w:rPr>
                <w:sz w:val="20"/>
                <w:szCs w:val="20"/>
                <w:color w:val="auto"/>
              </w:rPr>
            </w:pPr>
            <w:r>
              <w:rPr>
                <w:rFonts w:ascii="Times New Roman" w:cs="Times New Roman" w:eastAsia="Times New Roman" w:hAnsi="Times New Roman"/>
                <w:sz w:val="16"/>
                <w:szCs w:val="16"/>
                <w:b w:val="1"/>
                <w:bCs w:val="1"/>
                <w:color w:val="auto"/>
                <w:w w:val="98"/>
              </w:rPr>
              <w:t>68-0683755</w:t>
            </w:r>
          </w:p>
        </w:tc>
      </w:tr>
      <w:tr>
        <w:trPr>
          <w:trHeight w:val="176"/>
        </w:trPr>
        <w:tc>
          <w:tcPr>
            <w:tcW w:w="3660" w:type="dxa"/>
            <w:vAlign w:val="bottom"/>
          </w:tcPr>
          <w:p>
            <w:pPr>
              <w:jc w:val="center"/>
              <w:ind w:right="2333"/>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2060" w:type="dxa"/>
            <w:vAlign w:val="bottom"/>
          </w:tcPr>
          <w:p>
            <w:pPr>
              <w:jc w:val="center"/>
              <w:ind w:right="533"/>
              <w:spacing w:after="0"/>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2840" w:type="dxa"/>
            <w:vAlign w:val="bottom"/>
          </w:tcPr>
          <w:p>
            <w:pPr>
              <w:jc w:val="center"/>
              <w:ind w:left="1936"/>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4"/>
        </w:trPr>
        <w:tc>
          <w:tcPr>
            <w:tcW w:w="3660" w:type="dxa"/>
            <w:vAlign w:val="bottom"/>
          </w:tcPr>
          <w:p>
            <w:pPr>
              <w:jc w:val="center"/>
              <w:ind w:right="2313"/>
              <w:spacing w:after="0"/>
              <w:rPr>
                <w:sz w:val="20"/>
                <w:szCs w:val="20"/>
                <w:color w:val="auto"/>
              </w:rPr>
            </w:pPr>
            <w:r>
              <w:rPr>
                <w:rFonts w:ascii="Times New Roman" w:cs="Times New Roman" w:eastAsia="Times New Roman" w:hAnsi="Times New Roman"/>
                <w:sz w:val="11"/>
                <w:szCs w:val="11"/>
                <w:b w:val="1"/>
                <w:bCs w:val="1"/>
                <w:color w:val="auto"/>
                <w:w w:val="99"/>
              </w:rPr>
              <w:t>of incorporation)</w:t>
            </w:r>
          </w:p>
        </w:tc>
        <w:tc>
          <w:tcPr>
            <w:tcW w:w="2060" w:type="dxa"/>
            <w:vAlign w:val="bottom"/>
          </w:tcPr>
          <w:p>
            <w:pPr>
              <w:spacing w:after="0"/>
              <w:rPr>
                <w:sz w:val="12"/>
                <w:szCs w:val="12"/>
                <w:color w:val="auto"/>
              </w:rPr>
            </w:pPr>
          </w:p>
        </w:tc>
        <w:tc>
          <w:tcPr>
            <w:tcW w:w="2840" w:type="dxa"/>
            <w:vAlign w:val="bottom"/>
          </w:tcPr>
          <w:p>
            <w:pPr>
              <w:jc w:val="center"/>
              <w:ind w:left="1916"/>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446"/>
        </w:trPr>
        <w:tc>
          <w:tcPr>
            <w:tcW w:w="5720" w:type="dxa"/>
            <w:vAlign w:val="bottom"/>
            <w:gridSpan w:val="2"/>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w w:val="97"/>
              </w:rPr>
              <w:t>First Floor, Minerva House, Simmonscourt Road</w:t>
            </w:r>
          </w:p>
        </w:tc>
        <w:tc>
          <w:tcPr>
            <w:tcW w:w="2840" w:type="dxa"/>
            <w:vAlign w:val="bottom"/>
          </w:tcPr>
          <w:p>
            <w:pPr>
              <w:spacing w:after="0"/>
              <w:rPr>
                <w:sz w:val="24"/>
                <w:szCs w:val="24"/>
                <w:color w:val="auto"/>
              </w:rPr>
            </w:pPr>
          </w:p>
        </w:tc>
      </w:tr>
      <w:tr>
        <w:trPr>
          <w:trHeight w:val="236"/>
        </w:trPr>
        <w:tc>
          <w:tcPr>
            <w:tcW w:w="366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Ballsbridge, Dublin 4, Ireland</w:t>
            </w:r>
          </w:p>
        </w:tc>
        <w:tc>
          <w:tcPr>
            <w:tcW w:w="2060" w:type="dxa"/>
            <w:vAlign w:val="bottom"/>
          </w:tcPr>
          <w:p>
            <w:pPr>
              <w:spacing w:after="0"/>
              <w:rPr>
                <w:sz w:val="20"/>
                <w:szCs w:val="20"/>
                <w:color w:val="auto"/>
              </w:rPr>
            </w:pPr>
          </w:p>
        </w:tc>
        <w:tc>
          <w:tcPr>
            <w:tcW w:w="2840" w:type="dxa"/>
            <w:vAlign w:val="bottom"/>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r>
      <w:tr>
        <w:trPr>
          <w:trHeight w:val="173"/>
        </w:trPr>
        <w:tc>
          <w:tcPr>
            <w:tcW w:w="3660" w:type="dxa"/>
            <w:vAlign w:val="bottom"/>
          </w:tcPr>
          <w:p>
            <w:pPr>
              <w:jc w:val="center"/>
              <w:ind w:left="1613"/>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2060" w:type="dxa"/>
            <w:vAlign w:val="bottom"/>
          </w:tcPr>
          <w:p>
            <w:pPr>
              <w:spacing w:after="0"/>
              <w:rPr>
                <w:sz w:val="15"/>
                <w:szCs w:val="15"/>
                <w:color w:val="auto"/>
              </w:rPr>
            </w:pPr>
          </w:p>
        </w:tc>
        <w:tc>
          <w:tcPr>
            <w:tcW w:w="2840" w:type="dxa"/>
            <w:vAlign w:val="bottom"/>
          </w:tcPr>
          <w:p>
            <w:pPr>
              <w:jc w:val="center"/>
              <w:ind w:right="416"/>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209"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011-353-1-268-2000</w:t>
      </w:r>
    </w:p>
    <w:p>
      <w:pPr>
        <w:spacing w:after="0" w:line="99"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10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6" w:hanging="326"/>
        <w:spacing w:after="0"/>
        <w:tabs>
          <w:tab w:leader="none" w:pos="3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6" w:lineRule="exact"/>
        <w:rPr>
          <w:rFonts w:ascii="MS PGothic" w:cs="MS PGothic" w:eastAsia="MS PGothic" w:hAnsi="MS PGothic"/>
          <w:sz w:val="16"/>
          <w:szCs w:val="16"/>
          <w:color w:val="auto"/>
        </w:rPr>
      </w:pPr>
    </w:p>
    <w:p>
      <w:pPr>
        <w:ind w:left="306" w:hanging="306"/>
        <w:spacing w:after="0"/>
        <w:tabs>
          <w:tab w:leader="none" w:pos="30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34" w:lineRule="exact"/>
        <w:rPr>
          <w:rFonts w:ascii="MS PGothic" w:cs="MS PGothic" w:eastAsia="MS PGothic" w:hAnsi="MS PGothic"/>
          <w:sz w:val="16"/>
          <w:szCs w:val="16"/>
          <w:color w:val="auto"/>
        </w:rPr>
      </w:pPr>
    </w:p>
    <w:p>
      <w:pPr>
        <w:ind w:left="306" w:hanging="306"/>
        <w:spacing w:after="0"/>
        <w:tabs>
          <w:tab w:leader="none" w:pos="30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34" w:lineRule="exact"/>
        <w:rPr>
          <w:rFonts w:ascii="MS PGothic" w:cs="MS PGothic" w:eastAsia="MS PGothic" w:hAnsi="MS PGothic"/>
          <w:sz w:val="16"/>
          <w:szCs w:val="16"/>
          <w:color w:val="auto"/>
        </w:rPr>
      </w:pPr>
    </w:p>
    <w:p>
      <w:pPr>
        <w:ind w:left="306" w:hanging="306"/>
        <w:spacing w:after="0"/>
        <w:tabs>
          <w:tab w:leader="none" w:pos="30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6"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None (1)</w:t>
      </w:r>
    </w:p>
    <w:p>
      <w:pPr>
        <w:spacing w:after="0" w:line="49" w:lineRule="exact"/>
        <w:rPr>
          <w:sz w:val="24"/>
          <w:szCs w:val="24"/>
          <w:color w:val="auto"/>
        </w:rPr>
      </w:pPr>
    </w:p>
    <w:p>
      <w:pPr>
        <w:ind w:left="546" w:right="120" w:hanging="293"/>
        <w:spacing w:after="0" w:line="222" w:lineRule="auto"/>
        <w:tabs>
          <w:tab w:leader="none" w:pos="546"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19" w:lineRule="exact"/>
        <w:rPr>
          <w:sz w:val="24"/>
          <w:szCs w:val="24"/>
          <w:color w:val="auto"/>
        </w:rPr>
      </w:pPr>
    </w:p>
    <w:p>
      <w:pPr>
        <w:ind w:left="6"/>
        <w:spacing w:after="0" w:line="32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306" w:hanging="306"/>
        <w:spacing w:after="0"/>
        <w:tabs>
          <w:tab w:leader="none" w:pos="306"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Emerging growth company</w:t>
      </w:r>
    </w:p>
    <w:p>
      <w:pPr>
        <w:spacing w:after="0" w:line="134" w:lineRule="exact"/>
        <w:rPr>
          <w:sz w:val="24"/>
          <w:szCs w:val="24"/>
          <w:color w:val="auto"/>
        </w:rPr>
      </w:pPr>
    </w:p>
    <w:p>
      <w:pPr>
        <w:ind w:left="6" w:right="30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466725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6"/>
          </w:cols>
          <w:pgMar w:left="314" w:top="875" w:right="359" w:bottom="1440" w:gutter="0" w:footer="0" w:header="0"/>
        </w:sectPr>
      </w:pPr>
    </w:p>
    <w:bookmarkStart w:id="1" w:name="page2"/>
    <w:bookmarkEnd w:id="1"/>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01" w:lineRule="exact"/>
        <w:rPr>
          <w:sz w:val="20"/>
          <w:szCs w:val="20"/>
          <w:color w:val="auto"/>
        </w:rPr>
      </w:pPr>
    </w:p>
    <w:p>
      <w:pPr>
        <w:ind w:right="320" w:firstLine="354"/>
        <w:spacing w:after="0" w:line="309" w:lineRule="auto"/>
        <w:rPr>
          <w:sz w:val="20"/>
          <w:szCs w:val="20"/>
          <w:color w:val="auto"/>
        </w:rPr>
      </w:pPr>
      <w:r>
        <w:rPr>
          <w:rFonts w:ascii="Times New Roman" w:cs="Times New Roman" w:eastAsia="Times New Roman" w:hAnsi="Times New Roman"/>
          <w:sz w:val="15"/>
          <w:szCs w:val="15"/>
          <w:color w:val="auto"/>
        </w:rPr>
        <w:t>On March 6, 2024, Endo International plc (the “Company,” “Endo,” or “we”) issued an earnings release announcing its financial results for the three and twelve months ended December 31, 2023 and 2022 (the “Earnings Release”). A copy of the Earnings Release is attached as Exhibit 99.1 hereto and is incorporated herein by reference.</w:t>
      </w:r>
    </w:p>
    <w:p>
      <w:pPr>
        <w:spacing w:after="0" w:line="27" w:lineRule="exact"/>
        <w:rPr>
          <w:sz w:val="20"/>
          <w:szCs w:val="20"/>
          <w:color w:val="auto"/>
        </w:rPr>
      </w:pPr>
    </w:p>
    <w:p>
      <w:pPr>
        <w:ind w:right="20" w:firstLine="354"/>
        <w:spacing w:after="0" w:line="253" w:lineRule="auto"/>
        <w:rPr>
          <w:sz w:val="20"/>
          <w:szCs w:val="20"/>
          <w:color w:val="auto"/>
        </w:rPr>
      </w:pPr>
      <w:r>
        <w:rPr>
          <w:rFonts w:ascii="Times New Roman" w:cs="Times New Roman" w:eastAsia="Times New Roman" w:hAnsi="Times New Roman"/>
          <w:sz w:val="16"/>
          <w:szCs w:val="16"/>
          <w:color w:val="auto"/>
        </w:rPr>
        <w:t>The Company utilizes certain financial measures that are not prescribed by or prepared in accordance with accounting principles generally accepted in the U.S. (“GAAP”). The Company utilizes these financial measures, commonly referred to as “non-GAAP,” as supplements to financial measures determined in accordance with GAAP when evaluating the Company’s operating performance and the Company believes that they will be used by certain investors to measure the Company’s operating results. The Company believes that presenting these non-GAAP financial measures provides useful information about the Company’s performance across reporting periods on a consistent basis by excluding certain items, which may be favorable or unfavorable, pursuant to the procedure described in the succeeding paragraph.</w:t>
      </w:r>
    </w:p>
    <w:p>
      <w:pPr>
        <w:spacing w:after="0" w:line="68" w:lineRule="exact"/>
        <w:rPr>
          <w:sz w:val="20"/>
          <w:szCs w:val="20"/>
          <w:color w:val="auto"/>
        </w:rPr>
      </w:pPr>
    </w:p>
    <w:p>
      <w:pPr>
        <w:ind w:firstLine="354"/>
        <w:spacing w:after="0" w:line="251" w:lineRule="auto"/>
        <w:rPr>
          <w:sz w:val="20"/>
          <w:szCs w:val="20"/>
          <w:color w:val="auto"/>
        </w:rPr>
      </w:pPr>
      <w:r>
        <w:rPr>
          <w:rFonts w:ascii="Times New Roman" w:cs="Times New Roman" w:eastAsia="Times New Roman" w:hAnsi="Times New Roman"/>
          <w:sz w:val="16"/>
          <w:szCs w:val="16"/>
          <w:color w:val="auto"/>
        </w:rPr>
        <w:t>The initial identification and review of the adjustments necessary to arrive at these non-GAAP financial measures are performed by a team of finance professionals that include the Chief Accounting Officer and segment finance leaders in accordance with the Company’s Adjusted Income Statement Policy, which is reviewed and approved annually by the Audit &amp; Finance Committee of the Company’s Board of Directors. Company tax professionals review and determine the tax effect of adjusted pre-tax income at applicable tax rates and other tax adjustments as described below. Proposed adjustments, along with any items considered but excluded, are presented to the Chief Accounting Officer, Chief Executive Officer and/or the Chief Financial Officer for their consideration. In turn, the non-GAAP adjustments are presented to the Audit &amp; Finance Committee on a quarterly basis as part of the Company’s standard procedures for preparation and review of the earnings release and other quarterly materials.</w:t>
      </w:r>
    </w:p>
    <w:p>
      <w:pPr>
        <w:spacing w:after="0" w:line="72" w:lineRule="exact"/>
        <w:rPr>
          <w:sz w:val="20"/>
          <w:szCs w:val="20"/>
          <w:color w:val="auto"/>
        </w:rPr>
      </w:pPr>
    </w:p>
    <w:p>
      <w:pPr>
        <w:ind w:right="240" w:firstLine="354"/>
        <w:spacing w:after="0" w:line="260" w:lineRule="auto"/>
        <w:rPr>
          <w:sz w:val="20"/>
          <w:szCs w:val="20"/>
          <w:color w:val="auto"/>
        </w:rPr>
      </w:pPr>
      <w:r>
        <w:rPr>
          <w:rFonts w:ascii="Times New Roman" w:cs="Times New Roman" w:eastAsia="Times New Roman" w:hAnsi="Times New Roman"/>
          <w:sz w:val="16"/>
          <w:szCs w:val="16"/>
          <w:color w:val="auto"/>
        </w:rPr>
        <w:t>These non-GAAP financial measures should be considered supplemental to and not a substitute for financial information prepared in accordance with GAAP. The Company’s definition of these non-GAAP financial measures may differ from similarly titled measures used by others. The definitions of the most commonly used non-GAAP financial measures are presented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income from continuing operations</w:t>
      </w:r>
    </w:p>
    <w:p>
      <w:pPr>
        <w:spacing w:after="0" w:line="103" w:lineRule="exact"/>
        <w:rPr>
          <w:sz w:val="20"/>
          <w:szCs w:val="20"/>
          <w:color w:val="auto"/>
        </w:rPr>
      </w:pPr>
    </w:p>
    <w:p>
      <w:pPr>
        <w:ind w:right="20" w:firstLine="354"/>
        <w:spacing w:after="0" w:line="250" w:lineRule="auto"/>
        <w:rPr>
          <w:sz w:val="20"/>
          <w:szCs w:val="20"/>
          <w:color w:val="auto"/>
        </w:rPr>
      </w:pPr>
      <w:r>
        <w:rPr>
          <w:rFonts w:ascii="Times New Roman" w:cs="Times New Roman" w:eastAsia="Times New Roman" w:hAnsi="Times New Roman"/>
          <w:sz w:val="16"/>
          <w:szCs w:val="16"/>
          <w:color w:val="auto"/>
        </w:rPr>
        <w:t>Adjusted income from continuing operations represents Loss from continuing operations prepared in accordance with GAAP and adjusted for certain items. Adjustments to GAAP amounts may include, but are not limited to,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the tax effect of adjusted pre-tax income at applicable tax rates and other tax adjustments; and certain other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diluted net income per share from continuing operations and Adjusted diluted weighted average shares</w:t>
      </w:r>
    </w:p>
    <w:p>
      <w:pPr>
        <w:spacing w:after="0" w:line="103" w:lineRule="exact"/>
        <w:rPr>
          <w:sz w:val="20"/>
          <w:szCs w:val="20"/>
          <w:color w:val="auto"/>
        </w:rPr>
      </w:pPr>
    </w:p>
    <w:p>
      <w:pPr>
        <w:ind w:right="520" w:firstLine="354"/>
        <w:spacing w:after="0" w:line="274" w:lineRule="auto"/>
        <w:rPr>
          <w:sz w:val="20"/>
          <w:szCs w:val="20"/>
          <w:color w:val="auto"/>
        </w:rPr>
      </w:pPr>
      <w:r>
        <w:rPr>
          <w:rFonts w:ascii="Times New Roman" w:cs="Times New Roman" w:eastAsia="Times New Roman" w:hAnsi="Times New Roman"/>
          <w:sz w:val="16"/>
          <w:szCs w:val="16"/>
          <w:color w:val="auto"/>
        </w:rPr>
        <w:t>Adjusted diluted net income per share from continuing operations represents Adjusted income from continuing operations divided by the number of Adjusted diluted weighted average shares.</w:t>
      </w:r>
    </w:p>
    <w:p>
      <w:pPr>
        <w:spacing w:after="0" w:line="51" w:lineRule="exact"/>
        <w:rPr>
          <w:sz w:val="20"/>
          <w:szCs w:val="20"/>
          <w:color w:val="auto"/>
        </w:rPr>
      </w:pPr>
    </w:p>
    <w:p>
      <w:pPr>
        <w:ind w:right="80" w:firstLine="354"/>
        <w:spacing w:after="0" w:line="255" w:lineRule="auto"/>
        <w:rPr>
          <w:sz w:val="20"/>
          <w:szCs w:val="20"/>
          <w:color w:val="auto"/>
        </w:rPr>
      </w:pPr>
      <w:r>
        <w:rPr>
          <w:rFonts w:ascii="Times New Roman" w:cs="Times New Roman" w:eastAsia="Times New Roman" w:hAnsi="Times New Roman"/>
          <w:sz w:val="16"/>
          <w:szCs w:val="16"/>
          <w:color w:val="auto"/>
        </w:rPr>
        <w:t>Both GAAP and non-GAAP diluted Net income (loss) per share data is computed based on weighted average shares outstanding and, if there is net income from continuing operations (rather than net loss) during the period, the dilutive impact of share equivalents outstanding during the period. Diluted weighted average shares outstanding and Adjusted diluted weighted average shares outstanding are calculated on the same basis except for the net income or loss figure used in determining whether to include such dilutive impact.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gross margin</w:t>
      </w:r>
    </w:p>
    <w:p>
      <w:pPr>
        <w:spacing w:after="0" w:line="103" w:lineRule="exact"/>
        <w:rPr>
          <w:sz w:val="20"/>
          <w:szCs w:val="20"/>
          <w:color w:val="auto"/>
        </w:rPr>
      </w:pPr>
    </w:p>
    <w:p>
      <w:pPr>
        <w:ind w:right="140" w:firstLine="354"/>
        <w:spacing w:after="0" w:line="278" w:lineRule="auto"/>
        <w:rPr>
          <w:sz w:val="20"/>
          <w:szCs w:val="20"/>
          <w:color w:val="auto"/>
        </w:rPr>
      </w:pPr>
      <w:r>
        <w:rPr>
          <w:rFonts w:ascii="Times New Roman" w:cs="Times New Roman" w:eastAsia="Times New Roman" w:hAnsi="Times New Roman"/>
          <w:sz w:val="15"/>
          <w:szCs w:val="15"/>
          <w:color w:val="auto"/>
        </w:rPr>
        <w:t>Adjusted gross margin represents total revenues less cost of revenues prepared in accordance with GAAP and adjusted for the items enumerated above under the heading “Adjusted income from continuing operations,” to the extent such items relate to cost of revenues. Such items may include, but are not limited to, cost reduction and integration-related initiatives such as separation benefits, continuity payments, other exit costs and certain costs associated with integrating an acquired company’s operations; certain amounts related to strategic review initiatives; amortization of intangible assets; inventory step-up recorded as part of our acquisitions; and certain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455930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operating expenses</w:t>
      </w:r>
    </w:p>
    <w:p>
      <w:pPr>
        <w:spacing w:after="0" w:line="103" w:lineRule="exact"/>
        <w:rPr>
          <w:sz w:val="20"/>
          <w:szCs w:val="20"/>
          <w:color w:val="auto"/>
        </w:rPr>
      </w:pPr>
    </w:p>
    <w:p>
      <w:pPr>
        <w:ind w:right="40" w:firstLine="354"/>
        <w:spacing w:after="0" w:line="251" w:lineRule="auto"/>
        <w:rPr>
          <w:sz w:val="20"/>
          <w:szCs w:val="20"/>
          <w:color w:val="auto"/>
        </w:rPr>
      </w:pPr>
      <w:r>
        <w:rPr>
          <w:rFonts w:ascii="Times New Roman" w:cs="Times New Roman" w:eastAsia="Times New Roman" w:hAnsi="Times New Roman"/>
          <w:sz w:val="16"/>
          <w:szCs w:val="16"/>
          <w:color w:val="auto"/>
        </w:rPr>
        <w:t>Adjusted operating expenses represent operating expenses prepared in accordance with GAAP and adjusted for the items enumerated above under the heading “Adjusted income from continuing operations,” to the extent such items relate to operating expenses. Such items may include, but are not limited to,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debt modification costs; and certain other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income taxes and Adjusted effective tax rate</w:t>
      </w:r>
    </w:p>
    <w:p>
      <w:pPr>
        <w:spacing w:after="0" w:line="103" w:lineRule="exact"/>
        <w:rPr>
          <w:sz w:val="20"/>
          <w:szCs w:val="20"/>
          <w:color w:val="auto"/>
        </w:rPr>
      </w:pPr>
    </w:p>
    <w:p>
      <w:pPr>
        <w:ind w:right="20" w:firstLine="354"/>
        <w:spacing w:after="0" w:line="251" w:lineRule="auto"/>
        <w:rPr>
          <w:sz w:val="20"/>
          <w:szCs w:val="20"/>
          <w:color w:val="auto"/>
        </w:rPr>
      </w:pPr>
      <w:r>
        <w:rPr>
          <w:rFonts w:ascii="Times New Roman" w:cs="Times New Roman" w:eastAsia="Times New Roman" w:hAnsi="Times New Roman"/>
          <w:sz w:val="16"/>
          <w:szCs w:val="16"/>
          <w:color w:val="auto"/>
        </w:rPr>
        <w:t>Adjusted income taxes are calculated by tax effecting adjusted pre-tax income and permanent book-tax differences at the applicable effective tax rate that will be determined by reference to statutory tax rates in the relevant jurisdictions in which the Company operates. Adjusted income taxes include current and deferred income tax expense commensurate with the non-GAAP measure of profitability. Adjustments are then made for certain items relating to prior years and for tax planning actions that are expected to be distortive to the underlying effective tax rate and trend in the effective tax rate. The most directly comparable GAAP financial measure for Adjusted income taxes is Income tax expense, prepared in accordance with GAAP. The Adjusted effective tax rate represents the rate generated when dividing Adjusted income taxes by the amount of adjusted pre-tax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EBITDA and Adjusted EBITDA</w:t>
      </w:r>
    </w:p>
    <w:p>
      <w:pPr>
        <w:spacing w:after="0" w:line="103" w:lineRule="exact"/>
        <w:rPr>
          <w:sz w:val="20"/>
          <w:szCs w:val="20"/>
          <w:color w:val="auto"/>
        </w:rPr>
      </w:pPr>
    </w:p>
    <w:p>
      <w:pPr>
        <w:ind w:right="20" w:firstLine="354"/>
        <w:spacing w:after="0" w:line="251" w:lineRule="auto"/>
        <w:rPr>
          <w:sz w:val="20"/>
          <w:szCs w:val="20"/>
          <w:color w:val="auto"/>
        </w:rPr>
      </w:pPr>
      <w:r>
        <w:rPr>
          <w:rFonts w:ascii="Times New Roman" w:cs="Times New Roman" w:eastAsia="Times New Roman" w:hAnsi="Times New Roman"/>
          <w:sz w:val="16"/>
          <w:szCs w:val="16"/>
          <w:color w:val="auto"/>
        </w:rPr>
        <w:t>EBITDA represents Net income (loss) before Interest expense, net; Income tax expense; Depreciation; and Amortization, each prepared in accordance with GAAP. Adjusted EBITDA further adjusts EBITDA by excluding other (income) expense, net; share-based compensation;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inventory step-up recorded as part of our acquisitions; litigation-related and other contingent matters; certain legal costs; debt modification costs; reorganization items, net; discontinued operations, net of tax; and certain other items.</w:t>
      </w:r>
    </w:p>
    <w:p>
      <w:pPr>
        <w:spacing w:after="0" w:line="72" w:lineRule="exact"/>
        <w:rPr>
          <w:sz w:val="20"/>
          <w:szCs w:val="20"/>
          <w:color w:val="auto"/>
        </w:rPr>
      </w:pPr>
    </w:p>
    <w:p>
      <w:pPr>
        <w:ind w:right="80" w:firstLine="354"/>
        <w:spacing w:after="0" w:line="260" w:lineRule="auto"/>
        <w:rPr>
          <w:sz w:val="20"/>
          <w:szCs w:val="20"/>
          <w:color w:val="auto"/>
        </w:rPr>
      </w:pPr>
      <w:r>
        <w:rPr>
          <w:rFonts w:ascii="Times New Roman" w:cs="Times New Roman" w:eastAsia="Times New Roman" w:hAnsi="Times New Roman"/>
          <w:sz w:val="16"/>
          <w:szCs w:val="16"/>
          <w:color w:val="auto"/>
        </w:rPr>
        <w:t>The Company’s Adjusted income from continuing operations, Adjusted diluted net income per share from continuing operations, Adjusted operating expenses and Adjusted EBITDA exclude opioid-related legal expenses. The Company believes that such costs are not indicative of business performance and that excluding them more accurately reflects the Company’s results and better enables management to compare financial results between periods.</w:t>
      </w:r>
    </w:p>
    <w:p>
      <w:pPr>
        <w:spacing w:after="0" w:line="62" w:lineRule="exact"/>
        <w:rPr>
          <w:sz w:val="20"/>
          <w:szCs w:val="20"/>
          <w:color w:val="auto"/>
        </w:rPr>
      </w:pPr>
    </w:p>
    <w:p>
      <w:pPr>
        <w:ind w:right="80" w:firstLine="354"/>
        <w:spacing w:after="0" w:line="250" w:lineRule="auto"/>
        <w:rPr>
          <w:sz w:val="20"/>
          <w:szCs w:val="20"/>
          <w:color w:val="auto"/>
        </w:rPr>
      </w:pPr>
      <w:r>
        <w:rPr>
          <w:rFonts w:ascii="Times New Roman" w:cs="Times New Roman" w:eastAsia="Times New Roman" w:hAnsi="Times New Roman"/>
          <w:sz w:val="16"/>
          <w:szCs w:val="16"/>
          <w:color w:val="auto"/>
        </w:rPr>
        <w:t>Because adjusted financial measures exclude the effect of items that will increase or decrease the Company’s reported results of operations, the Company strongly encourages investors to review the Company’s consolidated financial statements and publicly filed reports in their entirety. Investors are also encouraged to review the reconciliation of the non-GAAP financial measures used in the Earnings Release to their most directly comparable GAAP financial measures as included in the Earnings Release. However, the Company does not provide reconciliations of projected non-GAAP financial measures to GAAP financial measures, nor does it provide comparable projected GAAP financial measures for such projected non-GAAP financial measures. The Company is unable to provide such reconciliations without unreasonable efforts due to the inherent difficulty in forecasting and quantifying certain amounts that are necessary for such reconciliations, including adjustments that could be made for asset impairments, contingent consideration adjustments, legal settlements, gains or losses on extinguishment of debt, adjustments to inventory and other charges reflected in the reconciliation of historic numbers, the amount of which could be significant.</w:t>
      </w:r>
    </w:p>
    <w:p>
      <w:pPr>
        <w:spacing w:after="0" w:line="70" w:lineRule="exact"/>
        <w:rPr>
          <w:sz w:val="20"/>
          <w:szCs w:val="20"/>
          <w:color w:val="auto"/>
        </w:rPr>
      </w:pPr>
    </w:p>
    <w:p>
      <w:pPr>
        <w:ind w:right="20" w:firstLine="354"/>
        <w:spacing w:after="0" w:line="255" w:lineRule="auto"/>
        <w:rPr>
          <w:sz w:val="20"/>
          <w:szCs w:val="20"/>
          <w:color w:val="auto"/>
        </w:rPr>
      </w:pPr>
      <w:r>
        <w:rPr>
          <w:rFonts w:ascii="Times New Roman" w:cs="Times New Roman" w:eastAsia="Times New Roman" w:hAnsi="Times New Roman"/>
          <w:sz w:val="16"/>
          <w:szCs w:val="16"/>
          <w:color w:val="auto"/>
        </w:rPr>
        <w:t>The information in this Item 2.02 and in Exhibit 99.1 attached hereto shall not be deemed to be “filed” for purposes of Section 18 of the Securities Exchange Act of 1934, as amended, or otherwise subject to the liabilities of that section. The information contained in this Item 2.02 and in Exhibit 99.1 attached hereto shall not be incorporated into any registration statement or other document filed by the Registrant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pacing w:after="0" w:line="1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99"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6"/>
          <w:szCs w:val="16"/>
          <w:i w:val="1"/>
          <w:iCs w:val="1"/>
          <w:color w:val="auto"/>
        </w:rPr>
        <w:t>(d)</w:t>
        <w:tab/>
        <w:t>Exhibits.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0"/>
              </w:rPr>
              <w:t>Number</w:t>
            </w: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Description</w:t>
            </w:r>
          </w:p>
        </w:tc>
        <w:tc>
          <w:tcPr>
            <w:tcW w:w="9820" w:type="dxa"/>
            <w:vAlign w:val="bottom"/>
            <w:gridSpan w:val="2"/>
          </w:tcPr>
          <w:p>
            <w:pPr>
              <w:spacing w:after="0"/>
              <w:rPr>
                <w:sz w:val="12"/>
                <w:szCs w:val="12"/>
                <w:color w:val="auto"/>
              </w:rPr>
            </w:pPr>
          </w:p>
        </w:tc>
      </w:tr>
      <w:tr>
        <w:trPr>
          <w:trHeight w:val="192"/>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6"/>
                <w:szCs w:val="16"/>
                <w:color w:val="auto"/>
              </w:rPr>
            </w:pP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5"/>
              </w:rPr>
              <w:t>Press Release</w:t>
            </w:r>
          </w:p>
        </w:tc>
        <w:tc>
          <w:tcPr>
            <w:tcW w:w="9580" w:type="dxa"/>
            <w:vAlign w:val="bottom"/>
          </w:tcPr>
          <w:p>
            <w:pPr>
              <w:spacing w:after="0"/>
              <w:rPr>
                <w:sz w:val="16"/>
                <w:szCs w:val="16"/>
                <w:color w:val="auto"/>
              </w:rPr>
            </w:pPr>
          </w:p>
        </w:tc>
      </w:tr>
      <w:tr>
        <w:trPr>
          <w:trHeight w:val="217"/>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8"/>
                <w:szCs w:val="18"/>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40"/>
        </w:trPr>
        <w:tc>
          <w:tcPr>
            <w:tcW w:w="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ENDO INTERNATIONAL PLC</w:t>
      </w:r>
    </w:p>
    <w:p>
      <w:pPr>
        <w:spacing w:after="0" w:line="191" w:lineRule="exact"/>
        <w:rPr>
          <w:sz w:val="20"/>
          <w:szCs w:val="20"/>
          <w:color w:val="auto"/>
        </w:rPr>
      </w:pPr>
    </w:p>
    <w:tbl>
      <w:tblPr>
        <w:tblLayout w:type="fixed"/>
        <w:tblInd w:w="618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7"/>
              </w:rPr>
              <w:t>/s/ Matthew J. Maletta</w:t>
            </w:r>
          </w:p>
        </w:tc>
        <w:tc>
          <w:tcPr>
            <w:tcW w:w="1380" w:type="dxa"/>
            <w:vAlign w:val="bottom"/>
          </w:tcPr>
          <w:p>
            <w:pPr>
              <w:spacing w:after="0"/>
              <w:rPr>
                <w:sz w:val="16"/>
                <w:szCs w:val="16"/>
                <w:color w:val="auto"/>
              </w:rPr>
            </w:pPr>
          </w:p>
        </w:tc>
      </w:tr>
      <w:tr>
        <w:trPr>
          <w:trHeight w:val="21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J. Maletta</w:t>
            </w:r>
          </w:p>
        </w:tc>
      </w:tr>
      <w:tr>
        <w:trPr>
          <w:trHeight w:val="165"/>
        </w:trPr>
        <w:tc>
          <w:tcPr>
            <w:tcW w:w="9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Title:</w:t>
            </w:r>
          </w:p>
        </w:tc>
        <w:tc>
          <w:tcPr>
            <w:tcW w:w="280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Executive Vice President,</w:t>
            </w:r>
          </w:p>
        </w:tc>
      </w:tr>
      <w:tr>
        <w:trPr>
          <w:trHeight w:val="206"/>
        </w:trPr>
        <w:tc>
          <w:tcPr>
            <w:tcW w:w="9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Chief Legal Officer and Company Secretary</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March 6, 2024</w:t>
      </w:r>
    </w:p>
    <w:p>
      <w:pPr>
        <w:sectPr>
          <w:pgSz w:w="11900" w:h="16838" w:orient="portrait"/>
          <w:cols w:equalWidth="0" w:num="1">
            <w:col w:w="10780"/>
          </w:cols>
          <w:pgMar w:left="320" w:top="805"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310005" cy="42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0005"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ENDO REPORTS FOURTH-QUARTER 2023 FINANCIAL RESULTS</w:t>
      </w:r>
    </w:p>
    <w:p>
      <w:pPr>
        <w:spacing w:after="0" w:line="104"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8"/>
          <w:szCs w:val="18"/>
          <w:color w:val="auto"/>
        </w:rPr>
        <w:t>DUBLIN, March 6, 2024 -- Endo International plc (OTC: ENDPQ) today reported financial results for the fourth-quarter ended December 31, 2023.</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FOURTH-QUARTER FINANCIAL PERFORMANCE</w:t>
      </w:r>
    </w:p>
    <w:p>
      <w:pPr>
        <w:spacing w:after="0" w:line="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19"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 Net</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497,734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555,812</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2,011,518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2,318,875</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Loss from Continuing Operations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(2,441,038)</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(245,163)</w:t>
            </w:r>
          </w:p>
        </w:tc>
        <w:tc>
          <w:tcPr>
            <w:tcW w:w="120" w:type="dxa"/>
            <w:vAlign w:val="bottom"/>
          </w:tcPr>
          <w:p>
            <w:pPr>
              <w:spacing w:after="0"/>
              <w:rPr>
                <w:sz w:val="17"/>
                <w:szCs w:val="17"/>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(2,447,786)</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(2,909,618)</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Diluted Weighted Average Shares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235,220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Reported Diluted Net Loss per Share from</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 (1)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(2,441,483)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(243,535)</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(2,449,807)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(2,923,105)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Adjusted Income from Continuing Operations (2)</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151,060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189,529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706,534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463,858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Shares (1)(2)</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235,220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236,500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236,404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color w:val="auto"/>
              </w:rPr>
              <w:t>Adjusted Diluted Net Income per Share from</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 (2)(3)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(2)(3)</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166,341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210,102</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892,050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6" w:right="20" w:hanging="286"/>
        <w:spacing w:after="0" w:line="239" w:lineRule="auto"/>
        <w:tabs>
          <w:tab w:leader="none" w:pos="27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Reported Diluted Net Loss per Share from Continuing Operations is computed based on weighted average shares outstanding and, if there is income from continuing operations during the period, the dilutive impact of ordinary share equivalents outstanding during the period. In the case of Adjusted Diluted Weighted Average Shares, Adjusted Income from Continuing Operations is used in determining whether to include such dilutive impact.</w:t>
      </w:r>
    </w:p>
    <w:p>
      <w:pPr>
        <w:spacing w:after="0" w:line="1" w:lineRule="exact"/>
        <w:rPr>
          <w:rFonts w:ascii="Times New Roman" w:cs="Times New Roman" w:eastAsia="Times New Roman" w:hAnsi="Times New Roman"/>
          <w:sz w:val="13"/>
          <w:szCs w:val="13"/>
          <w:color w:val="auto"/>
        </w:rPr>
      </w:pPr>
    </w:p>
    <w:p>
      <w:pPr>
        <w:ind w:left="286" w:right="180" w:hanging="286"/>
        <w:spacing w:after="0" w:line="246" w:lineRule="auto"/>
        <w:tabs>
          <w:tab w:leader="none" w:pos="27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presented in the table above includes non-GAAP financial measures such as Adjusted Income from Continuing Operations, Adjusted Diluted Weighted Average Shares, Adjusted Diluted Net Income per Share from Continuing Operations and Adjusted EBITDA. Refer to the “Supplemental Financial Information” section below for reconciliations of certain non-GAAP financial measures to the most directly comparable GAAP financial measures.</w:t>
      </w:r>
    </w:p>
    <w:p>
      <w:pPr>
        <w:spacing w:after="0" w:line="1" w:lineRule="exact"/>
        <w:rPr>
          <w:rFonts w:ascii="Times New Roman" w:cs="Times New Roman" w:eastAsia="Times New Roman" w:hAnsi="Times New Roman"/>
          <w:sz w:val="13"/>
          <w:szCs w:val="13"/>
          <w:color w:val="auto"/>
        </w:rPr>
      </w:pPr>
    </w:p>
    <w:p>
      <w:pPr>
        <w:ind w:left="286" w:right="260" w:hanging="286"/>
        <w:spacing w:after="0" w:line="250" w:lineRule="auto"/>
        <w:tabs>
          <w:tab w:leader="none" w:pos="28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Effective January 1, 2022, these non-GAAP financial measures now include acquired in-process research and development charges which were previously excluded under Endo’s legacy non-GAAP policy. Refer to note (13) in the “Notes to the Reconciliations of GAAP and Non-GAAP Financial Measures” section below for additional discussion.</w:t>
      </w:r>
    </w:p>
    <w:p>
      <w:pPr>
        <w:spacing w:after="0" w:line="12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color w:val="auto"/>
        </w:rPr>
        <w:t>CONSOLIDATED FINANCIAL RESULTS</w:t>
      </w:r>
    </w:p>
    <w:p>
      <w:pPr>
        <w:spacing w:after="0" w:line="104" w:lineRule="exact"/>
        <w:rPr>
          <w:sz w:val="20"/>
          <w:szCs w:val="20"/>
          <w:color w:val="auto"/>
        </w:rPr>
      </w:pPr>
    </w:p>
    <w:p>
      <w:pPr>
        <w:ind w:left="6" w:right="340"/>
        <w:spacing w:after="0" w:line="260" w:lineRule="auto"/>
        <w:rPr>
          <w:sz w:val="20"/>
          <w:szCs w:val="20"/>
          <w:color w:val="auto"/>
        </w:rPr>
      </w:pPr>
      <w:r>
        <w:rPr>
          <w:rFonts w:ascii="Times New Roman" w:cs="Times New Roman" w:eastAsia="Times New Roman" w:hAnsi="Times New Roman"/>
          <w:sz w:val="19"/>
          <w:szCs w:val="19"/>
          <w:color w:val="auto"/>
        </w:rPr>
        <w:t>Total revenues were $498 million in fourth-quarter 2023, a decrease of 10% compared to $556 million in fourth-quarter 2022. This decrease was primarily attributable to decreased revenues from the Generic Pharmaceuticals and Sterile Injectables segments, partially offset by increased revenues from the Branded Pharmaceuticals segment.</w:t>
      </w:r>
    </w:p>
    <w:p>
      <w:pPr>
        <w:spacing w:after="0" w:line="68"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9"/>
          <w:szCs w:val="19"/>
          <w:color w:val="auto"/>
        </w:rPr>
        <w:t>Reported loss from continuing operations in fourth-quarter 2023 was $2,441 million compared to reported loss from continuing operations of $245 million in fourth-quarter 2022. This change was driven by adjustments to our estimated allowed claims, including with respect to certain litigation matters and debt obligations. The allowed claims will be reduced to reflect actual payments upon Chapter 11 emergence, which is expected to occur in second-quarter 2024.</w:t>
      </w:r>
    </w:p>
    <w:p>
      <w:pPr>
        <w:spacing w:after="0" w:line="200" w:lineRule="exact"/>
        <w:rPr>
          <w:sz w:val="20"/>
          <w:szCs w:val="20"/>
          <w:color w:val="auto"/>
        </w:rPr>
      </w:pPr>
    </w:p>
    <w:p>
      <w:pPr>
        <w:spacing w:after="0" w:line="2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6"/>
          </w:cols>
          <w:pgMar w:left="314" w:top="796" w:right="319" w:bottom="1440" w:gutter="0" w:footer="0" w:header="0"/>
        </w:sectPr>
      </w:pPr>
    </w:p>
    <w:bookmarkStart w:id="5" w:name="page6"/>
    <w:bookmarkEnd w:id="5"/>
    <w:p>
      <w:pPr>
        <w:ind w:right="40"/>
        <w:spacing w:after="0" w:line="274" w:lineRule="auto"/>
        <w:rPr>
          <w:sz w:val="20"/>
          <w:szCs w:val="20"/>
          <w:color w:val="auto"/>
        </w:rPr>
      </w:pPr>
      <w:r>
        <w:rPr>
          <w:rFonts w:ascii="Times New Roman" w:cs="Times New Roman" w:eastAsia="Times New Roman" w:hAnsi="Times New Roman"/>
          <w:sz w:val="19"/>
          <w:szCs w:val="19"/>
          <w:color w:val="auto"/>
        </w:rPr>
        <w:t>Adjusted income from continuing operations in fourth-quarter 2023 was $151 million compared to $190 million in fourth-quarter 2022. This change was primarily driven by decreased revenues.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BRANDED PHARMACEUTICALS SEGMENT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Fourth-quarter 2023 Branded Pharmaceuticals segment revenues were $246 million compared to $224 million during fourth-quarter 2022.</w:t>
      </w:r>
    </w:p>
    <w:p>
      <w:pPr>
        <w:spacing w:after="0" w:line="10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Specialty Products revenues increased 16% to $188 million in fourth-quarter 2023 compared to $162 million in fourth-quarter 2022. This change was primarily due to an increase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partially offset by a decrease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mainly driven by lower volumes. Fourth-quarter 2023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were $148 million, a 29% increase compared to fourth-quarter 2022 driven by increased net selling price and increased volumes. The increase in net selling price was primarily attributable to reversing approximately $14 million of reserves recorded during the first three quarters of 2023 following application of the final Inflation Reduction Act vial-wastage rebate determination.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STERILE INJECTABLES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Fourth-quarter 2023 Sterile Injectables segment revenues were $96 million, a decrease of 11% compared to $108 million during fourth-quarter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decrease was primarily attributable to competitive pressure on VASOSTRICT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ADRENALIN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GENERIC PHARMACEUTICALS SEGMENT</w:t>
      </w:r>
    </w:p>
    <w:p>
      <w:pPr>
        <w:spacing w:after="0" w:line="104"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auto"/>
        </w:rPr>
        <w:t>Fourth-quarter 2023 Generic Pharmaceuticals segment revenues were $139 million, a decrease of 32% compared to $205 million during fourth-quarter 2022. This decrease was primarily attributable to competitive pressure on varenicline tablets, the generic version of Chantix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and lubiprostone capsules, the authorized generic of Mallinckrodt’s Amitiza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partially offset by revenue from dexlansoprazole delayed release capsules, the generic version of Dexilant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which launched during fourth-quarter 2022.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INTERNATIONAL PHARMACEUTICALS SEGMENT</w:t>
      </w:r>
    </w:p>
    <w:p>
      <w:pPr>
        <w:spacing w:after="0" w:line="10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9"/>
          <w:szCs w:val="19"/>
          <w:color w:val="auto"/>
        </w:rPr>
        <w:t>Fourth-quarter 2023 International Pharmaceuticals segment revenues were $17 million, a decrease of 14% compared to $20 million during fourth-quarter 2022. This decrease was primarily attributable to competitive pressure on several products.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color w:val="auto"/>
        </w:rPr>
        <w:t>2024 FINANCIAL EXPECTATIONS</w:t>
      </w:r>
    </w:p>
    <w:p>
      <w:pPr>
        <w:spacing w:after="0" w:line="10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Endo is providing financial guidance for the full-year ending December 31, 2024, which contemplates key uncertainties, including competitive assumptions related to VASOSTRICT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ready-to-use, ADRENALIN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generic Dexilant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products. All financial expectations provided by Endo are forward-looking, and actual results may differ materially from such expectations, as further discussed below under the heading “Cautionary Note Regarding Forward-Looking Statements.”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4680" w:type="dxa"/>
            <w:vAlign w:val="bottom"/>
            <w:gridSpan w:val="2"/>
          </w:tcPr>
          <w:p>
            <w:pPr>
              <w:jc w:val="center"/>
              <w:ind w:left="2885"/>
              <w:spacing w:after="0"/>
              <w:rPr>
                <w:sz w:val="20"/>
                <w:szCs w:val="20"/>
                <w:color w:val="auto"/>
              </w:rPr>
            </w:pPr>
            <w:r>
              <w:rPr>
                <w:rFonts w:ascii="Times New Roman" w:cs="Times New Roman" w:eastAsia="Times New Roman" w:hAnsi="Times New Roman"/>
                <w:sz w:val="13"/>
                <w:szCs w:val="13"/>
                <w:b w:val="1"/>
                <w:bCs w:val="1"/>
                <w:color w:val="auto"/>
                <w:w w:val="96"/>
              </w:rPr>
              <w:t>Full-Year 2024 Adjusted</w:t>
            </w:r>
          </w:p>
        </w:tc>
      </w:tr>
      <w:tr>
        <w:trPr>
          <w:trHeight w:val="166"/>
        </w:trPr>
        <w:tc>
          <w:tcPr>
            <w:tcW w:w="6560" w:type="dxa"/>
            <w:vAlign w:val="bottom"/>
          </w:tcPr>
          <w:p>
            <w:pPr>
              <w:spacing w:after="0"/>
              <w:rPr>
                <w:sz w:val="14"/>
                <w:szCs w:val="14"/>
                <w:color w:val="auto"/>
              </w:rPr>
            </w:pPr>
          </w:p>
        </w:tc>
        <w:tc>
          <w:tcPr>
            <w:tcW w:w="4680" w:type="dxa"/>
            <w:vAlign w:val="bottom"/>
            <w:gridSpan w:val="2"/>
          </w:tcPr>
          <w:p>
            <w:pPr>
              <w:jc w:val="center"/>
              <w:ind w:left="2885"/>
              <w:spacing w:after="0"/>
              <w:rPr>
                <w:sz w:val="20"/>
                <w:szCs w:val="20"/>
                <w:color w:val="auto"/>
              </w:rPr>
            </w:pPr>
            <w:r>
              <w:rPr>
                <w:rFonts w:ascii="Times New Roman" w:cs="Times New Roman" w:eastAsia="Times New Roman" w:hAnsi="Times New Roman"/>
                <w:sz w:val="13"/>
                <w:szCs w:val="13"/>
                <w:b w:val="1"/>
                <w:bCs w:val="1"/>
                <w:color w:val="auto"/>
                <w:w w:val="98"/>
              </w:rPr>
              <w:t>Results</w:t>
            </w:r>
          </w:p>
        </w:tc>
      </w:tr>
      <w:tr>
        <w:trPr>
          <w:trHeight w:val="167"/>
        </w:trPr>
        <w:tc>
          <w:tcPr>
            <w:tcW w:w="6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3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6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 Net</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$1,770</w:t>
            </w:r>
          </w:p>
        </w:tc>
      </w:tr>
      <w:tr>
        <w:trPr>
          <w:trHeight w:val="20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$645</w:t>
            </w:r>
          </w:p>
        </w:tc>
      </w:tr>
      <w:tr>
        <w:trPr>
          <w:trHeight w:val="20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Assumptions:</w:t>
            </w:r>
          </w:p>
        </w:tc>
        <w:tc>
          <w:tcPr>
            <w:tcW w:w="3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Revenues:</w:t>
            </w: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Branded Pharmaceuticals</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$905</w:t>
            </w:r>
          </w:p>
        </w:tc>
      </w:tr>
      <w:tr>
        <w:trPr>
          <w:trHeight w:val="20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Sterile Injectables</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$390</w:t>
            </w:r>
          </w:p>
        </w:tc>
      </w:tr>
      <w:tr>
        <w:trPr>
          <w:trHeight w:val="20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Generic Pharmaceuticals</w:t>
            </w:r>
          </w:p>
        </w:tc>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$415</w:t>
            </w:r>
          </w:p>
        </w:tc>
      </w:tr>
      <w:tr>
        <w:trPr>
          <w:trHeight w:val="20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Pharmaceuticals</w:t>
            </w:r>
          </w:p>
        </w:tc>
        <w:tc>
          <w:tcPr>
            <w:tcW w:w="4680" w:type="dxa"/>
            <w:vAlign w:val="bottom"/>
            <w:gridSpan w:val="2"/>
          </w:tcPr>
          <w:p>
            <w:pPr>
              <w:jc w:val="right"/>
              <w:ind w:right="661"/>
              <w:spacing w:after="0"/>
              <w:rPr>
                <w:sz w:val="20"/>
                <w:szCs w:val="20"/>
                <w:color w:val="auto"/>
              </w:rPr>
            </w:pPr>
            <w:r>
              <w:rPr>
                <w:rFonts w:ascii="Times New Roman" w:cs="Times New Roman" w:eastAsia="Times New Roman" w:hAnsi="Times New Roman"/>
                <w:sz w:val="16"/>
                <w:szCs w:val="16"/>
                <w:color w:val="auto"/>
              </w:rPr>
              <w:t>$60</w:t>
            </w:r>
          </w:p>
        </w:tc>
      </w:tr>
      <w:tr>
        <w:trPr>
          <w:trHeight w:val="20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 as a Percentage of Total Revenues, Net</w:t>
            </w:r>
          </w:p>
        </w:tc>
        <w:tc>
          <w:tcPr>
            <w:tcW w:w="4680" w:type="dxa"/>
            <w:vAlign w:val="bottom"/>
            <w:gridSpan w:val="2"/>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rPr>
              <w:t>~67%</w:t>
            </w:r>
          </w:p>
        </w:tc>
      </w:tr>
      <w:tr>
        <w:trPr>
          <w:trHeight w:val="20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$605</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CASH FLOW AND OTHER UPDATES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As of December 31, 2023, the Company had approximately $778 million in unrestricted cash and cash equivalents. Fourth-quarter 2023 net cash provided by operating activities was approximately $115 million compared to approximately $110 million net cash provided by operating activities during fourth-quarter 2022.</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Amitiza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is a registered trademark of a Mallinckrodt company.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Dexilant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is a registered trademark of Takeda Pharmaceutical U.S.A., Inc.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Chantix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is a registered trademark of Pfizer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938" w:right="33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9"/>
          <w:szCs w:val="19"/>
          <w:b w:val="1"/>
          <w:bCs w:val="1"/>
          <w:color w:val="auto"/>
        </w:rPr>
        <w:t>FINANCIAL SCHEDULES</w:t>
      </w:r>
    </w:p>
    <w:p>
      <w:pPr>
        <w:spacing w:after="0" w:line="104" w:lineRule="exact"/>
        <w:rPr>
          <w:sz w:val="20"/>
          <w:szCs w:val="20"/>
          <w:color w:val="auto"/>
        </w:rPr>
      </w:pPr>
    </w:p>
    <w:p>
      <w:pPr>
        <w:ind w:left="6" w:right="360"/>
        <w:spacing w:after="0" w:line="274" w:lineRule="auto"/>
        <w:rPr>
          <w:sz w:val="20"/>
          <w:szCs w:val="20"/>
          <w:color w:val="auto"/>
        </w:rPr>
      </w:pPr>
      <w:r>
        <w:rPr>
          <w:rFonts w:ascii="Times New Roman" w:cs="Times New Roman" w:eastAsia="Times New Roman" w:hAnsi="Times New Roman"/>
          <w:sz w:val="19"/>
          <w:szCs w:val="19"/>
          <w:color w:val="auto"/>
        </w:rPr>
        <w:t>The following table presents Endo’s unaudited Total revenues, net for the three months and years ended December 31, 2023 and 2022 (dollars in thousands):</w:t>
      </w:r>
    </w:p>
    <w:p>
      <w:pPr>
        <w:spacing w:after="0" w:line="92"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4"/>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4"/>
          </w:tcPr>
          <w:p>
            <w:pPr>
              <w:jc w:val="right"/>
              <w:ind w:right="66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Percent Growth</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 Growth</w:t>
            </w:r>
          </w:p>
        </w:tc>
        <w:tc>
          <w:tcPr>
            <w:tcW w:w="0" w:type="dxa"/>
            <w:vAlign w:val="bottom"/>
          </w:tcPr>
          <w:p>
            <w:pPr>
              <w:spacing w:after="0"/>
              <w:rPr>
                <w:sz w:val="1"/>
                <w:szCs w:val="1"/>
                <w:color w:val="auto"/>
              </w:rPr>
            </w:pPr>
          </w:p>
        </w:tc>
      </w:tr>
      <w:tr>
        <w:trPr>
          <w:trHeight w:val="163"/>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Branded Pharmaceuticals:</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Specialty Products: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XIAFLEX®</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475,014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SUPPRELIN® LA</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96,849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Specialty (1)</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73,797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Specialty Products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187,734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162,449</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645,660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621,700</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i w:val="1"/>
                <w:iCs w:val="1"/>
                <w:color w:val="auto"/>
              </w:rPr>
              <w:t>Established Products:</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PERCOCET®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106,375</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TESTOPEL®</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42,464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Established (2)</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24,523</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64,588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86,772</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Established Products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213,427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Branded Pharmaceuticals (3)</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245,769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223,828</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859,087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851,142</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i w:val="1"/>
                <w:iCs w:val="1"/>
                <w:color w:val="auto"/>
              </w:rPr>
              <w:t>Sterile Injectables:</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ADRENALIN®</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24,329</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99,910</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VASOSTRICT®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93,180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253,696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0"/>
        </w:trPr>
        <w:tc>
          <w:tcPr>
            <w:tcW w:w="3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Sterile Injectables (4)</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50,472</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236,473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221,633</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Sterile Injectables (3)</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429,563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589,633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Generic Pharmaceuticals (5)</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139,211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204,701</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650,352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795,457</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International Pharmaceuticals (6)</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72,516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 net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497,734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2,011,518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2,318,875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__________</w:t>
      </w:r>
    </w:p>
    <w:p>
      <w:pPr>
        <w:ind w:left="286" w:hanging="286"/>
        <w:spacing w:after="0" w:line="223" w:lineRule="auto"/>
        <w:tabs>
          <w:tab w:leader="none" w:pos="28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Products included within Other Specialty include AVEED</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NASCOBAL</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Nasal Spray and QWO</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w:t>
      </w:r>
    </w:p>
    <w:p>
      <w:pPr>
        <w:ind w:left="286" w:hanging="286"/>
        <w:spacing w:after="0" w:line="199" w:lineRule="auto"/>
        <w:tabs>
          <w:tab w:leader="none" w:pos="28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Products included within Other Established include, but are not limited to, EDEX</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w:t>
      </w:r>
    </w:p>
    <w:p>
      <w:pPr>
        <w:ind w:left="286" w:right="340" w:hanging="286"/>
        <w:spacing w:after="0" w:line="233" w:lineRule="auto"/>
        <w:tabs>
          <w:tab w:leader="none" w:pos="27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 products presented above represent the top two performing products in each product category for the year ended December 31, 2023 and/or any product having revenues in excess of and/or any product having revenues in excess of $25 million during any completed quarterly period in 2023 or 2022.</w:t>
      </w:r>
    </w:p>
    <w:p>
      <w:pPr>
        <w:spacing w:after="0" w:line="1" w:lineRule="exact"/>
        <w:rPr>
          <w:rFonts w:ascii="Times New Roman" w:cs="Times New Roman" w:eastAsia="Times New Roman" w:hAnsi="Times New Roman"/>
          <w:sz w:val="13"/>
          <w:szCs w:val="13"/>
          <w:color w:val="auto"/>
        </w:rPr>
      </w:pPr>
    </w:p>
    <w:p>
      <w:pPr>
        <w:ind w:left="286" w:hanging="286"/>
        <w:spacing w:after="0"/>
        <w:tabs>
          <w:tab w:leader="none" w:pos="28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individual product within Other Sterile Injectables has exceeded 5% of consolidated total revenues for the periods presented.</w:t>
      </w:r>
    </w:p>
    <w:p>
      <w:pPr>
        <w:spacing w:after="0" w:line="3" w:lineRule="exact"/>
        <w:rPr>
          <w:rFonts w:ascii="Times New Roman" w:cs="Times New Roman" w:eastAsia="Times New Roman" w:hAnsi="Times New Roman"/>
          <w:sz w:val="13"/>
          <w:szCs w:val="13"/>
          <w:color w:val="auto"/>
        </w:rPr>
      </w:pPr>
    </w:p>
    <w:p>
      <w:pPr>
        <w:ind w:left="286" w:right="180" w:hanging="286"/>
        <w:spacing w:after="0" w:line="231" w:lineRule="auto"/>
        <w:tabs>
          <w:tab w:leader="none" w:pos="27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Varenicline tablets (Endo’s generic version of Pfizer Inc.’s Chantix</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which launched in September 2021, made up less than 5% and 16% for the three months ended December 31, 2023 and 2022, respectively, and 8% and 13% for the years ended December 31, 2023 and 2022, respectively, of consolidated total revenues. Dexlansoprazole delayed release capsules (Endo’s generic version of Takeda Pharmaceuticals USA, Inc.’s Dexilant</w:t>
      </w:r>
      <w:r>
        <w:rPr>
          <w:rFonts w:ascii="Times New Roman" w:cs="Times New Roman" w:eastAsia="Times New Roman" w:hAnsi="Times New Roman"/>
          <w:sz w:val="8"/>
          <w:szCs w:val="8"/>
          <w:color w:val="auto"/>
        </w:rPr>
        <w:t>®</w:t>
      </w:r>
      <w:r>
        <w:rPr>
          <w:rFonts w:ascii="Times New Roman" w:cs="Times New Roman" w:eastAsia="Times New Roman" w:hAnsi="Times New Roman"/>
          <w:sz w:val="13"/>
          <w:szCs w:val="13"/>
          <w:color w:val="auto"/>
        </w:rPr>
        <w:t>), which launched in November 2022, made up 6% for the quarter and full-year ended December 31, 2023 of consolidated total revenues. No other individual product within this segment has exceeded 5% of consolidated total revenues for the periods presented.</w:t>
      </w:r>
    </w:p>
    <w:p>
      <w:pPr>
        <w:spacing w:after="0" w:line="1" w:lineRule="exact"/>
        <w:rPr>
          <w:rFonts w:ascii="Times New Roman" w:cs="Times New Roman" w:eastAsia="Times New Roman" w:hAnsi="Times New Roman"/>
          <w:sz w:val="13"/>
          <w:szCs w:val="13"/>
          <w:color w:val="auto"/>
        </w:rPr>
      </w:pPr>
    </w:p>
    <w:p>
      <w:pPr>
        <w:ind w:left="286" w:right="200" w:hanging="286"/>
        <w:spacing w:after="0" w:line="252" w:lineRule="auto"/>
        <w:tabs>
          <w:tab w:leader="none" w:pos="27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 Labs Inc.</w:t>
      </w:r>
    </w:p>
    <w:p>
      <w:pPr>
        <w:spacing w:after="0" w:line="200" w:lineRule="exact"/>
        <w:rPr>
          <w:sz w:val="20"/>
          <w:szCs w:val="20"/>
          <w:color w:val="auto"/>
        </w:rPr>
      </w:pPr>
    </w:p>
    <w:p>
      <w:pPr>
        <w:spacing w:after="0" w:line="2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66"/>
          </w:cols>
          <w:pgMar w:left="314" w:top="938" w:right="319" w:bottom="1440" w:gutter="0" w:footer="0" w:header="0"/>
        </w:sectPr>
      </w:pPr>
    </w:p>
    <w:bookmarkStart w:id="8" w:name="page9"/>
    <w:bookmarkEnd w:id="8"/>
    <w:p>
      <w:pPr>
        <w:ind w:right="200"/>
        <w:spacing w:after="0" w:line="274" w:lineRule="auto"/>
        <w:rPr>
          <w:sz w:val="20"/>
          <w:szCs w:val="20"/>
          <w:color w:val="auto"/>
        </w:rPr>
      </w:pPr>
      <w:r>
        <w:rPr>
          <w:rFonts w:ascii="Times New Roman" w:cs="Times New Roman" w:eastAsia="Times New Roman" w:hAnsi="Times New Roman"/>
          <w:sz w:val="19"/>
          <w:szCs w:val="19"/>
          <w:color w:val="auto"/>
        </w:rPr>
        <w:t>The following table presents unaudited Condensed Consolidated Statement of Operations data for the three months and years ended December 31, 2023 and 2022 (in thousands, except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40" w:type="dxa"/>
            <w:vAlign w:val="bottom"/>
          </w:tcPr>
          <w:p>
            <w:pPr>
              <w:spacing w:after="0"/>
              <w:rPr>
                <w:sz w:val="14"/>
                <w:szCs w:val="14"/>
                <w:color w:val="auto"/>
              </w:rPr>
            </w:pPr>
          </w:p>
        </w:tc>
        <w:tc>
          <w:tcPr>
            <w:tcW w:w="2620" w:type="dxa"/>
            <w:vAlign w:val="bottom"/>
            <w:gridSpan w:val="4"/>
          </w:tcPr>
          <w:p>
            <w:pPr>
              <w:jc w:val="right"/>
              <w:ind w:right="70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 NET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2,011,518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2,318,875</w:t>
            </w:r>
          </w:p>
        </w:tc>
        <w:tc>
          <w:tcPr>
            <w:tcW w:w="0" w:type="dxa"/>
            <w:vAlign w:val="bottom"/>
          </w:tcPr>
          <w:p>
            <w:pPr>
              <w:spacing w:after="0"/>
              <w:rPr>
                <w:sz w:val="1"/>
                <w:szCs w:val="1"/>
                <w:color w:val="auto"/>
              </w:rPr>
            </w:pPr>
          </w:p>
        </w:tc>
      </w:tr>
      <w:tr>
        <w:trPr>
          <w:trHeight w:val="20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1,092,499</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777,169</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128,033</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Litigation-related and other contingencies, net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1,556,773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478,722</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impairment charges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2,142,746</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Acquisition-related and integration items, net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349,776</w:t>
            </w: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Reorganization items, net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202,978</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(34,054)</w:t>
            </w:r>
          </w:p>
        </w:tc>
        <w:tc>
          <w:tcPr>
            <w:tcW w:w="0" w:type="dxa"/>
            <w:vAlign w:val="bottom"/>
          </w:tcPr>
          <w:p>
            <w:pPr>
              <w:spacing w:after="0"/>
              <w:rPr>
                <w:sz w:val="1"/>
                <w:szCs w:val="1"/>
                <w:color w:val="auto"/>
              </w:rPr>
            </w:pPr>
          </w:p>
        </w:tc>
      </w:tr>
      <w:tr>
        <w:trPr>
          <w:trHeight w:val="19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(2,412,270)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(239,663)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(2,391,924)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(2,888,102)</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55,862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0" w:type="dxa"/>
            <w:vAlign w:val="bottom"/>
          </w:tcPr>
          <w:p>
            <w:pPr>
              <w:spacing w:after="0"/>
              <w:rPr>
                <w:sz w:val="1"/>
                <w:szCs w:val="1"/>
                <w:color w:val="auto"/>
              </w:rPr>
            </w:pPr>
          </w:p>
        </w:tc>
      </w:tr>
      <w:tr>
        <w:trPr>
          <w:trHeight w:val="19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(2,441,038)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(245,163)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(2,447,786)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(2,909,618)</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(13,487)</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(2,441,483)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(2,449,807)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(2,923,105)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235,219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234,840</w:t>
            </w:r>
          </w:p>
        </w:tc>
        <w:tc>
          <w:tcPr>
            <w:tcW w:w="0" w:type="dxa"/>
            <w:vAlign w:val="bottom"/>
          </w:tcPr>
          <w:p>
            <w:pPr>
              <w:spacing w:after="0"/>
              <w:rPr>
                <w:sz w:val="1"/>
                <w:szCs w:val="1"/>
                <w:color w:val="auto"/>
              </w:rPr>
            </w:pPr>
          </w:p>
        </w:tc>
      </w:tr>
      <w:tr>
        <w:trPr>
          <w:trHeight w:val="206"/>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234,840</w:t>
            </w:r>
          </w:p>
        </w:tc>
        <w:tc>
          <w:tcPr>
            <w:tcW w:w="0" w:type="dxa"/>
            <w:vAlign w:val="bottom"/>
          </w:tcPr>
          <w:p>
            <w:pPr>
              <w:spacing w:after="0"/>
              <w:rPr>
                <w:sz w:val="1"/>
                <w:szCs w:val="1"/>
                <w:color w:val="auto"/>
              </w:rPr>
            </w:pPr>
          </w:p>
        </w:tc>
      </w:tr>
      <w:tr>
        <w:trPr>
          <w:trHeight w:val="750"/>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The following table presents unaudited Condensed Consolidated Balance Sheet data at December 31, 2023 and December 31, 2022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Pr>
          <w:p>
            <w:pPr>
              <w:spacing w:after="0"/>
              <w:rPr>
                <w:sz w:val="14"/>
                <w:szCs w:val="14"/>
                <w:color w:val="auto"/>
              </w:rPr>
            </w:pPr>
          </w:p>
        </w:tc>
        <w:tc>
          <w:tcPr>
            <w:tcW w:w="128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0" w:type="dxa"/>
            <w:vAlign w:val="bottom"/>
          </w:tcPr>
          <w:p>
            <w:pPr>
              <w:spacing w:after="0"/>
              <w:rPr>
                <w:sz w:val="1"/>
                <w:szCs w:val="1"/>
                <w:color w:val="auto"/>
              </w:rPr>
            </w:pPr>
          </w:p>
        </w:tc>
      </w:tr>
      <w:tr>
        <w:trPr>
          <w:trHeight w:val="21"/>
        </w:trPr>
        <w:tc>
          <w:tcPr>
            <w:tcW w:w="524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777,919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1,018,883</w:t>
            </w:r>
          </w:p>
        </w:tc>
        <w:tc>
          <w:tcPr>
            <w:tcW w:w="0" w:type="dxa"/>
            <w:vAlign w:val="bottom"/>
          </w:tcPr>
          <w:p>
            <w:pPr>
              <w:spacing w:after="0"/>
              <w:rPr>
                <w:sz w:val="1"/>
                <w:szCs w:val="1"/>
                <w:color w:val="auto"/>
              </w:rPr>
            </w:pPr>
          </w:p>
        </w:tc>
      </w:tr>
      <w:tr>
        <w:trPr>
          <w:trHeight w:val="200"/>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145,358</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493,988</w:t>
            </w:r>
          </w:p>
        </w:tc>
        <w:tc>
          <w:tcPr>
            <w:tcW w:w="0" w:type="dxa"/>
            <w:vAlign w:val="bottom"/>
          </w:tcPr>
          <w:p>
            <w:pPr>
              <w:spacing w:after="0"/>
              <w:rPr>
                <w:sz w:val="1"/>
                <w:szCs w:val="1"/>
                <w:color w:val="auto"/>
              </w:rPr>
            </w:pPr>
          </w:p>
        </w:tc>
      </w:tr>
      <w:tr>
        <w:trPr>
          <w:trHeight w:val="200"/>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274,499</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30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144,040</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1,668,501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2,076,768</w:t>
            </w:r>
          </w:p>
        </w:tc>
        <w:tc>
          <w:tcPr>
            <w:tcW w:w="0" w:type="dxa"/>
            <w:vAlign w:val="bottom"/>
          </w:tcPr>
          <w:p>
            <w:pPr>
              <w:spacing w:after="0"/>
              <w:rPr>
                <w:sz w:val="1"/>
                <w:szCs w:val="1"/>
                <w:color w:val="auto"/>
              </w:rPr>
            </w:pPr>
          </w:p>
        </w:tc>
      </w:tr>
      <w:tr>
        <w:trPr>
          <w:trHeight w:val="19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3,468,793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3,681,169</w:t>
            </w:r>
          </w:p>
        </w:tc>
        <w:tc>
          <w:tcPr>
            <w:tcW w:w="0" w:type="dxa"/>
            <w:vAlign w:val="bottom"/>
          </w:tcPr>
          <w:p>
            <w:pPr>
              <w:spacing w:after="0"/>
              <w:rPr>
                <w:sz w:val="1"/>
                <w:szCs w:val="1"/>
                <w:color w:val="auto"/>
              </w:rPr>
            </w:pPr>
          </w:p>
        </w:tc>
      </w:tr>
      <w:tr>
        <w:trPr>
          <w:trHeight w:val="19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5,137,294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5,757,937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2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3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and accrued expenses, including legal settlement accruals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687,183</w:t>
            </w:r>
          </w:p>
        </w:tc>
        <w:tc>
          <w:tcPr>
            <w:tcW w:w="0" w:type="dxa"/>
            <w:vAlign w:val="bottom"/>
          </w:tcPr>
          <w:p>
            <w:pPr>
              <w:spacing w:after="0"/>
              <w:rPr>
                <w:sz w:val="1"/>
                <w:szCs w:val="1"/>
                <w:color w:val="auto"/>
              </w:rPr>
            </w:pPr>
          </w:p>
        </w:tc>
      </w:tr>
      <w:tr>
        <w:trPr>
          <w:trHeight w:val="200"/>
        </w:trPr>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192"/>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538,794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689,627</w:t>
            </w:r>
          </w:p>
        </w:tc>
        <w:tc>
          <w:tcPr>
            <w:tcW w:w="0" w:type="dxa"/>
            <w:vAlign w:val="bottom"/>
          </w:tcPr>
          <w:p>
            <w:pPr>
              <w:spacing w:after="0"/>
              <w:rPr>
                <w:sz w:val="1"/>
                <w:szCs w:val="1"/>
                <w:color w:val="auto"/>
              </w:rPr>
            </w:pPr>
          </w:p>
        </w:tc>
      </w:tr>
      <w:tr>
        <w:trPr>
          <w:trHeight w:val="19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61,700</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SUBJECT TO COMPROMISE</w:t>
            </w:r>
          </w:p>
        </w:tc>
        <w:tc>
          <w:tcPr>
            <w:tcW w:w="3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11,095,868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9,168,782</w:t>
            </w:r>
          </w:p>
        </w:tc>
        <w:tc>
          <w:tcPr>
            <w:tcW w:w="0" w:type="dxa"/>
            <w:vAlign w:val="bottom"/>
          </w:tcPr>
          <w:p>
            <w:pPr>
              <w:spacing w:after="0"/>
              <w:rPr>
                <w:sz w:val="1"/>
                <w:szCs w:val="1"/>
                <w:color w:val="auto"/>
              </w:rPr>
            </w:pPr>
          </w:p>
        </w:tc>
      </w:tr>
      <w:tr>
        <w:trPr>
          <w:trHeight w:val="20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DEFICIT</w:t>
            </w:r>
          </w:p>
        </w:tc>
        <w:tc>
          <w:tcPr>
            <w:tcW w:w="3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(6,597,560)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(4,162,172)</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DEFICIT</w:t>
            </w:r>
          </w:p>
        </w:tc>
        <w:tc>
          <w:tcPr>
            <w:tcW w:w="3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5,137,294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5,757,937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541"/>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2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0" w:name="page11"/>
    <w:bookmarkEnd w:id="10"/>
    <w:p>
      <w:pPr>
        <w:ind w:left="6" w:right="120"/>
        <w:spacing w:after="0" w:line="274" w:lineRule="auto"/>
        <w:rPr>
          <w:sz w:val="20"/>
          <w:szCs w:val="20"/>
          <w:color w:val="auto"/>
        </w:rPr>
      </w:pPr>
      <w:r>
        <w:rPr>
          <w:rFonts w:ascii="Times New Roman" w:cs="Times New Roman" w:eastAsia="Times New Roman" w:hAnsi="Times New Roman"/>
          <w:sz w:val="19"/>
          <w:szCs w:val="19"/>
          <w:color w:val="auto"/>
        </w:rPr>
        <w:t>The following table presents unaudited Condensed Consolidated Statement of Cash Flow data for the years ended December 31, 2023 and 2022 (in thousands):</w:t>
      </w:r>
    </w:p>
    <w:p>
      <w:pPr>
        <w:spacing w:after="0" w:line="68"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0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8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(2,449,807)</w:t>
            </w:r>
          </w:p>
        </w:tc>
        <w:tc>
          <w:tcPr>
            <w:tcW w:w="120" w:type="dxa"/>
            <w:vAlign w:val="bottom"/>
          </w:tcPr>
          <w:p>
            <w:pPr>
              <w:spacing w:after="0"/>
              <w:rPr>
                <w:sz w:val="17"/>
                <w:szCs w:val="17"/>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(2,923,105)</w:t>
            </w:r>
          </w:p>
        </w:tc>
      </w:tr>
      <w:tr>
        <w:trPr>
          <w:trHeight w:val="20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391,629</w:t>
            </w:r>
          </w:p>
        </w:tc>
      </w:tr>
      <w:tr>
        <w:trPr>
          <w:trHeight w:val="20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 impairment charges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2,142,746</w:t>
            </w:r>
          </w:p>
        </w:tc>
      </w:tr>
      <w:tr>
        <w:trPr>
          <w:trHeight w:val="200"/>
        </w:trPr>
        <w:tc>
          <w:tcPr>
            <w:tcW w:w="8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reorganization items, net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89,197</w:t>
            </w:r>
          </w:p>
        </w:tc>
      </w:tr>
      <w:tr>
        <w:trPr>
          <w:trHeight w:val="20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including cash payments to claimants from Qualified Settlement Funds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1,672,086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568,726</w:t>
            </w:r>
          </w:p>
        </w:tc>
      </w:tr>
      <w:tr>
        <w:trPr>
          <w:trHeight w:val="192"/>
        </w:trPr>
        <w:tc>
          <w:tcPr>
            <w:tcW w:w="8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435,098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269,193</w:t>
            </w:r>
          </w:p>
        </w:tc>
      </w:tr>
      <w:tr>
        <w:trPr>
          <w:trHeight w:val="180"/>
        </w:trPr>
        <w:tc>
          <w:tcPr>
            <w:tcW w:w="8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excluding capitalized interest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(94,325)</w:t>
            </w:r>
          </w:p>
        </w:tc>
        <w:tc>
          <w:tcPr>
            <w:tcW w:w="120" w:type="dxa"/>
            <w:vAlign w:val="bottom"/>
          </w:tcPr>
          <w:p>
            <w:pPr>
              <w:spacing w:after="0"/>
              <w:rPr>
                <w:sz w:val="17"/>
                <w:szCs w:val="17"/>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(99,722)</w:t>
            </w:r>
          </w:p>
        </w:tc>
      </w:tr>
      <w:tr>
        <w:trPr>
          <w:trHeight w:val="20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 including in-process research and development, net of cash and restricted cash acquired</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(90,320)</w:t>
            </w:r>
          </w:p>
        </w:tc>
      </w:tr>
      <w:tr>
        <w:trPr>
          <w:trHeight w:val="20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business and other assets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41,400</w:t>
            </w:r>
          </w:p>
        </w:tc>
      </w:tr>
      <w:tr>
        <w:trPr>
          <w:trHeight w:val="20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15,495</w:t>
            </w:r>
          </w:p>
        </w:tc>
      </w:tr>
      <w:tr>
        <w:trPr>
          <w:trHeight w:val="192"/>
        </w:trPr>
        <w:tc>
          <w:tcPr>
            <w:tcW w:w="8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(133,147)</w:t>
            </w:r>
          </w:p>
        </w:tc>
      </w:tr>
      <w:tr>
        <w:trPr>
          <w:trHeight w:val="180"/>
        </w:trPr>
        <w:tc>
          <w:tcPr>
            <w:tcW w:w="8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borrowings, including certain adequate protection payments, net (a)</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(599,492)</w:t>
            </w:r>
          </w:p>
        </w:tc>
        <w:tc>
          <w:tcPr>
            <w:tcW w:w="120" w:type="dxa"/>
            <w:vAlign w:val="bottom"/>
          </w:tcPr>
          <w:p>
            <w:pPr>
              <w:spacing w:after="0"/>
              <w:rPr>
                <w:sz w:val="17"/>
                <w:szCs w:val="17"/>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(509,513)</w:t>
            </w:r>
          </w:p>
        </w:tc>
      </w:tr>
      <w:tr>
        <w:trPr>
          <w:trHeight w:val="20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r>
      <w:tr>
        <w:trPr>
          <w:trHeight w:val="192"/>
        </w:trPr>
        <w:tc>
          <w:tcPr>
            <w:tcW w:w="8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(604,628)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(513,873)</w:t>
            </w:r>
          </w:p>
        </w:tc>
      </w:tr>
      <w:tr>
        <w:trPr>
          <w:trHeight w:val="19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0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RESTRICTED CASH AND RESTRICTED CASH EQUIVALENTS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(382,069)</w:t>
            </w:r>
          </w:p>
        </w:tc>
      </w:tr>
      <w:tr>
        <w:trPr>
          <w:trHeight w:val="140"/>
        </w:trPr>
        <w:tc>
          <w:tcPr>
            <w:tcW w:w="82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CASH, CASH EQUIVALENTS, RESTRICTED CASH AND RESTRICTED CASH EQUIVALENTS, BEGINNING OF</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1,249,241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1,631,310</w:t>
            </w:r>
          </w:p>
        </w:tc>
      </w:tr>
      <w:tr>
        <w:trPr>
          <w:trHeight w:val="19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END OF PERIOD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1,030,621</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1,249,241</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286" w:right="40" w:hanging="286"/>
        <w:spacing w:after="0" w:line="269" w:lineRule="auto"/>
        <w:tabs>
          <w:tab w:leader="none" w:pos="28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during the third quarter of 2022, Endo became obligated to make certain adequate protection payments as a result of the Chapter 11 proceedings, which are currently being accounted for as a reduction of the carrying amount of the related debt instruments and presented as financing cash outflows. Some or all of the adequate protection payments may later be recharacterized as interest expense and/or as operating cash outflows depending upon certain developments in the Chapter 11 proceedings, which could result in increases in interest expense and/or decreases in operating cash flows in future periods that may be material.</w:t>
      </w:r>
    </w:p>
    <w:p>
      <w:pPr>
        <w:spacing w:after="0" w:line="200" w:lineRule="exact"/>
        <w:rPr>
          <w:sz w:val="20"/>
          <w:szCs w:val="20"/>
          <w:color w:val="auto"/>
        </w:rPr>
      </w:pPr>
    </w:p>
    <w:p>
      <w:pPr>
        <w:spacing w:after="0" w:line="2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6"/>
          </w:cols>
          <w:pgMar w:left="314" w:top="8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b w:val="1"/>
          <w:bCs w:val="1"/>
          <w:color w:val="auto"/>
        </w:rPr>
        <w:t>SUPPLEMENTAL FINANCIAL INFORMATION</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To supplement the financial measures prepared in accordance with U.S. generally accepted accounting principles (GAAP), the Company uses certain non-GAAP financial measures. For additional information on the Company’s use of such non-GAAP financial measures, refer to Endo’s Current Report on Form 8-K furnished today to the U.S. Securities and Exchange Commission, which includes an explanation of the Company’s reasons for using non-GAAP measures.</w:t>
      </w:r>
    </w:p>
    <w:p>
      <w:pPr>
        <w:spacing w:after="0" w:line="5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9"/>
          <w:szCs w:val="19"/>
          <w:color w:val="auto"/>
        </w:rPr>
        <w:t>The tables below provide reconciliations of certain of the Company’s non-GAAP financial measures to their most directly comparable GAAP amounts. Refer to the “Notes to the Reconciliations of GAAP and Non-GAAP Financial Measures” section below for additional details regarding the adjustments to the non-GAAP financial measures detailed throughout this Supplemental Financial Information section.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Reconciliation of EBITDA and Adjusted EBITDA (non-GAAP)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 reconciliation of Net loss (GAAP) to Adjusted EBITDA (non-GAAP) for the three months and years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2023 and 2022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40" w:type="dxa"/>
            <w:vAlign w:val="bottom"/>
          </w:tcPr>
          <w:p>
            <w:pPr>
              <w:spacing w:after="0"/>
              <w:rPr>
                <w:sz w:val="14"/>
                <w:szCs w:val="14"/>
                <w:color w:val="auto"/>
              </w:rPr>
            </w:pPr>
          </w:p>
        </w:tc>
        <w:tc>
          <w:tcPr>
            <w:tcW w:w="2640" w:type="dxa"/>
            <w:vAlign w:val="bottom"/>
            <w:gridSpan w:val="4"/>
          </w:tcPr>
          <w:p>
            <w:pPr>
              <w:jc w:val="right"/>
              <w:ind w:right="72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(GAAP)</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(2,441,483)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(2,449,807)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(2,923,105)</w:t>
            </w:r>
          </w:p>
        </w:tc>
      </w:tr>
      <w:tr>
        <w:trPr>
          <w:trHeight w:val="200"/>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21,516</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349,776</w:t>
            </w:r>
          </w:p>
        </w:tc>
      </w:tr>
      <w:tr>
        <w:trPr>
          <w:trHeight w:val="200"/>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(1)</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74,358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306,448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387,856</w:t>
            </w:r>
          </w:p>
        </w:tc>
      </w:tr>
      <w:tr>
        <w:trPr>
          <w:trHeight w:val="19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(2,338,596)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(148,403)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(2,087,497)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(2,163,957)</w:t>
            </w:r>
          </w:p>
        </w:tc>
      </w:tr>
      <w:tr>
        <w:trPr>
          <w:trHeight w:val="133"/>
        </w:trPr>
        <w:tc>
          <w:tcPr>
            <w:tcW w:w="5220" w:type="dxa"/>
            <w:vAlign w:val="bottom"/>
          </w:tcPr>
          <w:p>
            <w:pPr>
              <w:ind w:left="100"/>
              <w:spacing w:after="0" w:line="133" w:lineRule="exact"/>
              <w:rPr>
                <w:sz w:val="20"/>
                <w:szCs w:val="20"/>
                <w:color w:val="auto"/>
              </w:rPr>
            </w:pPr>
            <w:r>
              <w:rPr>
                <w:rFonts w:ascii="Times New Roman" w:cs="Times New Roman" w:eastAsia="Times New Roman" w:hAnsi="Times New Roman"/>
                <w:sz w:val="15"/>
                <w:szCs w:val="15"/>
                <w:color w:val="auto"/>
              </w:rPr>
              <w:t>Amounts related to continuity and separation benefits, cost reductions and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2"/>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strategic review initiatives (2)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198,381</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Certain litigation-related and other contingencies, net (3)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1,556,773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478,722</w:t>
            </w:r>
          </w:p>
        </w:tc>
      </w:tr>
      <w:tr>
        <w:trPr>
          <w:trHeight w:val="200"/>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Certain legal costs (4)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31,756</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Asset impairment charges (5)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2,142,746</w:t>
            </w:r>
          </w:p>
        </w:tc>
      </w:tr>
      <w:tr>
        <w:trPr>
          <w:trHeight w:val="200"/>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Fair value of contingent consideration (6)</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17,145</w:t>
            </w:r>
          </w:p>
        </w:tc>
      </w:tr>
      <w:tr>
        <w:trPr>
          <w:trHeight w:val="200"/>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net (7)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(34,054)</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Reorganization items, net (8)</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202,978</w:t>
            </w:r>
          </w:p>
        </w:tc>
      </w:tr>
      <w:tr>
        <w:trPr>
          <w:trHeight w:val="200"/>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r>
      <w:tr>
        <w:trPr>
          <w:trHeight w:val="200"/>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Discontinued operations, net of tax (10)</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13,487</w:t>
            </w: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(non-GAAP) (13)</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166,341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210,102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761,838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892,050</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31"/>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60"/>
          </w:cols>
          <w:pgMar w:left="320" w:top="93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Reconciliation of Adjusted Income from Continuing Operations (non-GAAP)</w:t>
      </w:r>
    </w:p>
    <w:p>
      <w:pPr>
        <w:spacing w:after="0" w:line="104"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9"/>
          <w:szCs w:val="19"/>
          <w:color w:val="auto"/>
        </w:rPr>
        <w:t>The following table provides a reconciliation of the Company’s Loss from continuing operations (GAAP) to Adjusted income from continuing operations (non-GAAP) for the three months and years ended December 31, 2023 and 2022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40" w:type="dxa"/>
            <w:vAlign w:val="bottom"/>
          </w:tcPr>
          <w:p>
            <w:pPr>
              <w:spacing w:after="0"/>
              <w:rPr>
                <w:sz w:val="14"/>
                <w:szCs w:val="14"/>
                <w:color w:val="auto"/>
              </w:rPr>
            </w:pPr>
          </w:p>
        </w:tc>
        <w:tc>
          <w:tcPr>
            <w:tcW w:w="2640" w:type="dxa"/>
            <w:vAlign w:val="bottom"/>
            <w:gridSpan w:val="4"/>
          </w:tcPr>
          <w:p>
            <w:pPr>
              <w:jc w:val="right"/>
              <w:ind w:right="72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(GAAP)</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(245,163)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(2,447,786)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(2,909,618)</w:t>
            </w:r>
          </w:p>
        </w:tc>
      </w:tr>
      <w:tr>
        <w:trPr>
          <w:trHeight w:val="200"/>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Non-GAAP adjustments: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intangible assets (11)</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337,311</w:t>
            </w:r>
          </w:p>
        </w:tc>
      </w:tr>
      <w:tr>
        <w:trPr>
          <w:trHeight w:val="160"/>
        </w:trPr>
        <w:tc>
          <w:tcPr>
            <w:tcW w:w="5220" w:type="dxa"/>
            <w:vAlign w:val="bottom"/>
          </w:tcPr>
          <w:p>
            <w:pPr>
              <w:ind w:left="180"/>
              <w:spacing w:after="0" w:line="161" w:lineRule="exact"/>
              <w:rPr>
                <w:sz w:val="20"/>
                <w:szCs w:val="20"/>
                <w:color w:val="auto"/>
              </w:rPr>
            </w:pPr>
            <w:r>
              <w:rPr>
                <w:rFonts w:ascii="Times New Roman" w:cs="Times New Roman" w:eastAsia="Times New Roman" w:hAnsi="Times New Roman"/>
                <w:sz w:val="16"/>
                <w:szCs w:val="16"/>
                <w:color w:val="auto"/>
              </w:rPr>
              <w:t>Amounts related to continuity and separation benefits, cost reductions and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review initiatives (2)</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198,381</w:t>
            </w:r>
          </w:p>
        </w:tc>
      </w:tr>
      <w:tr>
        <w:trPr>
          <w:trHeight w:val="20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Certain litigation-related and other contingencies, net (3)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1,556,773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478,722</w:t>
            </w:r>
          </w:p>
        </w:tc>
      </w:tr>
      <w:tr>
        <w:trPr>
          <w:trHeight w:val="200"/>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Certain legal costs (4)</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31,756</w:t>
            </w:r>
          </w:p>
        </w:tc>
      </w:tr>
      <w:tr>
        <w:trPr>
          <w:trHeight w:val="20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impairment charges (5)</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2,142,746</w:t>
            </w:r>
          </w:p>
        </w:tc>
      </w:tr>
      <w:tr>
        <w:trPr>
          <w:trHeight w:val="200"/>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of contingent consideration (6)</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0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Reorganization items, net (8)</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202,978</w:t>
            </w:r>
          </w:p>
        </w:tc>
      </w:tr>
      <w:tr>
        <w:trPr>
          <w:trHeight w:val="200"/>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(32,980)</w:t>
            </w:r>
          </w:p>
        </w:tc>
      </w:tr>
      <w:tr>
        <w:trPr>
          <w:trHeight w:val="20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adjustments (12)</w:t>
            </w: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w:t>
            </w: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income from continuing operations (non-GAAP) (13)</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151,060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189,529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706,534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463,858</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43"/>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60"/>
          </w:cols>
          <w:pgMar w:left="320" w:top="93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auto"/>
        </w:rPr>
        <w:t>Reconciliation of Other Adjusted Income Statement Data (non-GAAP)</w:t>
      </w:r>
    </w:p>
    <w:p>
      <w:pPr>
        <w:spacing w:after="0" w:line="104"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9"/>
          <w:szCs w:val="19"/>
          <w:color w:val="auto"/>
        </w:rPr>
        <w:t>The following tables provide detailed reconciliations of various other income statement data between the GAAP and non-GAAP amounts for the three months and years ended December 31, 2023 and 2022 (in thousands, except per share data):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Three Months Ended December 31,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980" w:type="dxa"/>
            <w:vAlign w:val="bottom"/>
            <w:tcBorders>
              <w:top w:val="single" w:sz="8" w:color="auto"/>
            </w:tcBorders>
            <w:gridSpan w:val="35"/>
          </w:tcPr>
          <w:p>
            <w:pPr>
              <w:spacing w:after="0"/>
              <w:rPr>
                <w:sz w:val="11"/>
                <w:szCs w:val="11"/>
                <w:color w:val="auto"/>
              </w:rPr>
            </w:pPr>
          </w:p>
        </w:tc>
        <w:tc>
          <w:tcPr>
            <w:tcW w:w="420" w:type="dxa"/>
            <w:vAlign w:val="bottom"/>
            <w:tcBorders>
              <w:top w:val="single" w:sz="8" w:color="auto"/>
            </w:tcBorders>
            <w:gridSpan w:val="3"/>
            <w:vMerge w:val="restart"/>
          </w:tcPr>
          <w:p>
            <w:pPr>
              <w:jc w:val="center"/>
              <w:ind w:right="21"/>
              <w:spacing w:after="0"/>
              <w:rPr>
                <w:sz w:val="20"/>
                <w:szCs w:val="20"/>
                <w:color w:val="auto"/>
              </w:rPr>
            </w:pPr>
            <w:r>
              <w:rPr>
                <w:rFonts w:ascii="Times New Roman" w:cs="Times New Roman" w:eastAsia="Times New Roman" w:hAnsi="Times New Roman"/>
                <w:sz w:val="12"/>
                <w:szCs w:val="12"/>
                <w:color w:val="auto"/>
                <w:w w:val="94"/>
              </w:rPr>
              <w:t>Other</w:t>
            </w:r>
          </w:p>
        </w:tc>
        <w:tc>
          <w:tcPr>
            <w:tcW w:w="260" w:type="dxa"/>
            <w:vAlign w:val="bottom"/>
            <w:tcBorders>
              <w:top w:val="single" w:sz="8" w:color="auto"/>
            </w:tcBorders>
            <w:gridSpan w:val="4"/>
          </w:tcPr>
          <w:p>
            <w:pPr>
              <w:spacing w:after="0"/>
              <w:rPr>
                <w:sz w:val="11"/>
                <w:szCs w:val="11"/>
                <w:color w:val="auto"/>
              </w:rPr>
            </w:pPr>
          </w:p>
        </w:tc>
        <w:tc>
          <w:tcPr>
            <w:tcW w:w="5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w w:val="97"/>
              </w:rPr>
              <w:t>(Loss)</w:t>
            </w:r>
          </w:p>
        </w:tc>
        <w:tc>
          <w:tcPr>
            <w:tcW w:w="4040" w:type="dxa"/>
            <w:vAlign w:val="bottom"/>
            <w:tcBorders>
              <w:top w:val="single" w:sz="8" w:color="auto"/>
            </w:tcBorders>
            <w:gridSpan w:val="23"/>
          </w:tcPr>
          <w:p>
            <w:pPr>
              <w:spacing w:after="0"/>
              <w:rPr>
                <w:sz w:val="20"/>
                <w:szCs w:val="20"/>
                <w:color w:val="auto"/>
              </w:rPr>
            </w:pPr>
            <w:r>
              <w:rPr>
                <w:rFonts w:ascii="Times New Roman" w:cs="Times New Roman" w:eastAsia="Times New Roman" w:hAnsi="Times New Roman"/>
                <w:sz w:val="12"/>
                <w:szCs w:val="12"/>
                <w:color w:val="auto"/>
              </w:rPr>
              <w:t>Diluted net</w:t>
            </w:r>
          </w:p>
        </w:tc>
        <w:tc>
          <w:tcPr>
            <w:tcW w:w="0" w:type="dxa"/>
            <w:vAlign w:val="bottom"/>
          </w:tcPr>
          <w:p>
            <w:pPr>
              <w:spacing w:after="0"/>
              <w:rPr>
                <w:sz w:val="1"/>
                <w:szCs w:val="1"/>
                <w:color w:val="auto"/>
              </w:rPr>
            </w:pPr>
          </w:p>
        </w:tc>
      </w:tr>
      <w:tr>
        <w:trPr>
          <w:trHeight w:val="118"/>
        </w:trPr>
        <w:tc>
          <w:tcPr>
            <w:tcW w:w="4620" w:type="dxa"/>
            <w:vAlign w:val="bottom"/>
            <w:gridSpan w:val="27"/>
          </w:tcPr>
          <w:p>
            <w:pPr>
              <w:spacing w:after="0"/>
              <w:rPr>
                <w:sz w:val="10"/>
                <w:szCs w:val="10"/>
                <w:color w:val="auto"/>
              </w:rPr>
            </w:pPr>
          </w:p>
        </w:tc>
        <w:tc>
          <w:tcPr>
            <w:tcW w:w="6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w w:val="83"/>
              </w:rPr>
              <w:t>Operating</w:t>
            </w:r>
          </w:p>
        </w:tc>
        <w:tc>
          <w:tcPr>
            <w:tcW w:w="720" w:type="dxa"/>
            <w:vAlign w:val="bottom"/>
            <w:gridSpan w:val="5"/>
          </w:tcPr>
          <w:p>
            <w:pPr>
              <w:spacing w:after="0"/>
              <w:rPr>
                <w:sz w:val="10"/>
                <w:szCs w:val="10"/>
                <w:color w:val="auto"/>
              </w:rPr>
            </w:pPr>
          </w:p>
        </w:tc>
        <w:tc>
          <w:tcPr>
            <w:tcW w:w="420" w:type="dxa"/>
            <w:vAlign w:val="bottom"/>
            <w:gridSpan w:val="3"/>
            <w:vMerge w:val="continue"/>
          </w:tcPr>
          <w:p>
            <w:pPr>
              <w:spacing w:after="0"/>
              <w:rPr>
                <w:sz w:val="10"/>
                <w:szCs w:val="10"/>
                <w:color w:val="auto"/>
              </w:rPr>
            </w:pPr>
          </w:p>
        </w:tc>
        <w:tc>
          <w:tcPr>
            <w:tcW w:w="260" w:type="dxa"/>
            <w:vAlign w:val="bottom"/>
            <w:gridSpan w:val="4"/>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040" w:type="dxa"/>
            <w:vAlign w:val="bottom"/>
            <w:gridSpan w:val="23"/>
          </w:tcPr>
          <w:p>
            <w:pPr>
              <w:spacing w:after="0"/>
              <w:rPr>
                <w:sz w:val="20"/>
                <w:szCs w:val="20"/>
                <w:color w:val="auto"/>
              </w:rPr>
            </w:pPr>
            <w:r>
              <w:rPr>
                <w:rFonts w:ascii="Times New Roman" w:cs="Times New Roman" w:eastAsia="Times New Roman" w:hAnsi="Times New Roman"/>
                <w:sz w:val="12"/>
                <w:szCs w:val="12"/>
                <w:color w:val="auto"/>
              </w:rPr>
              <w:t>(loss)</w:t>
            </w:r>
          </w:p>
        </w:tc>
        <w:tc>
          <w:tcPr>
            <w:tcW w:w="0" w:type="dxa"/>
            <w:vAlign w:val="bottom"/>
          </w:tcPr>
          <w:p>
            <w:pPr>
              <w:spacing w:after="0"/>
              <w:rPr>
                <w:sz w:val="1"/>
                <w:szCs w:val="1"/>
                <w:color w:val="auto"/>
              </w:rPr>
            </w:pPr>
          </w:p>
        </w:tc>
      </w:tr>
      <w:tr>
        <w:trPr>
          <w:trHeight w:val="118"/>
        </w:trPr>
        <w:tc>
          <w:tcPr>
            <w:tcW w:w="4620" w:type="dxa"/>
            <w:vAlign w:val="bottom"/>
            <w:gridSpan w:val="27"/>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24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non-</w:t>
            </w:r>
          </w:p>
        </w:tc>
        <w:tc>
          <w:tcPr>
            <w:tcW w:w="2080" w:type="dxa"/>
            <w:vAlign w:val="bottom"/>
            <w:gridSpan w:val="15"/>
          </w:tcPr>
          <w:p>
            <w:pPr>
              <w:jc w:val="center"/>
              <w:ind w:right="1361"/>
              <w:spacing w:after="0" w:line="118" w:lineRule="exact"/>
              <w:rPr>
                <w:sz w:val="20"/>
                <w:szCs w:val="20"/>
                <w:color w:val="auto"/>
              </w:rPr>
            </w:pPr>
            <w:r>
              <w:rPr>
                <w:rFonts w:ascii="Times New Roman" w:cs="Times New Roman" w:eastAsia="Times New Roman" w:hAnsi="Times New Roman"/>
                <w:sz w:val="12"/>
                <w:szCs w:val="12"/>
                <w:color w:val="auto"/>
              </w:rPr>
              <w:t>income from</w:t>
            </w:r>
          </w:p>
        </w:tc>
        <w:tc>
          <w:tcPr>
            <w:tcW w:w="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w w:val="97"/>
              </w:rPr>
              <w:t>(Loss)</w:t>
            </w:r>
          </w:p>
        </w:tc>
        <w:tc>
          <w:tcPr>
            <w:tcW w:w="20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income per</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color w:val="auto"/>
                <w:w w:val="94"/>
              </w:rPr>
              <w:t>Total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99"/>
              </w:rPr>
              <w:t>Gross</w:t>
            </w:r>
          </w:p>
        </w:tc>
        <w:tc>
          <w:tcPr>
            <w:tcW w:w="60" w:type="dxa"/>
            <w:vAlign w:val="bottom"/>
          </w:tcPr>
          <w:p>
            <w:pPr>
              <w:spacing w:after="0"/>
              <w:rPr>
                <w:sz w:val="10"/>
                <w:szCs w:val="10"/>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0"/>
                <w:szCs w:val="10"/>
                <w:color w:val="auto"/>
              </w:rPr>
            </w:pPr>
          </w:p>
        </w:tc>
        <w:tc>
          <w:tcPr>
            <w:tcW w:w="6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2"/>
                <w:szCs w:val="12"/>
                <w:color w:val="auto"/>
                <w:w w:val="99"/>
              </w:rPr>
              <w:t>Operating</w:t>
            </w:r>
          </w:p>
        </w:tc>
        <w:tc>
          <w:tcPr>
            <w:tcW w:w="80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2"/>
                <w:szCs w:val="12"/>
                <w:color w:val="auto"/>
                <w:w w:val="98"/>
              </w:rPr>
              <w:t>(loss) 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color w:val="auto"/>
                <w:w w:val="88"/>
              </w:rPr>
              <w:t>operating</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20" w:type="dxa"/>
            <w:vAlign w:val="bottom"/>
          </w:tcPr>
          <w:p>
            <w:pPr>
              <w:spacing w:after="0"/>
              <w:rPr>
                <w:sz w:val="10"/>
                <w:szCs w:val="10"/>
                <w:color w:val="auto"/>
              </w:rPr>
            </w:pPr>
          </w:p>
        </w:tc>
        <w:tc>
          <w:tcPr>
            <w:tcW w:w="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7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6"/>
              </w:rPr>
              <w:t>Discontinued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share from</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96"/>
              </w:rPr>
              <w:t>Cost of</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Gross</w:t>
            </w:r>
          </w:p>
        </w:tc>
        <w:tc>
          <w:tcPr>
            <w:tcW w:w="3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2"/>
                <w:szCs w:val="12"/>
                <w:color w:val="auto"/>
                <w:w w:val="94"/>
              </w:rPr>
              <w:t>from</w:t>
            </w:r>
          </w:p>
        </w:tc>
        <w:tc>
          <w:tcPr>
            <w:tcW w:w="720" w:type="dxa"/>
            <w:vAlign w:val="bottom"/>
            <w:gridSpan w:val="5"/>
            <w:vMerge w:val="restart"/>
          </w:tcPr>
          <w:p>
            <w:pPr>
              <w:jc w:val="right"/>
              <w:ind w:right="181"/>
              <w:spacing w:after="0"/>
              <w:rPr>
                <w:sz w:val="20"/>
                <w:szCs w:val="20"/>
                <w:color w:val="auto"/>
              </w:rPr>
            </w:pPr>
            <w:r>
              <w:rPr>
                <w:rFonts w:ascii="Times New Roman" w:cs="Times New Roman" w:eastAsia="Times New Roman" w:hAnsi="Times New Roman"/>
                <w:sz w:val="12"/>
                <w:szCs w:val="12"/>
                <w:color w:val="auto"/>
                <w:w w:val="95"/>
              </w:rPr>
              <w:t>Operating</w:t>
            </w:r>
          </w:p>
        </w:tc>
        <w:tc>
          <w:tcPr>
            <w:tcW w:w="420" w:type="dxa"/>
            <w:vAlign w:val="bottom"/>
            <w:gridSpan w:val="3"/>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3"/>
              </w:rPr>
              <w:t>expense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2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Effective</w:t>
            </w:r>
          </w:p>
        </w:tc>
        <w:tc>
          <w:tcPr>
            <w:tcW w:w="740" w:type="dxa"/>
            <w:vAlign w:val="bottom"/>
            <w:gridSpan w:val="6"/>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income from</w:t>
            </w:r>
          </w:p>
        </w:tc>
        <w:tc>
          <w:tcPr>
            <w:tcW w:w="7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2"/>
                <w:szCs w:val="12"/>
                <w:color w:val="auto"/>
              </w:rPr>
              <w:t>Net (loss)</w:t>
            </w:r>
          </w:p>
        </w:tc>
        <w:tc>
          <w:tcPr>
            <w:tcW w:w="5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continuing</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w w:val="96"/>
              </w:rPr>
              <w:t>revenues,</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3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color w:val="auto"/>
                <w:w w:val="88"/>
              </w:rPr>
              <w:t>margin</w:t>
            </w:r>
          </w:p>
        </w:tc>
        <w:tc>
          <w:tcPr>
            <w:tcW w:w="60" w:type="dxa"/>
            <w:vAlign w:val="bottom"/>
          </w:tcPr>
          <w:p>
            <w:pPr>
              <w:spacing w:after="0"/>
              <w:rPr>
                <w:sz w:val="10"/>
                <w:szCs w:val="10"/>
                <w:color w:val="auto"/>
              </w:rPr>
            </w:pPr>
          </w:p>
        </w:tc>
        <w:tc>
          <w:tcPr>
            <w:tcW w:w="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color w:val="auto"/>
              </w:rPr>
              <w:t>operating</w:t>
            </w:r>
          </w:p>
        </w:tc>
        <w:tc>
          <w:tcPr>
            <w:tcW w:w="100" w:type="dxa"/>
            <w:vAlign w:val="bottom"/>
          </w:tcPr>
          <w:p>
            <w:pPr>
              <w:spacing w:after="0"/>
              <w:rPr>
                <w:sz w:val="10"/>
                <w:szCs w:val="10"/>
                <w:color w:val="auto"/>
              </w:rPr>
            </w:pPr>
          </w:p>
        </w:tc>
        <w:tc>
          <w:tcPr>
            <w:tcW w:w="6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rPr>
              <w:t>expense to</w:t>
            </w:r>
          </w:p>
        </w:tc>
        <w:tc>
          <w:tcPr>
            <w:tcW w:w="160" w:type="dxa"/>
            <w:vAlign w:val="bottom"/>
          </w:tcPr>
          <w:p>
            <w:pPr>
              <w:spacing w:after="0"/>
              <w:rPr>
                <w:sz w:val="10"/>
                <w:szCs w:val="10"/>
                <w:color w:val="auto"/>
              </w:rPr>
            </w:pPr>
          </w:p>
        </w:tc>
        <w:tc>
          <w:tcPr>
            <w:tcW w:w="6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2"/>
                <w:szCs w:val="12"/>
                <w:color w:val="auto"/>
                <w:w w:val="81"/>
              </w:rPr>
              <w:t>continuing</w:t>
            </w:r>
          </w:p>
        </w:tc>
        <w:tc>
          <w:tcPr>
            <w:tcW w:w="720" w:type="dxa"/>
            <w:vAlign w:val="bottom"/>
            <w:gridSpan w:val="5"/>
            <w:vMerge w:val="continue"/>
          </w:tcPr>
          <w:p>
            <w:pPr>
              <w:spacing w:after="0"/>
              <w:rPr>
                <w:sz w:val="10"/>
                <w:szCs w:val="10"/>
                <w:color w:val="auto"/>
              </w:rPr>
            </w:pPr>
          </w:p>
        </w:tc>
        <w:tc>
          <w:tcPr>
            <w:tcW w:w="4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color w:val="auto"/>
                <w:w w:val="86"/>
              </w:rPr>
              <w:t>(income),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color w:val="auto"/>
                <w:w w:val="97"/>
              </w:rPr>
              <w:t>before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tax</w:t>
            </w: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60" w:type="dxa"/>
            <w:vAlign w:val="bottom"/>
          </w:tcPr>
          <w:p>
            <w:pPr>
              <w:spacing w:after="0"/>
              <w:rPr>
                <w:sz w:val="10"/>
                <w:szCs w:val="10"/>
                <w:color w:val="auto"/>
              </w:rPr>
            </w:pPr>
          </w:p>
        </w:tc>
        <w:tc>
          <w:tcPr>
            <w:tcW w:w="6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2"/>
                <w:szCs w:val="12"/>
                <w:color w:val="auto"/>
              </w:rPr>
              <w:t>operations,</w:t>
            </w: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0" w:type="dxa"/>
            <w:vAlign w:val="bottom"/>
          </w:tcPr>
          <w:p>
            <w:pPr>
              <w:spacing w:after="0"/>
              <w:rPr>
                <w:sz w:val="1"/>
                <w:szCs w:val="1"/>
                <w:color w:val="auto"/>
              </w:rPr>
            </w:pPr>
          </w:p>
        </w:tc>
      </w:tr>
      <w:tr>
        <w:trPr>
          <w:trHeight w:val="159"/>
        </w:trPr>
        <w:tc>
          <w:tcPr>
            <w:tcW w:w="8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color w:val="auto"/>
              </w:rPr>
              <w:t>net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revenues</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2"/>
                <w:szCs w:val="12"/>
                <w:color w:val="auto"/>
                <w:w w:val="93"/>
              </w:rPr>
              <w:t>margin</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2"/>
                <w:szCs w:val="12"/>
                <w:color w:val="auto"/>
                <w:w w:val="79"/>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w w:val="96"/>
              </w:rPr>
              <w:t>expenses</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3"/>
          </w:tcPr>
          <w:p>
            <w:pPr>
              <w:jc w:val="center"/>
              <w:ind w:right="1"/>
              <w:spacing w:after="0"/>
              <w:rPr>
                <w:sz w:val="20"/>
                <w:szCs w:val="20"/>
                <w:color w:val="auto"/>
              </w:rPr>
            </w:pPr>
            <w:r>
              <w:rPr>
                <w:rFonts w:ascii="Times New Roman" w:cs="Times New Roman" w:eastAsia="Times New Roman" w:hAnsi="Times New Roman"/>
                <w:sz w:val="12"/>
                <w:szCs w:val="12"/>
                <w:color w:val="auto"/>
              </w:rPr>
              <w:t>revenue %</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2"/>
                <w:szCs w:val="12"/>
                <w:color w:val="auto"/>
                <w:w w:val="83"/>
              </w:rPr>
              <w:t>operations</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2"/>
                <w:szCs w:val="12"/>
                <w:color w:val="auto"/>
                <w:w w:val="97"/>
              </w:rPr>
              <w:t>margin %</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2"/>
                <w:szCs w:val="12"/>
                <w:color w:val="auto"/>
                <w:w w:val="95"/>
              </w:rPr>
              <w:t>net</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2"/>
                <w:szCs w:val="12"/>
                <w:color w:val="auto"/>
                <w:w w:val="98"/>
              </w:rPr>
              <w:t>income tax</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expense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w w:val="89"/>
              </w:rPr>
              <w:t>tax rate</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2"/>
                <w:szCs w:val="12"/>
                <w:color w:val="auto"/>
                <w:w w:val="99"/>
              </w:rPr>
              <w:t>operations</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2"/>
                <w:szCs w:val="12"/>
                <w:color w:val="auto"/>
              </w:rPr>
              <w:t>net of tax</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2"/>
                <w:szCs w:val="12"/>
                <w:color w:val="auto"/>
                <w:w w:val="96"/>
              </w:rPr>
              <w:t>income</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w w:val="99"/>
              </w:rPr>
              <w:t>(14)</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rPr>
              <w:t>Reported</w:t>
            </w:r>
          </w:p>
        </w:tc>
        <w:tc>
          <w:tcPr>
            <w:tcW w:w="2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3"/>
              </w:rPr>
              <w:t>$497,734</w:t>
            </w:r>
          </w:p>
        </w:tc>
        <w:tc>
          <w:tcPr>
            <w:tcW w:w="80" w:type="dxa"/>
            <w:vAlign w:val="bottom"/>
            <w:shd w:val="clear" w:color="auto" w:fill="CCEEFF"/>
          </w:tcPr>
          <w:p>
            <w:pPr>
              <w:spacing w:after="0"/>
              <w:rPr>
                <w:sz w:val="9"/>
                <w:szCs w:val="9"/>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$249,535</w:t>
            </w:r>
          </w:p>
        </w:tc>
        <w:tc>
          <w:tcPr>
            <w:tcW w:w="620" w:type="dxa"/>
            <w:vAlign w:val="bottom"/>
            <w:gridSpan w:val="5"/>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$248,199</w:t>
            </w:r>
          </w:p>
        </w:tc>
        <w:tc>
          <w:tcPr>
            <w:tcW w:w="100" w:type="dxa"/>
            <w:vAlign w:val="bottom"/>
            <w:tcBorders>
              <w:right w:val="single" w:sz="8" w:color="auto"/>
            </w:tcBorders>
            <w:shd w:val="clear" w:color="auto" w:fill="CCEEFF"/>
          </w:tcPr>
          <w:p>
            <w:pPr>
              <w:spacing w:after="0"/>
              <w:rPr>
                <w:sz w:val="9"/>
                <w:szCs w:val="9"/>
                <w:color w:val="auto"/>
              </w:rPr>
            </w:pPr>
          </w:p>
        </w:tc>
        <w:tc>
          <w:tcPr>
            <w:tcW w:w="36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49.9 %</w:t>
            </w:r>
          </w:p>
        </w:tc>
        <w:tc>
          <w:tcPr>
            <w:tcW w:w="68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$ 1,725,851</w:t>
            </w:r>
          </w:p>
        </w:tc>
        <w:tc>
          <w:tcPr>
            <w:tcW w:w="100" w:type="dxa"/>
            <w:vAlign w:val="bottom"/>
            <w:tcBorders>
              <w:right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346.7 %</w:t>
            </w:r>
          </w:p>
        </w:tc>
        <w:tc>
          <w:tcPr>
            <w:tcW w:w="40" w:type="dxa"/>
            <w:vAlign w:val="bottom"/>
            <w:shd w:val="clear" w:color="auto" w:fill="CCEEFF"/>
          </w:tcPr>
          <w:p>
            <w:pPr>
              <w:spacing w:after="0"/>
              <w:rPr>
                <w:sz w:val="9"/>
                <w:szCs w:val="9"/>
                <w:color w:val="auto"/>
              </w:rPr>
            </w:pPr>
          </w:p>
        </w:tc>
        <w:tc>
          <w:tcPr>
            <w:tcW w:w="760" w:type="dxa"/>
            <w:vAlign w:val="bottom"/>
            <w:tcBorders>
              <w:right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(1,477,652)</w:t>
            </w:r>
          </w:p>
        </w:tc>
        <w:tc>
          <w:tcPr>
            <w:tcW w:w="40" w:type="dxa"/>
            <w:vAlign w:val="bottom"/>
            <w:shd w:val="clear" w:color="auto" w:fill="CCEEFF"/>
          </w:tcPr>
          <w:p>
            <w:pPr>
              <w:spacing w:after="0"/>
              <w:rPr>
                <w:sz w:val="9"/>
                <w:szCs w:val="9"/>
                <w:color w:val="auto"/>
              </w:rPr>
            </w:pPr>
          </w:p>
        </w:tc>
        <w:tc>
          <w:tcPr>
            <w:tcW w:w="58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(296.9)%</w:t>
            </w:r>
          </w:p>
        </w:tc>
        <w:tc>
          <w:tcPr>
            <w:tcW w:w="4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$ 934,618</w:t>
            </w:r>
          </w:p>
        </w:tc>
        <w:tc>
          <w:tcPr>
            <w:tcW w:w="7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(2,412,270)</w:t>
            </w:r>
          </w:p>
        </w:tc>
        <w:tc>
          <w:tcPr>
            <w:tcW w:w="60" w:type="dxa"/>
            <w:vAlign w:val="bottom"/>
            <w:shd w:val="clear" w:color="auto" w:fill="CCEEFF"/>
          </w:tcPr>
          <w:p>
            <w:pPr>
              <w:spacing w:after="0"/>
              <w:rPr>
                <w:sz w:val="9"/>
                <w:szCs w:val="9"/>
                <w:color w:val="auto"/>
              </w:rPr>
            </w:pPr>
          </w:p>
        </w:tc>
        <w:tc>
          <w:tcPr>
            <w:tcW w:w="48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5"/>
              </w:rPr>
              <w:t>$ 28,768</w:t>
            </w:r>
          </w:p>
        </w:tc>
        <w:tc>
          <w:tcPr>
            <w:tcW w:w="100" w:type="dxa"/>
            <w:vAlign w:val="bottom"/>
            <w:tcBorders>
              <w:right w:val="single" w:sz="8" w:color="auto"/>
            </w:tcBorders>
            <w:shd w:val="clear" w:color="auto" w:fill="CCEEFF"/>
          </w:tcPr>
          <w:p>
            <w:pPr>
              <w:spacing w:after="0"/>
              <w:rPr>
                <w:sz w:val="9"/>
                <w:szCs w:val="9"/>
                <w:color w:val="auto"/>
              </w:rPr>
            </w:pPr>
          </w:p>
        </w:tc>
        <w:tc>
          <w:tcPr>
            <w:tcW w:w="5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9"/>
                <w:szCs w:val="9"/>
                <w:color w:val="auto"/>
              </w:rPr>
            </w:pPr>
          </w:p>
        </w:tc>
        <w:tc>
          <w:tcPr>
            <w:tcW w:w="6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 (2,441,038)</w:t>
            </w:r>
          </w:p>
        </w:tc>
        <w:tc>
          <w:tcPr>
            <w:tcW w:w="6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60" w:type="dxa"/>
            <w:vAlign w:val="bottom"/>
            <w:shd w:val="clear" w:color="auto" w:fill="CCEEFF"/>
          </w:tcPr>
          <w:p>
            <w:pPr>
              <w:spacing w:after="0"/>
              <w:rPr>
                <w:sz w:val="9"/>
                <w:szCs w:val="9"/>
                <w:color w:val="auto"/>
              </w:rPr>
            </w:pPr>
          </w:p>
        </w:tc>
        <w:tc>
          <w:tcPr>
            <w:tcW w:w="760" w:type="dxa"/>
            <w:vAlign w:val="bottom"/>
            <w:tcBorders>
              <w:right w:val="single" w:sz="8" w:color="auto"/>
            </w:tcBorders>
            <w:gridSpan w:val="3"/>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5"/>
              </w:rPr>
              <w:t>$ (2,441,483)</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(10.38)</w:t>
            </w:r>
          </w:p>
        </w:tc>
        <w:tc>
          <w:tcPr>
            <w:tcW w:w="0" w:type="dxa"/>
            <w:vAlign w:val="bottom"/>
          </w:tcPr>
          <w:p>
            <w:pPr>
              <w:spacing w:after="0"/>
              <w:rPr>
                <w:sz w:val="1"/>
                <w:szCs w:val="1"/>
                <w:color w:val="auto"/>
              </w:rPr>
            </w:pPr>
          </w:p>
        </w:tc>
      </w:tr>
      <w:tr>
        <w:trPr>
          <w:trHeight w:val="164"/>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w:t>
            </w:r>
          </w:p>
        </w:tc>
        <w:tc>
          <w:tcPr>
            <w:tcW w:w="5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620" w:type="dxa"/>
            <w:vAlign w:val="bottom"/>
            <w:gridSpan w:val="5"/>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60" w:type="dxa"/>
            <w:vAlign w:val="bottom"/>
            <w:tcBorders>
              <w:right w:val="single" w:sz="8" w:color="auto"/>
            </w:tcBorders>
            <w:gridSpan w:val="3"/>
            <w:vMerge w:val="continue"/>
            <w:shd w:val="clear" w:color="auto" w:fill="CCEEFF"/>
          </w:tcPr>
          <w:p>
            <w:pPr>
              <w:spacing w:after="0"/>
              <w:rPr>
                <w:sz w:val="14"/>
                <w:szCs w:val="14"/>
                <w:color w:val="auto"/>
              </w:rPr>
            </w:pPr>
          </w:p>
        </w:tc>
        <w:tc>
          <w:tcPr>
            <w:tcW w:w="68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5"/>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3"/>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8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Borders>
              <w:right w:val="single" w:sz="8" w:color="auto"/>
            </w:tcBorders>
            <w:gridSpan w:val="14"/>
          </w:tcPr>
          <w:p>
            <w:pPr>
              <w:ind w:left="20"/>
              <w:spacing w:after="0" w:line="119" w:lineRule="exact"/>
              <w:rPr>
                <w:sz w:val="20"/>
                <w:szCs w:val="20"/>
                <w:color w:val="auto"/>
              </w:rPr>
            </w:pPr>
            <w:r>
              <w:rPr>
                <w:rFonts w:ascii="Times New Roman" w:cs="Times New Roman" w:eastAsia="Times New Roman" w:hAnsi="Times New Roman"/>
                <w:sz w:val="12"/>
                <w:szCs w:val="12"/>
                <w:color w:val="auto"/>
              </w:rPr>
              <w:t>Items impacting</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660" w:type="dxa"/>
            <w:vAlign w:val="bottom"/>
            <w:tcBorders>
              <w:right w:val="single" w:sz="8" w:color="auto"/>
            </w:tcBorders>
            <w:gridSpan w:val="14"/>
          </w:tcPr>
          <w:p>
            <w:pPr>
              <w:ind w:left="20"/>
              <w:spacing w:after="0"/>
              <w:rPr>
                <w:sz w:val="20"/>
                <w:szCs w:val="20"/>
                <w:color w:val="auto"/>
              </w:rPr>
            </w:pPr>
            <w:r>
              <w:rPr>
                <w:rFonts w:ascii="Times New Roman" w:cs="Times New Roman" w:eastAsia="Times New Roman" w:hAnsi="Times New Roman"/>
                <w:sz w:val="12"/>
                <w:szCs w:val="12"/>
                <w:color w:val="auto"/>
              </w:rPr>
              <w:t>comparability:</w:t>
            </w:r>
          </w:p>
        </w:tc>
        <w:tc>
          <w:tcPr>
            <w:tcW w:w="360" w:type="dxa"/>
            <w:vAlign w:val="bottom"/>
            <w:tcBorders>
              <w:right w:val="single" w:sz="8" w:color="auto"/>
            </w:tcBorders>
            <w:gridSpan w:val="3"/>
          </w:tcPr>
          <w:p>
            <w:pPr>
              <w:spacing w:after="0"/>
              <w:rPr>
                <w:sz w:val="13"/>
                <w:szCs w:val="13"/>
                <w:color w:val="auto"/>
              </w:rPr>
            </w:pPr>
          </w:p>
        </w:tc>
        <w:tc>
          <w:tcPr>
            <w:tcW w:w="780" w:type="dxa"/>
            <w:vAlign w:val="bottom"/>
            <w:tcBorders>
              <w:right w:val="single" w:sz="8" w:color="auto"/>
            </w:tcBorders>
            <w:gridSpan w:val="5"/>
          </w:tcPr>
          <w:p>
            <w:pPr>
              <w:spacing w:after="0"/>
              <w:rPr>
                <w:sz w:val="13"/>
                <w:szCs w:val="13"/>
                <w:color w:val="auto"/>
              </w:rPr>
            </w:pPr>
          </w:p>
        </w:tc>
        <w:tc>
          <w:tcPr>
            <w:tcW w:w="620" w:type="dxa"/>
            <w:vAlign w:val="bottom"/>
            <w:tcBorders>
              <w:right w:val="single" w:sz="8" w:color="auto"/>
            </w:tcBorders>
            <w:gridSpan w:val="3"/>
          </w:tcPr>
          <w:p>
            <w:pPr>
              <w:spacing w:after="0"/>
              <w:rPr>
                <w:sz w:val="13"/>
                <w:szCs w:val="13"/>
                <w:color w:val="auto"/>
              </w:rPr>
            </w:pPr>
          </w:p>
        </w:tc>
        <w:tc>
          <w:tcPr>
            <w:tcW w:w="800" w:type="dxa"/>
            <w:vAlign w:val="bottom"/>
            <w:tcBorders>
              <w:right w:val="single" w:sz="8" w:color="auto"/>
            </w:tcBorders>
            <w:gridSpan w:val="4"/>
          </w:tcPr>
          <w:p>
            <w:pPr>
              <w:spacing w:after="0"/>
              <w:rPr>
                <w:sz w:val="13"/>
                <w:szCs w:val="13"/>
                <w:color w:val="auto"/>
              </w:rPr>
            </w:pPr>
          </w:p>
        </w:tc>
        <w:tc>
          <w:tcPr>
            <w:tcW w:w="620" w:type="dxa"/>
            <w:vAlign w:val="bottom"/>
            <w:tcBorders>
              <w:right w:val="single" w:sz="8" w:color="auto"/>
            </w:tcBorders>
            <w:gridSpan w:val="4"/>
          </w:tcPr>
          <w:p>
            <w:pPr>
              <w:spacing w:after="0"/>
              <w:rPr>
                <w:sz w:val="13"/>
                <w:szCs w:val="13"/>
                <w:color w:val="auto"/>
              </w:rPr>
            </w:pPr>
          </w:p>
        </w:tc>
        <w:tc>
          <w:tcPr>
            <w:tcW w:w="1980" w:type="dxa"/>
            <w:vAlign w:val="bottom"/>
            <w:tcBorders>
              <w:right w:val="single" w:sz="8" w:color="auto"/>
            </w:tcBorders>
            <w:gridSpan w:val="16"/>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2300" w:type="dxa"/>
            <w:vAlign w:val="bottom"/>
            <w:tcBorders>
              <w:right w:val="single" w:sz="8" w:color="auto"/>
            </w:tcBorders>
            <w:gridSpan w:val="14"/>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auto"/>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Amortization</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of intangible</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(61,823)</w:t>
            </w:r>
          </w:p>
        </w:tc>
        <w:tc>
          <w:tcPr>
            <w:tcW w:w="180" w:type="dxa"/>
            <w:vAlign w:val="bottom"/>
            <w:gridSpan w:val="3"/>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61,823</w:t>
            </w:r>
          </w:p>
        </w:tc>
        <w:tc>
          <w:tcPr>
            <w:tcW w:w="10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61,823</w:t>
            </w: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61,823</w:t>
            </w:r>
          </w:p>
        </w:tc>
        <w:tc>
          <w:tcPr>
            <w:tcW w:w="220" w:type="dxa"/>
            <w:vAlign w:val="bottom"/>
            <w:gridSpan w:val="4"/>
            <w:shd w:val="clear" w:color="auto" w:fill="CCEEFF"/>
          </w:tcPr>
          <w:p>
            <w:pPr>
              <w:spacing w:after="0"/>
              <w:rPr>
                <w:sz w:val="10"/>
                <w:szCs w:val="10"/>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61,823</w:t>
            </w:r>
          </w:p>
        </w:tc>
        <w:tc>
          <w:tcPr>
            <w:tcW w:w="20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61,823</w:t>
            </w: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assets (11)</w:t>
            </w:r>
          </w:p>
        </w:tc>
        <w:tc>
          <w:tcPr>
            <w:tcW w:w="480" w:type="dxa"/>
            <w:vAlign w:val="bottom"/>
            <w:gridSpan w:val="2"/>
            <w:vMerge w:val="continue"/>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180" w:type="dxa"/>
            <w:vAlign w:val="bottom"/>
            <w:gridSpan w:val="3"/>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gridSpan w:val="2"/>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160" w:type="dxa"/>
            <w:vAlign w:val="bottom"/>
            <w:tcBorders>
              <w:right w:val="single" w:sz="8" w:color="CCEEFF"/>
            </w:tcBorders>
            <w:gridSpan w:val="3"/>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8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20" w:type="dxa"/>
            <w:vAlign w:val="bottom"/>
            <w:gridSpan w:val="4"/>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140" w:type="dxa"/>
            <w:vAlign w:val="bottom"/>
            <w:gridSpan w:val="3"/>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Borders>
              <w:right w:val="single" w:sz="8" w:color="auto"/>
            </w:tcBorders>
            <w:gridSpan w:val="14"/>
          </w:tcPr>
          <w:p>
            <w:pPr>
              <w:ind w:left="120"/>
              <w:spacing w:after="0" w:line="119" w:lineRule="exact"/>
              <w:rPr>
                <w:sz w:val="20"/>
                <w:szCs w:val="20"/>
                <w:color w:val="auto"/>
              </w:rPr>
            </w:pPr>
            <w:r>
              <w:rPr>
                <w:rFonts w:ascii="Times New Roman" w:cs="Times New Roman" w:eastAsia="Times New Roman" w:hAnsi="Times New Roman"/>
                <w:sz w:val="12"/>
                <w:szCs w:val="12"/>
                <w:color w:val="auto"/>
              </w:rPr>
              <w:t>Amounts</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to</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continuity and</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separation</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benefits, cost</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reductions and</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strategic</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2"/>
                <w:szCs w:val="12"/>
                <w:color w:val="auto"/>
              </w:rPr>
              <w:t>review</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80" w:type="dxa"/>
            <w:vAlign w:val="bottom"/>
            <w:gridSpan w:val="3"/>
          </w:tcPr>
          <w:p>
            <w:pPr>
              <w:spacing w:after="0"/>
              <w:rPr>
                <w:sz w:val="10"/>
                <w:szCs w:val="10"/>
                <w:color w:val="auto"/>
              </w:rPr>
            </w:pPr>
          </w:p>
        </w:tc>
        <w:tc>
          <w:tcPr>
            <w:tcW w:w="4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gridSpan w:val="3"/>
          </w:tcPr>
          <w:p>
            <w:pPr>
              <w:spacing w:after="0"/>
              <w:rPr>
                <w:sz w:val="10"/>
                <w:szCs w:val="10"/>
                <w:color w:val="auto"/>
              </w:rPr>
            </w:pPr>
          </w:p>
        </w:tc>
        <w:tc>
          <w:tcPr>
            <w:tcW w:w="300" w:type="dxa"/>
            <w:vAlign w:val="bottom"/>
            <w:gridSpan w:val="2"/>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(6,678)</w:t>
            </w:r>
          </w:p>
        </w:tc>
        <w:tc>
          <w:tcPr>
            <w:tcW w:w="1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200" w:type="dxa"/>
            <w:vAlign w:val="bottom"/>
            <w:gridSpan w:val="2"/>
          </w:tcPr>
          <w:p>
            <w:pPr>
              <w:spacing w:after="0"/>
              <w:rPr>
                <w:sz w:val="10"/>
                <w:szCs w:val="10"/>
                <w:color w:val="auto"/>
              </w:rPr>
            </w:pPr>
          </w:p>
        </w:tc>
        <w:tc>
          <w:tcPr>
            <w:tcW w:w="600" w:type="dxa"/>
            <w:vAlign w:val="bottom"/>
            <w:tcBorders>
              <w:right w:val="single" w:sz="8" w:color="auto"/>
            </w:tcBorders>
            <w:gridSpan w:val="2"/>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7,380</w:t>
            </w:r>
          </w:p>
        </w:tc>
        <w:tc>
          <w:tcPr>
            <w:tcW w:w="620" w:type="dxa"/>
            <w:vAlign w:val="bottom"/>
            <w:tcBorders>
              <w:right w:val="single" w:sz="8" w:color="auto"/>
            </w:tcBorders>
            <w:gridSpan w:val="4"/>
          </w:tcPr>
          <w:p>
            <w:pPr>
              <w:spacing w:after="0"/>
              <w:rPr>
                <w:sz w:val="10"/>
                <w:szCs w:val="10"/>
                <w:color w:val="auto"/>
              </w:rPr>
            </w:pPr>
          </w:p>
        </w:tc>
        <w:tc>
          <w:tcPr>
            <w:tcW w:w="300" w:type="dxa"/>
            <w:vAlign w:val="bottom"/>
            <w:gridSpan w:val="4"/>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spacing w:after="0"/>
              <w:rPr>
                <w:sz w:val="10"/>
                <w:szCs w:val="10"/>
                <w:color w:val="auto"/>
              </w:rPr>
            </w:pPr>
          </w:p>
        </w:tc>
        <w:tc>
          <w:tcPr>
            <w:tcW w:w="6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7,380</w:t>
            </w:r>
          </w:p>
        </w:tc>
        <w:tc>
          <w:tcPr>
            <w:tcW w:w="220" w:type="dxa"/>
            <w:vAlign w:val="bottom"/>
            <w:gridSpan w:val="4"/>
          </w:tcPr>
          <w:p>
            <w:pPr>
              <w:spacing w:after="0"/>
              <w:rPr>
                <w:sz w:val="10"/>
                <w:szCs w:val="10"/>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gridSpan w:val="2"/>
          </w:tcPr>
          <w:p>
            <w:pPr>
              <w:spacing w:after="0"/>
              <w:rPr>
                <w:sz w:val="10"/>
                <w:szCs w:val="10"/>
                <w:color w:val="auto"/>
              </w:rPr>
            </w:pPr>
          </w:p>
        </w:tc>
        <w:tc>
          <w:tcPr>
            <w:tcW w:w="260" w:type="dxa"/>
            <w:vAlign w:val="bottom"/>
            <w:gridSpan w:val="5"/>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7,380</w:t>
            </w:r>
          </w:p>
        </w:tc>
        <w:tc>
          <w:tcPr>
            <w:tcW w:w="200" w:type="dxa"/>
            <w:vAlign w:val="bottom"/>
            <w:gridSpan w:val="3"/>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7,380</w:t>
            </w: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initiatives (2)</w:t>
            </w:r>
          </w:p>
        </w:tc>
        <w:tc>
          <w:tcPr>
            <w:tcW w:w="480" w:type="dxa"/>
            <w:vAlign w:val="bottom"/>
            <w:gridSpan w:val="2"/>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180" w:type="dxa"/>
            <w:vAlign w:val="bottom"/>
            <w:gridSpan w:val="3"/>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60" w:type="dxa"/>
            <w:vAlign w:val="bottom"/>
            <w:tcBorders>
              <w:right w:val="single" w:sz="8" w:color="auto"/>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600" w:type="dxa"/>
            <w:vAlign w:val="bottom"/>
            <w:tcBorders>
              <w:right w:val="single" w:sz="8" w:color="auto"/>
            </w:tcBorders>
            <w:gridSpan w:val="2"/>
            <w:vMerge w:val="continue"/>
          </w:tcPr>
          <w:p>
            <w:pPr>
              <w:spacing w:after="0"/>
              <w:rPr>
                <w:sz w:val="13"/>
                <w:szCs w:val="13"/>
                <w:color w:val="auto"/>
              </w:rPr>
            </w:pPr>
          </w:p>
        </w:tc>
        <w:tc>
          <w:tcPr>
            <w:tcW w:w="620" w:type="dxa"/>
            <w:vAlign w:val="bottom"/>
            <w:tcBorders>
              <w:right w:val="single" w:sz="8" w:color="auto"/>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c>
          <w:tcPr>
            <w:tcW w:w="260" w:type="dxa"/>
            <w:vAlign w:val="bottom"/>
            <w:vMerge w:val="continue"/>
          </w:tcPr>
          <w:p>
            <w:pPr>
              <w:spacing w:after="0"/>
              <w:rPr>
                <w:sz w:val="13"/>
                <w:szCs w:val="13"/>
                <w:color w:val="auto"/>
              </w:rPr>
            </w:pPr>
          </w:p>
        </w:tc>
        <w:tc>
          <w:tcPr>
            <w:tcW w:w="18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20" w:type="dxa"/>
            <w:vAlign w:val="bottom"/>
            <w:gridSpan w:val="4"/>
          </w:tcPr>
          <w:p>
            <w:pPr>
              <w:spacing w:after="0"/>
              <w:rPr>
                <w:sz w:val="13"/>
                <w:szCs w:val="13"/>
                <w:color w:val="auto"/>
              </w:rPr>
            </w:pPr>
          </w:p>
        </w:tc>
        <w:tc>
          <w:tcPr>
            <w:tcW w:w="420" w:type="dxa"/>
            <w:vAlign w:val="bottom"/>
            <w:tcBorders>
              <w:right w:val="single" w:sz="8" w:color="auto"/>
            </w:tcBorders>
            <w:gridSpan w:val="2"/>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auto"/>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Certain</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litigation-</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and</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gridSpan w:val="2"/>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contingencies,</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auto"/>
            </w:tcBorders>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(1,556,773)</w:t>
            </w:r>
          </w:p>
        </w:tc>
        <w:tc>
          <w:tcPr>
            <w:tcW w:w="10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91"/>
              </w:rPr>
              <w:t>1,556,773</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1,556,773</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1,556,773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95"/>
              </w:rPr>
              <w:t>1,556,773</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(3)</w:t>
            </w: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68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gridSpan w:val="3"/>
          </w:tcPr>
          <w:p>
            <w:pPr>
              <w:ind w:left="120"/>
              <w:spacing w:after="0" w:line="119" w:lineRule="exact"/>
              <w:rPr>
                <w:sz w:val="20"/>
                <w:szCs w:val="20"/>
                <w:color w:val="auto"/>
              </w:rPr>
            </w:pPr>
            <w:r>
              <w:rPr>
                <w:rFonts w:ascii="Times New Roman" w:cs="Times New Roman" w:eastAsia="Times New Roman" w:hAnsi="Times New Roman"/>
                <w:sz w:val="12"/>
                <w:szCs w:val="12"/>
                <w:color w:val="auto"/>
              </w:rPr>
              <w:t>Certain legal</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tcPr>
          <w:p>
            <w:pPr>
              <w:spacing w:after="0"/>
              <w:rPr>
                <w:sz w:val="10"/>
                <w:szCs w:val="10"/>
                <w:color w:val="auto"/>
              </w:rPr>
            </w:pPr>
          </w:p>
        </w:tc>
        <w:tc>
          <w:tcPr>
            <w:tcW w:w="460" w:type="dxa"/>
            <w:vAlign w:val="bottom"/>
            <w:tcBorders>
              <w:right w:val="single" w:sz="8" w:color="auto"/>
            </w:tcBorders>
            <w:gridSpan w:val="2"/>
            <w:vMerge w:val="restart"/>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auto"/>
            </w:tcBorders>
            <w:gridSpan w:val="3"/>
          </w:tcPr>
          <w:p>
            <w:pPr>
              <w:spacing w:after="0"/>
              <w:rPr>
                <w:sz w:val="10"/>
                <w:szCs w:val="10"/>
                <w:color w:val="auto"/>
              </w:rPr>
            </w:pPr>
          </w:p>
        </w:tc>
        <w:tc>
          <w:tcPr>
            <w:tcW w:w="300" w:type="dxa"/>
            <w:vAlign w:val="bottom"/>
            <w:gridSpan w:val="2"/>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w w:val="97"/>
              </w:rPr>
              <w:t>(2,069)</w:t>
            </w:r>
          </w:p>
        </w:tc>
        <w:tc>
          <w:tcPr>
            <w:tcW w:w="1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200" w:type="dxa"/>
            <w:vAlign w:val="bottom"/>
            <w:gridSpan w:val="2"/>
          </w:tcPr>
          <w:p>
            <w:pPr>
              <w:spacing w:after="0"/>
              <w:rPr>
                <w:sz w:val="10"/>
                <w:szCs w:val="10"/>
                <w:color w:val="auto"/>
              </w:rPr>
            </w:pPr>
          </w:p>
        </w:tc>
        <w:tc>
          <w:tcPr>
            <w:tcW w:w="600" w:type="dxa"/>
            <w:vAlign w:val="bottom"/>
            <w:tcBorders>
              <w:right w:val="single" w:sz="8" w:color="auto"/>
            </w:tcBorders>
            <w:gridSpan w:val="2"/>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2,069</w:t>
            </w:r>
          </w:p>
        </w:tc>
        <w:tc>
          <w:tcPr>
            <w:tcW w:w="620" w:type="dxa"/>
            <w:vAlign w:val="bottom"/>
            <w:tcBorders>
              <w:right w:val="single" w:sz="8" w:color="auto"/>
            </w:tcBorders>
            <w:gridSpan w:val="4"/>
          </w:tcPr>
          <w:p>
            <w:pPr>
              <w:spacing w:after="0"/>
              <w:rPr>
                <w:sz w:val="10"/>
                <w:szCs w:val="10"/>
                <w:color w:val="auto"/>
              </w:rPr>
            </w:pPr>
          </w:p>
        </w:tc>
        <w:tc>
          <w:tcPr>
            <w:tcW w:w="300" w:type="dxa"/>
            <w:vAlign w:val="bottom"/>
            <w:gridSpan w:val="4"/>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spacing w:after="0"/>
              <w:rPr>
                <w:sz w:val="10"/>
                <w:szCs w:val="10"/>
                <w:color w:val="auto"/>
              </w:rPr>
            </w:pPr>
          </w:p>
        </w:tc>
        <w:tc>
          <w:tcPr>
            <w:tcW w:w="6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2,069</w:t>
            </w:r>
          </w:p>
        </w:tc>
        <w:tc>
          <w:tcPr>
            <w:tcW w:w="220" w:type="dxa"/>
            <w:vAlign w:val="bottom"/>
            <w:gridSpan w:val="4"/>
          </w:tcPr>
          <w:p>
            <w:pPr>
              <w:spacing w:after="0"/>
              <w:rPr>
                <w:sz w:val="10"/>
                <w:szCs w:val="10"/>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gridSpan w:val="2"/>
          </w:tcPr>
          <w:p>
            <w:pPr>
              <w:spacing w:after="0"/>
              <w:rPr>
                <w:sz w:val="10"/>
                <w:szCs w:val="10"/>
                <w:color w:val="auto"/>
              </w:rPr>
            </w:pPr>
          </w:p>
        </w:tc>
        <w:tc>
          <w:tcPr>
            <w:tcW w:w="260" w:type="dxa"/>
            <w:vAlign w:val="bottom"/>
            <w:gridSpan w:val="5"/>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2,069</w:t>
            </w:r>
          </w:p>
        </w:tc>
        <w:tc>
          <w:tcPr>
            <w:tcW w:w="200" w:type="dxa"/>
            <w:vAlign w:val="bottom"/>
            <w:gridSpan w:val="3"/>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2,069</w:t>
            </w: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costs (4)</w:t>
            </w:r>
          </w:p>
        </w:tc>
        <w:tc>
          <w:tcPr>
            <w:tcW w:w="480" w:type="dxa"/>
            <w:vAlign w:val="bottom"/>
            <w:gridSpan w:val="2"/>
            <w:vMerge w:val="continue"/>
          </w:tcPr>
          <w:p>
            <w:pPr>
              <w:spacing w:after="0"/>
              <w:rPr>
                <w:sz w:val="13"/>
                <w:szCs w:val="13"/>
                <w:color w:val="auto"/>
              </w:rPr>
            </w:pPr>
          </w:p>
        </w:tc>
        <w:tc>
          <w:tcPr>
            <w:tcW w:w="120" w:type="dxa"/>
            <w:vAlign w:val="bottom"/>
            <w:gridSpan w:val="2"/>
          </w:tcPr>
          <w:p>
            <w:pPr>
              <w:spacing w:after="0"/>
              <w:rPr>
                <w:sz w:val="13"/>
                <w:szCs w:val="13"/>
                <w:color w:val="auto"/>
              </w:rPr>
            </w:pPr>
          </w:p>
        </w:tc>
        <w:tc>
          <w:tcPr>
            <w:tcW w:w="360" w:type="dxa"/>
            <w:vAlign w:val="bottom"/>
            <w:vMerge w:val="continue"/>
          </w:tcPr>
          <w:p>
            <w:pPr>
              <w:spacing w:after="0"/>
              <w:rPr>
                <w:sz w:val="13"/>
                <w:szCs w:val="13"/>
                <w:color w:val="auto"/>
              </w:rPr>
            </w:pPr>
          </w:p>
        </w:tc>
        <w:tc>
          <w:tcPr>
            <w:tcW w:w="260" w:type="dxa"/>
            <w:vAlign w:val="bottom"/>
            <w:gridSpan w:val="4"/>
          </w:tcPr>
          <w:p>
            <w:pPr>
              <w:spacing w:after="0"/>
              <w:rPr>
                <w:sz w:val="13"/>
                <w:szCs w:val="13"/>
                <w:color w:val="auto"/>
              </w:rPr>
            </w:pPr>
          </w:p>
        </w:tc>
        <w:tc>
          <w:tcPr>
            <w:tcW w:w="460" w:type="dxa"/>
            <w:vAlign w:val="bottom"/>
            <w:tcBorders>
              <w:right w:val="single" w:sz="8" w:color="auto"/>
            </w:tcBorders>
            <w:gridSpan w:val="2"/>
            <w:vMerge w:val="continue"/>
          </w:tcPr>
          <w:p>
            <w:pPr>
              <w:spacing w:after="0"/>
              <w:rPr>
                <w:sz w:val="13"/>
                <w:szCs w:val="13"/>
                <w:color w:val="auto"/>
              </w:rPr>
            </w:pPr>
          </w:p>
        </w:tc>
        <w:tc>
          <w:tcPr>
            <w:tcW w:w="360" w:type="dxa"/>
            <w:vAlign w:val="bottom"/>
            <w:tcBorders>
              <w:right w:val="single" w:sz="8" w:color="auto"/>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600" w:type="dxa"/>
            <w:vAlign w:val="bottom"/>
            <w:tcBorders>
              <w:right w:val="single" w:sz="8" w:color="auto"/>
            </w:tcBorders>
            <w:gridSpan w:val="2"/>
            <w:vMerge w:val="continue"/>
          </w:tcPr>
          <w:p>
            <w:pPr>
              <w:spacing w:after="0"/>
              <w:rPr>
                <w:sz w:val="13"/>
                <w:szCs w:val="13"/>
                <w:color w:val="auto"/>
              </w:rPr>
            </w:pPr>
          </w:p>
        </w:tc>
        <w:tc>
          <w:tcPr>
            <w:tcW w:w="620" w:type="dxa"/>
            <w:vAlign w:val="bottom"/>
            <w:tcBorders>
              <w:right w:val="single" w:sz="8" w:color="auto"/>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c>
          <w:tcPr>
            <w:tcW w:w="260" w:type="dxa"/>
            <w:vAlign w:val="bottom"/>
            <w:vMerge w:val="continue"/>
          </w:tcPr>
          <w:p>
            <w:pPr>
              <w:spacing w:after="0"/>
              <w:rPr>
                <w:sz w:val="13"/>
                <w:szCs w:val="13"/>
                <w:color w:val="auto"/>
              </w:rPr>
            </w:pPr>
          </w:p>
        </w:tc>
        <w:tc>
          <w:tcPr>
            <w:tcW w:w="18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20" w:type="dxa"/>
            <w:vAlign w:val="bottom"/>
            <w:gridSpan w:val="4"/>
          </w:tcPr>
          <w:p>
            <w:pPr>
              <w:spacing w:after="0"/>
              <w:rPr>
                <w:sz w:val="13"/>
                <w:szCs w:val="13"/>
                <w:color w:val="auto"/>
              </w:rPr>
            </w:pPr>
          </w:p>
        </w:tc>
        <w:tc>
          <w:tcPr>
            <w:tcW w:w="420" w:type="dxa"/>
            <w:vAlign w:val="bottom"/>
            <w:tcBorders>
              <w:right w:val="single" w:sz="8" w:color="auto"/>
            </w:tcBorders>
            <w:gridSpan w:val="2"/>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auto"/>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Asset</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impairment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shd w:val="clear" w:color="auto" w:fill="CCEEFF"/>
          </w:tcPr>
          <w:p>
            <w:pPr>
              <w:spacing w:after="0"/>
              <w:rPr>
                <w:sz w:val="10"/>
                <w:szCs w:val="10"/>
                <w:color w:val="auto"/>
              </w:rPr>
            </w:pPr>
          </w:p>
        </w:tc>
        <w:tc>
          <w:tcPr>
            <w:tcW w:w="460" w:type="dxa"/>
            <w:vAlign w:val="bottom"/>
            <w:tcBorders>
              <w:right w:val="single" w:sz="8" w:color="auto"/>
            </w:tcBorders>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357</w:t>
            </w: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357</w:t>
            </w:r>
          </w:p>
        </w:tc>
        <w:tc>
          <w:tcPr>
            <w:tcW w:w="220" w:type="dxa"/>
            <w:vAlign w:val="bottom"/>
            <w:gridSpan w:val="4"/>
            <w:shd w:val="clear" w:color="auto" w:fill="CCEEFF"/>
          </w:tcPr>
          <w:p>
            <w:pPr>
              <w:spacing w:after="0"/>
              <w:rPr>
                <w:sz w:val="10"/>
                <w:szCs w:val="10"/>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357</w:t>
            </w:r>
          </w:p>
        </w:tc>
        <w:tc>
          <w:tcPr>
            <w:tcW w:w="20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357</w:t>
            </w: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charges (5)</w:t>
            </w:r>
          </w:p>
        </w:tc>
        <w:tc>
          <w:tcPr>
            <w:tcW w:w="480" w:type="dxa"/>
            <w:vAlign w:val="bottom"/>
            <w:gridSpan w:val="2"/>
            <w:vMerge w:val="continue"/>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60" w:type="dxa"/>
            <w:vAlign w:val="bottom"/>
            <w:gridSpan w:val="4"/>
            <w:shd w:val="clear" w:color="auto" w:fill="CCEEFF"/>
          </w:tcPr>
          <w:p>
            <w:pPr>
              <w:spacing w:after="0"/>
              <w:rPr>
                <w:sz w:val="14"/>
                <w:szCs w:val="14"/>
                <w:color w:val="auto"/>
              </w:rPr>
            </w:pPr>
          </w:p>
        </w:tc>
        <w:tc>
          <w:tcPr>
            <w:tcW w:w="460" w:type="dxa"/>
            <w:vAlign w:val="bottom"/>
            <w:tcBorders>
              <w:right w:val="single" w:sz="8" w:color="auto"/>
            </w:tcBorders>
            <w:gridSpan w:val="2"/>
            <w:vMerge w:val="continue"/>
            <w:shd w:val="clear" w:color="auto" w:fill="CCEEFF"/>
          </w:tcPr>
          <w:p>
            <w:pPr>
              <w:spacing w:after="0"/>
              <w:rPr>
                <w:sz w:val="14"/>
                <w:szCs w:val="14"/>
                <w:color w:val="auto"/>
              </w:rPr>
            </w:pP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gridSpan w:val="2"/>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160" w:type="dxa"/>
            <w:vAlign w:val="bottom"/>
            <w:tcBorders>
              <w:right w:val="single" w:sz="8" w:color="CCEEFF"/>
            </w:tcBorders>
            <w:gridSpan w:val="3"/>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8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20" w:type="dxa"/>
            <w:vAlign w:val="bottom"/>
            <w:gridSpan w:val="4"/>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140" w:type="dxa"/>
            <w:vAlign w:val="bottom"/>
            <w:gridSpan w:val="3"/>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Borders>
              <w:right w:val="single" w:sz="8" w:color="auto"/>
            </w:tcBorders>
            <w:gridSpan w:val="14"/>
          </w:tcPr>
          <w:p>
            <w:pPr>
              <w:ind w:left="120"/>
              <w:spacing w:after="0" w:line="119" w:lineRule="exact"/>
              <w:rPr>
                <w:sz w:val="20"/>
                <w:szCs w:val="20"/>
                <w:color w:val="auto"/>
              </w:rPr>
            </w:pPr>
            <w:r>
              <w:rPr>
                <w:rFonts w:ascii="Times New Roman" w:cs="Times New Roman" w:eastAsia="Times New Roman" w:hAnsi="Times New Roman"/>
                <w:sz w:val="12"/>
                <w:szCs w:val="12"/>
                <w:color w:val="auto"/>
              </w:rPr>
              <w:t>Fair value of</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auto"/>
            </w:tcBorders>
            <w:gridSpan w:val="14"/>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contingent</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2"/>
                <w:szCs w:val="12"/>
                <w:color w:val="auto"/>
              </w:rPr>
              <w:t>consideration</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tcPr>
          <w:p>
            <w:pPr>
              <w:spacing w:after="0"/>
              <w:rPr>
                <w:sz w:val="10"/>
                <w:szCs w:val="10"/>
                <w:color w:val="auto"/>
              </w:rPr>
            </w:pPr>
          </w:p>
        </w:tc>
        <w:tc>
          <w:tcPr>
            <w:tcW w:w="460" w:type="dxa"/>
            <w:vAlign w:val="bottom"/>
            <w:tcBorders>
              <w:right w:val="single" w:sz="8" w:color="auto"/>
            </w:tcBorders>
            <w:gridSpan w:val="2"/>
            <w:vMerge w:val="restart"/>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auto"/>
            </w:tcBorders>
            <w:gridSpan w:val="3"/>
          </w:tcPr>
          <w:p>
            <w:pPr>
              <w:spacing w:after="0"/>
              <w:rPr>
                <w:sz w:val="10"/>
                <w:szCs w:val="10"/>
                <w:color w:val="auto"/>
              </w:rPr>
            </w:pPr>
          </w:p>
        </w:tc>
        <w:tc>
          <w:tcPr>
            <w:tcW w:w="300" w:type="dxa"/>
            <w:vAlign w:val="bottom"/>
            <w:gridSpan w:val="2"/>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200" w:type="dxa"/>
            <w:vAlign w:val="bottom"/>
            <w:gridSpan w:val="2"/>
          </w:tcPr>
          <w:p>
            <w:pPr>
              <w:spacing w:after="0"/>
              <w:rPr>
                <w:sz w:val="10"/>
                <w:szCs w:val="10"/>
                <w:color w:val="auto"/>
              </w:rPr>
            </w:pPr>
          </w:p>
        </w:tc>
        <w:tc>
          <w:tcPr>
            <w:tcW w:w="600" w:type="dxa"/>
            <w:vAlign w:val="bottom"/>
            <w:tcBorders>
              <w:right w:val="single" w:sz="8" w:color="auto"/>
            </w:tcBorders>
            <w:gridSpan w:val="2"/>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148</w:t>
            </w:r>
          </w:p>
        </w:tc>
        <w:tc>
          <w:tcPr>
            <w:tcW w:w="620" w:type="dxa"/>
            <w:vAlign w:val="bottom"/>
            <w:tcBorders>
              <w:right w:val="single" w:sz="8" w:color="auto"/>
            </w:tcBorders>
            <w:gridSpan w:val="4"/>
          </w:tcPr>
          <w:p>
            <w:pPr>
              <w:spacing w:after="0"/>
              <w:rPr>
                <w:sz w:val="10"/>
                <w:szCs w:val="10"/>
                <w:color w:val="auto"/>
              </w:rPr>
            </w:pPr>
          </w:p>
        </w:tc>
        <w:tc>
          <w:tcPr>
            <w:tcW w:w="300" w:type="dxa"/>
            <w:vAlign w:val="bottom"/>
            <w:gridSpan w:val="4"/>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3"/>
          </w:tcPr>
          <w:p>
            <w:pPr>
              <w:spacing w:after="0"/>
              <w:rPr>
                <w:sz w:val="10"/>
                <w:szCs w:val="10"/>
                <w:color w:val="auto"/>
              </w:rPr>
            </w:pPr>
          </w:p>
        </w:tc>
        <w:tc>
          <w:tcPr>
            <w:tcW w:w="6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148</w:t>
            </w:r>
          </w:p>
        </w:tc>
        <w:tc>
          <w:tcPr>
            <w:tcW w:w="220" w:type="dxa"/>
            <w:vAlign w:val="bottom"/>
            <w:gridSpan w:val="4"/>
          </w:tcPr>
          <w:p>
            <w:pPr>
              <w:spacing w:after="0"/>
              <w:rPr>
                <w:sz w:val="10"/>
                <w:szCs w:val="10"/>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gridSpan w:val="2"/>
          </w:tcPr>
          <w:p>
            <w:pPr>
              <w:spacing w:after="0"/>
              <w:rPr>
                <w:sz w:val="10"/>
                <w:szCs w:val="10"/>
                <w:color w:val="auto"/>
              </w:rPr>
            </w:pPr>
          </w:p>
        </w:tc>
        <w:tc>
          <w:tcPr>
            <w:tcW w:w="260" w:type="dxa"/>
            <w:vAlign w:val="bottom"/>
            <w:gridSpan w:val="5"/>
          </w:tcPr>
          <w:p>
            <w:pPr>
              <w:spacing w:after="0"/>
              <w:rPr>
                <w:sz w:val="10"/>
                <w:szCs w:val="10"/>
                <w:color w:val="auto"/>
              </w:rPr>
            </w:pP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148</w:t>
            </w:r>
          </w:p>
        </w:tc>
        <w:tc>
          <w:tcPr>
            <w:tcW w:w="200" w:type="dxa"/>
            <w:vAlign w:val="bottom"/>
            <w:gridSpan w:val="3"/>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148</w:t>
            </w: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480" w:type="dxa"/>
            <w:vAlign w:val="bottom"/>
            <w:gridSpan w:val="2"/>
            <w:vMerge w:val="continue"/>
          </w:tcPr>
          <w:p>
            <w:pPr>
              <w:spacing w:after="0"/>
              <w:rPr>
                <w:sz w:val="13"/>
                <w:szCs w:val="13"/>
                <w:color w:val="auto"/>
              </w:rPr>
            </w:pPr>
          </w:p>
        </w:tc>
        <w:tc>
          <w:tcPr>
            <w:tcW w:w="120" w:type="dxa"/>
            <w:vAlign w:val="bottom"/>
            <w:gridSpan w:val="2"/>
          </w:tcPr>
          <w:p>
            <w:pPr>
              <w:spacing w:after="0"/>
              <w:rPr>
                <w:sz w:val="13"/>
                <w:szCs w:val="13"/>
                <w:color w:val="auto"/>
              </w:rPr>
            </w:pPr>
          </w:p>
        </w:tc>
        <w:tc>
          <w:tcPr>
            <w:tcW w:w="360" w:type="dxa"/>
            <w:vAlign w:val="bottom"/>
            <w:vMerge w:val="continue"/>
          </w:tcPr>
          <w:p>
            <w:pPr>
              <w:spacing w:after="0"/>
              <w:rPr>
                <w:sz w:val="13"/>
                <w:szCs w:val="13"/>
                <w:color w:val="auto"/>
              </w:rPr>
            </w:pPr>
          </w:p>
        </w:tc>
        <w:tc>
          <w:tcPr>
            <w:tcW w:w="260" w:type="dxa"/>
            <w:vAlign w:val="bottom"/>
            <w:gridSpan w:val="4"/>
          </w:tcPr>
          <w:p>
            <w:pPr>
              <w:spacing w:after="0"/>
              <w:rPr>
                <w:sz w:val="13"/>
                <w:szCs w:val="13"/>
                <w:color w:val="auto"/>
              </w:rPr>
            </w:pPr>
          </w:p>
        </w:tc>
        <w:tc>
          <w:tcPr>
            <w:tcW w:w="460" w:type="dxa"/>
            <w:vAlign w:val="bottom"/>
            <w:tcBorders>
              <w:right w:val="single" w:sz="8" w:color="auto"/>
            </w:tcBorders>
            <w:gridSpan w:val="2"/>
            <w:vMerge w:val="continue"/>
          </w:tcPr>
          <w:p>
            <w:pPr>
              <w:spacing w:after="0"/>
              <w:rPr>
                <w:sz w:val="13"/>
                <w:szCs w:val="13"/>
                <w:color w:val="auto"/>
              </w:rPr>
            </w:pPr>
          </w:p>
        </w:tc>
        <w:tc>
          <w:tcPr>
            <w:tcW w:w="360" w:type="dxa"/>
            <w:vAlign w:val="bottom"/>
            <w:tcBorders>
              <w:right w:val="single" w:sz="8" w:color="auto"/>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600" w:type="dxa"/>
            <w:vAlign w:val="bottom"/>
            <w:tcBorders>
              <w:right w:val="single" w:sz="8" w:color="auto"/>
            </w:tcBorders>
            <w:gridSpan w:val="2"/>
            <w:vMerge w:val="continue"/>
          </w:tcPr>
          <w:p>
            <w:pPr>
              <w:spacing w:after="0"/>
              <w:rPr>
                <w:sz w:val="13"/>
                <w:szCs w:val="13"/>
                <w:color w:val="auto"/>
              </w:rPr>
            </w:pPr>
          </w:p>
        </w:tc>
        <w:tc>
          <w:tcPr>
            <w:tcW w:w="620" w:type="dxa"/>
            <w:vAlign w:val="bottom"/>
            <w:tcBorders>
              <w:right w:val="single" w:sz="8" w:color="auto"/>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c>
          <w:tcPr>
            <w:tcW w:w="260" w:type="dxa"/>
            <w:vAlign w:val="bottom"/>
            <w:vMerge w:val="continue"/>
          </w:tcPr>
          <w:p>
            <w:pPr>
              <w:spacing w:after="0"/>
              <w:rPr>
                <w:sz w:val="13"/>
                <w:szCs w:val="13"/>
                <w:color w:val="auto"/>
              </w:rPr>
            </w:pPr>
          </w:p>
        </w:tc>
        <w:tc>
          <w:tcPr>
            <w:tcW w:w="18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20" w:type="dxa"/>
            <w:vAlign w:val="bottom"/>
            <w:gridSpan w:val="4"/>
          </w:tcPr>
          <w:p>
            <w:pPr>
              <w:spacing w:after="0"/>
              <w:rPr>
                <w:sz w:val="13"/>
                <w:szCs w:val="13"/>
                <w:color w:val="auto"/>
              </w:rPr>
            </w:pPr>
          </w:p>
        </w:tc>
        <w:tc>
          <w:tcPr>
            <w:tcW w:w="420" w:type="dxa"/>
            <w:vAlign w:val="bottom"/>
            <w:tcBorders>
              <w:right w:val="single" w:sz="8" w:color="auto"/>
            </w:tcBorders>
            <w:gridSpan w:val="2"/>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gridSpan w:val="3"/>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980" w:type="dxa"/>
            <w:vAlign w:val="bottom"/>
            <w:gridSpan w:val="3"/>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Reorganization</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shd w:val="clear" w:color="auto" w:fill="CCEEFF"/>
          </w:tcPr>
          <w:p>
            <w:pPr>
              <w:spacing w:after="0"/>
              <w:rPr>
                <w:sz w:val="10"/>
                <w:szCs w:val="10"/>
                <w:color w:val="auto"/>
              </w:rPr>
            </w:pPr>
          </w:p>
        </w:tc>
        <w:tc>
          <w:tcPr>
            <w:tcW w:w="460" w:type="dxa"/>
            <w:vAlign w:val="bottom"/>
            <w:tcBorders>
              <w:right w:val="single" w:sz="8" w:color="auto"/>
            </w:tcBorders>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(942,382)</w:t>
            </w:r>
          </w:p>
        </w:tc>
        <w:tc>
          <w:tcPr>
            <w:tcW w:w="18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942,382</w:t>
            </w:r>
          </w:p>
        </w:tc>
        <w:tc>
          <w:tcPr>
            <w:tcW w:w="220" w:type="dxa"/>
            <w:vAlign w:val="bottom"/>
            <w:gridSpan w:val="4"/>
            <w:shd w:val="clear" w:color="auto" w:fill="CCEEFF"/>
          </w:tcPr>
          <w:p>
            <w:pPr>
              <w:spacing w:after="0"/>
              <w:rPr>
                <w:sz w:val="10"/>
                <w:szCs w:val="10"/>
                <w:color w:val="auto"/>
              </w:rPr>
            </w:pPr>
          </w:p>
        </w:tc>
        <w:tc>
          <w:tcPr>
            <w:tcW w:w="4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942,382</w:t>
            </w:r>
          </w:p>
        </w:tc>
        <w:tc>
          <w:tcPr>
            <w:tcW w:w="20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942,382</w:t>
            </w: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items, net (8)</w:t>
            </w:r>
          </w:p>
        </w:tc>
        <w:tc>
          <w:tcPr>
            <w:tcW w:w="480" w:type="dxa"/>
            <w:vAlign w:val="bottom"/>
            <w:gridSpan w:val="2"/>
            <w:vMerge w:val="continue"/>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60" w:type="dxa"/>
            <w:vAlign w:val="bottom"/>
            <w:gridSpan w:val="4"/>
            <w:shd w:val="clear" w:color="auto" w:fill="CCEEFF"/>
          </w:tcPr>
          <w:p>
            <w:pPr>
              <w:spacing w:after="0"/>
              <w:rPr>
                <w:sz w:val="14"/>
                <w:szCs w:val="14"/>
                <w:color w:val="auto"/>
              </w:rPr>
            </w:pPr>
          </w:p>
        </w:tc>
        <w:tc>
          <w:tcPr>
            <w:tcW w:w="460" w:type="dxa"/>
            <w:vAlign w:val="bottom"/>
            <w:tcBorders>
              <w:right w:val="single" w:sz="8" w:color="auto"/>
            </w:tcBorders>
            <w:gridSpan w:val="2"/>
            <w:vMerge w:val="continue"/>
            <w:shd w:val="clear" w:color="auto" w:fill="CCEEFF"/>
          </w:tcPr>
          <w:p>
            <w:pPr>
              <w:spacing w:after="0"/>
              <w:rPr>
                <w:sz w:val="14"/>
                <w:szCs w:val="14"/>
                <w:color w:val="auto"/>
              </w:rPr>
            </w:pP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gridSpan w:val="2"/>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160" w:type="dxa"/>
            <w:vAlign w:val="bottom"/>
            <w:tcBorders>
              <w:right w:val="single" w:sz="8" w:color="CCEEFF"/>
            </w:tcBorders>
            <w:gridSpan w:val="3"/>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8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20" w:type="dxa"/>
            <w:vAlign w:val="bottom"/>
            <w:gridSpan w:val="4"/>
            <w:shd w:val="clear" w:color="auto" w:fill="CCEEFF"/>
          </w:tcPr>
          <w:p>
            <w:pPr>
              <w:spacing w:after="0"/>
              <w:rPr>
                <w:sz w:val="14"/>
                <w:szCs w:val="14"/>
                <w:color w:val="auto"/>
              </w:rPr>
            </w:pPr>
          </w:p>
        </w:tc>
        <w:tc>
          <w:tcPr>
            <w:tcW w:w="42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140" w:type="dxa"/>
            <w:vAlign w:val="bottom"/>
            <w:gridSpan w:val="3"/>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(9)</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375</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(2,533)</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2"/>
                <w:szCs w:val="12"/>
                <w:color w:val="auto"/>
              </w:rPr>
              <w:t>2,908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6,549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(3,641)</w:t>
            </w: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auto"/>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Tax</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80" w:type="dxa"/>
            <w:vAlign w:val="bottom"/>
            <w:tcBorders>
              <w:right w:val="single" w:sz="8" w:color="auto"/>
            </w:tcBorders>
            <w:gridSpan w:val="3"/>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840" w:type="dxa"/>
            <w:vAlign w:val="bottom"/>
            <w:tcBorders>
              <w:right w:val="single" w:sz="8" w:color="auto"/>
            </w:tcBorders>
            <w:gridSpan w:val="14"/>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adjustments</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shd w:val="clear" w:color="auto" w:fill="CCEEFF"/>
          </w:tcPr>
          <w:p>
            <w:pPr>
              <w:spacing w:after="0"/>
              <w:rPr>
                <w:sz w:val="10"/>
                <w:szCs w:val="10"/>
                <w:color w:val="auto"/>
              </w:rPr>
            </w:pPr>
          </w:p>
        </w:tc>
        <w:tc>
          <w:tcPr>
            <w:tcW w:w="460" w:type="dxa"/>
            <w:vAlign w:val="bottom"/>
            <w:tcBorders>
              <w:right w:val="single" w:sz="8" w:color="auto"/>
            </w:tcBorders>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CEEFF"/>
            </w:tcBorders>
            <w:gridSpan w:val="2"/>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spacing w:after="0"/>
              <w:rPr>
                <w:sz w:val="10"/>
                <w:szCs w:val="10"/>
                <w:color w:val="auto"/>
              </w:rPr>
            </w:pPr>
          </w:p>
        </w:tc>
        <w:tc>
          <w:tcPr>
            <w:tcW w:w="400" w:type="dxa"/>
            <w:vAlign w:val="bottom"/>
            <w:tcBorders>
              <w:right w:val="single" w:sz="8" w:color="auto"/>
            </w:tcBorders>
            <w:shd w:val="clear" w:color="auto" w:fill="CCEEFF"/>
          </w:tcPr>
          <w:p>
            <w:pPr>
              <w:spacing w:after="0"/>
              <w:rPr>
                <w:sz w:val="10"/>
                <w:szCs w:val="10"/>
                <w:color w:val="auto"/>
              </w:rPr>
            </w:pPr>
          </w:p>
        </w:tc>
        <w:tc>
          <w:tcPr>
            <w:tcW w:w="2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gridSpan w:val="2"/>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7"/>
              </w:rPr>
              <w:t>(24,807)</w:t>
            </w:r>
          </w:p>
        </w:tc>
        <w:tc>
          <w:tcPr>
            <w:tcW w:w="1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120" w:type="dxa"/>
            <w:vAlign w:val="bottom"/>
            <w:tcBorders>
              <w:right w:val="single" w:sz="8" w:color="CCEEFF"/>
            </w:tcBorders>
            <w:gridSpan w:val="2"/>
            <w:shd w:val="clear" w:color="auto" w:fill="CCEEFF"/>
          </w:tcPr>
          <w:p>
            <w:pPr>
              <w:spacing w:after="0"/>
              <w:rPr>
                <w:sz w:val="10"/>
                <w:szCs w:val="10"/>
                <w:color w:val="auto"/>
              </w:rPr>
            </w:pPr>
          </w:p>
        </w:tc>
        <w:tc>
          <w:tcPr>
            <w:tcW w:w="140" w:type="dxa"/>
            <w:vAlign w:val="bottom"/>
            <w:gridSpan w:val="3"/>
            <w:shd w:val="clear" w:color="auto" w:fill="CCEEFF"/>
          </w:tcPr>
          <w:p>
            <w:pPr>
              <w:spacing w:after="0"/>
              <w:rPr>
                <w:sz w:val="10"/>
                <w:szCs w:val="10"/>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24,807</w:t>
            </w:r>
          </w:p>
        </w:tc>
        <w:tc>
          <w:tcPr>
            <w:tcW w:w="200" w:type="dxa"/>
            <w:vAlign w:val="bottom"/>
            <w:gridSpan w:val="3"/>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24,807</w:t>
            </w: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480" w:type="dxa"/>
            <w:vAlign w:val="bottom"/>
            <w:gridSpan w:val="2"/>
            <w:vMerge w:val="continue"/>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60" w:type="dxa"/>
            <w:vAlign w:val="bottom"/>
            <w:gridSpan w:val="4"/>
            <w:shd w:val="clear" w:color="auto" w:fill="CCEEFF"/>
          </w:tcPr>
          <w:p>
            <w:pPr>
              <w:spacing w:after="0"/>
              <w:rPr>
                <w:sz w:val="14"/>
                <w:szCs w:val="14"/>
                <w:color w:val="auto"/>
              </w:rPr>
            </w:pPr>
          </w:p>
        </w:tc>
        <w:tc>
          <w:tcPr>
            <w:tcW w:w="460" w:type="dxa"/>
            <w:vAlign w:val="bottom"/>
            <w:tcBorders>
              <w:right w:val="single" w:sz="8" w:color="auto"/>
            </w:tcBorders>
            <w:gridSpan w:val="2"/>
            <w:vMerge w:val="continue"/>
            <w:shd w:val="clear" w:color="auto" w:fill="CCEEFF"/>
          </w:tcPr>
          <w:p>
            <w:pPr>
              <w:spacing w:after="0"/>
              <w:rPr>
                <w:sz w:val="14"/>
                <w:szCs w:val="14"/>
                <w:color w:val="auto"/>
              </w:rPr>
            </w:pP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300" w:type="dxa"/>
            <w:vAlign w:val="bottom"/>
            <w:tcBorders>
              <w:right w:val="single" w:sz="8" w:color="CCEEFF"/>
            </w:tcBorders>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20" w:type="dxa"/>
            <w:vAlign w:val="bottom"/>
            <w:tcBorders>
              <w:right w:val="single" w:sz="8" w:color="CCEEFF"/>
            </w:tcBorders>
            <w:gridSpan w:val="2"/>
            <w:shd w:val="clear" w:color="auto" w:fill="CCEEFF"/>
          </w:tcPr>
          <w:p>
            <w:pPr>
              <w:spacing w:after="0"/>
              <w:rPr>
                <w:sz w:val="14"/>
                <w:szCs w:val="14"/>
                <w:color w:val="auto"/>
              </w:rPr>
            </w:pPr>
          </w:p>
        </w:tc>
        <w:tc>
          <w:tcPr>
            <w:tcW w:w="400" w:type="dxa"/>
            <w:vAlign w:val="bottom"/>
            <w:tcBorders>
              <w:right w:val="single" w:sz="8" w:color="auto"/>
            </w:tcBorders>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160" w:type="dxa"/>
            <w:vAlign w:val="bottom"/>
            <w:tcBorders>
              <w:right w:val="single" w:sz="8" w:color="CCEEFF"/>
            </w:tcBorders>
            <w:gridSpan w:val="3"/>
            <w:shd w:val="clear" w:color="auto" w:fill="CCEEFF"/>
          </w:tcPr>
          <w:p>
            <w:pPr>
              <w:spacing w:after="0"/>
              <w:rPr>
                <w:sz w:val="14"/>
                <w:szCs w:val="14"/>
                <w:color w:val="auto"/>
              </w:rPr>
            </w:pPr>
          </w:p>
        </w:tc>
        <w:tc>
          <w:tcPr>
            <w:tcW w:w="4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60" w:type="dxa"/>
            <w:vAlign w:val="bottom"/>
            <w:gridSpan w:val="4"/>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8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120" w:type="dxa"/>
            <w:vAlign w:val="bottom"/>
            <w:tcBorders>
              <w:right w:val="single" w:sz="8" w:color="CCEEFF"/>
            </w:tcBorders>
            <w:gridSpan w:val="2"/>
            <w:shd w:val="clear" w:color="auto" w:fill="CCEEFF"/>
          </w:tcPr>
          <w:p>
            <w:pPr>
              <w:spacing w:after="0"/>
              <w:rPr>
                <w:sz w:val="14"/>
                <w:szCs w:val="14"/>
                <w:color w:val="auto"/>
              </w:rPr>
            </w:pPr>
          </w:p>
        </w:tc>
        <w:tc>
          <w:tcPr>
            <w:tcW w:w="140" w:type="dxa"/>
            <w:vAlign w:val="bottom"/>
            <w:gridSpan w:val="3"/>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tcBorders>
              <w:right w:val="single" w:sz="8" w:color="auto"/>
            </w:tcBorders>
            <w:gridSpan w:val="14"/>
          </w:tcPr>
          <w:p>
            <w:pPr>
              <w:ind w:left="120"/>
              <w:spacing w:after="0" w:line="119" w:lineRule="exact"/>
              <w:rPr>
                <w:sz w:val="20"/>
                <w:szCs w:val="20"/>
                <w:color w:val="auto"/>
              </w:rPr>
            </w:pPr>
            <w:r>
              <w:rPr>
                <w:rFonts w:ascii="Times New Roman" w:cs="Times New Roman" w:eastAsia="Times New Roman" w:hAnsi="Times New Roman"/>
                <w:sz w:val="12"/>
                <w:szCs w:val="12"/>
                <w:color w:val="auto"/>
              </w:rPr>
              <w:t>Discontinued</w:t>
            </w:r>
          </w:p>
        </w:tc>
        <w:tc>
          <w:tcPr>
            <w:tcW w:w="360" w:type="dxa"/>
            <w:vAlign w:val="bottom"/>
            <w:tcBorders>
              <w:right w:val="single" w:sz="8" w:color="auto"/>
            </w:tcBorders>
            <w:gridSpan w:val="3"/>
          </w:tcPr>
          <w:p>
            <w:pPr>
              <w:spacing w:after="0"/>
              <w:rPr>
                <w:sz w:val="10"/>
                <w:szCs w:val="10"/>
                <w:color w:val="auto"/>
              </w:rPr>
            </w:pPr>
          </w:p>
        </w:tc>
        <w:tc>
          <w:tcPr>
            <w:tcW w:w="780" w:type="dxa"/>
            <w:vAlign w:val="bottom"/>
            <w:tcBorders>
              <w:right w:val="single" w:sz="8" w:color="auto"/>
            </w:tcBorders>
            <w:gridSpan w:val="5"/>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800" w:type="dxa"/>
            <w:vAlign w:val="bottom"/>
            <w:tcBorders>
              <w:right w:val="single" w:sz="8" w:color="auto"/>
            </w:tcBorders>
            <w:gridSpan w:val="4"/>
          </w:tcPr>
          <w:p>
            <w:pPr>
              <w:spacing w:after="0"/>
              <w:rPr>
                <w:sz w:val="10"/>
                <w:szCs w:val="10"/>
                <w:color w:val="auto"/>
              </w:rPr>
            </w:pPr>
          </w:p>
        </w:tc>
        <w:tc>
          <w:tcPr>
            <w:tcW w:w="620" w:type="dxa"/>
            <w:vAlign w:val="bottom"/>
            <w:tcBorders>
              <w:right w:val="single" w:sz="8" w:color="auto"/>
            </w:tcBorders>
            <w:gridSpan w:val="4"/>
          </w:tcPr>
          <w:p>
            <w:pPr>
              <w:spacing w:after="0"/>
              <w:rPr>
                <w:sz w:val="10"/>
                <w:szCs w:val="10"/>
                <w:color w:val="auto"/>
              </w:rPr>
            </w:pPr>
          </w:p>
        </w:tc>
        <w:tc>
          <w:tcPr>
            <w:tcW w:w="1980" w:type="dxa"/>
            <w:vAlign w:val="bottom"/>
            <w:tcBorders>
              <w:right w:val="single" w:sz="8" w:color="auto"/>
            </w:tcBorders>
            <w:gridSpan w:val="16"/>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2300" w:type="dxa"/>
            <w:vAlign w:val="bottom"/>
            <w:tcBorders>
              <w:right w:val="single" w:sz="8" w:color="auto"/>
            </w:tcBorders>
            <w:gridSpan w:val="14"/>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2"/>
                <w:szCs w:val="12"/>
                <w:color w:val="auto"/>
              </w:rPr>
              <w:t>operations, net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tcPr>
          <w:p>
            <w:pPr>
              <w:spacing w:after="0"/>
              <w:rPr>
                <w:sz w:val="10"/>
                <w:szCs w:val="10"/>
                <w:color w:val="auto"/>
              </w:rPr>
            </w:pPr>
          </w:p>
        </w:tc>
        <w:tc>
          <w:tcPr>
            <w:tcW w:w="460" w:type="dxa"/>
            <w:vAlign w:val="bottom"/>
            <w:tcBorders>
              <w:right w:val="single" w:sz="8" w:color="auto"/>
            </w:tcBorders>
            <w:gridSpan w:val="2"/>
            <w:vMerge w:val="restart"/>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right w:val="single" w:sz="8" w:color="auto"/>
            </w:tcBorders>
            <w:gridSpan w:val="3"/>
          </w:tcPr>
          <w:p>
            <w:pPr>
              <w:spacing w:after="0"/>
              <w:rPr>
                <w:sz w:val="10"/>
                <w:szCs w:val="10"/>
                <w:color w:val="auto"/>
              </w:rPr>
            </w:pPr>
          </w:p>
        </w:tc>
        <w:tc>
          <w:tcPr>
            <w:tcW w:w="340" w:type="dxa"/>
            <w:vAlign w:val="bottom"/>
            <w:gridSpan w:val="3"/>
          </w:tcPr>
          <w:p>
            <w:pPr>
              <w:spacing w:after="0"/>
              <w:rPr>
                <w:sz w:val="10"/>
                <w:szCs w:val="10"/>
                <w:color w:val="auto"/>
              </w:rPr>
            </w:pPr>
          </w:p>
        </w:tc>
        <w:tc>
          <w:tcPr>
            <w:tcW w:w="34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gridSpan w:val="3"/>
          </w:tcPr>
          <w:p>
            <w:pPr>
              <w:spacing w:after="0"/>
              <w:rPr>
                <w:sz w:val="10"/>
                <w:szCs w:val="10"/>
                <w:color w:val="auto"/>
              </w:rPr>
            </w:pPr>
          </w:p>
        </w:tc>
        <w:tc>
          <w:tcPr>
            <w:tcW w:w="260" w:type="dxa"/>
            <w:vAlign w:val="bottom"/>
            <w:gridSpan w:val="3"/>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auto"/>
            </w:tcBorders>
            <w:gridSpan w:val="4"/>
          </w:tcPr>
          <w:p>
            <w:pPr>
              <w:spacing w:after="0"/>
              <w:rPr>
                <w:sz w:val="10"/>
                <w:szCs w:val="10"/>
                <w:color w:val="auto"/>
              </w:rPr>
            </w:pPr>
          </w:p>
        </w:tc>
        <w:tc>
          <w:tcPr>
            <w:tcW w:w="300" w:type="dxa"/>
            <w:vAlign w:val="bottom"/>
            <w:gridSpan w:val="4"/>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4"/>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3"/>
          </w:tcPr>
          <w:p>
            <w:pPr>
              <w:spacing w:after="0"/>
              <w:rPr>
                <w:sz w:val="10"/>
                <w:szCs w:val="10"/>
                <w:color w:val="auto"/>
              </w:rPr>
            </w:pPr>
          </w:p>
        </w:tc>
        <w:tc>
          <w:tcPr>
            <w:tcW w:w="4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gridSpan w:val="2"/>
          </w:tcPr>
          <w:p>
            <w:pPr>
              <w:spacing w:after="0"/>
              <w:rPr>
                <w:sz w:val="10"/>
                <w:szCs w:val="10"/>
                <w:color w:val="auto"/>
              </w:rPr>
            </w:pPr>
          </w:p>
        </w:tc>
        <w:tc>
          <w:tcPr>
            <w:tcW w:w="260" w:type="dxa"/>
            <w:vAlign w:val="bottom"/>
            <w:gridSpan w:val="5"/>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10"/>
                <w:szCs w:val="10"/>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445</w:t>
            </w:r>
          </w:p>
        </w:tc>
        <w:tc>
          <w:tcPr>
            <w:tcW w:w="200" w:type="dxa"/>
            <w:vAlign w:val="bottom"/>
            <w:gridSpan w:val="3"/>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445</w:t>
            </w: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of tax (10)</w:t>
            </w:r>
          </w:p>
        </w:tc>
        <w:tc>
          <w:tcPr>
            <w:tcW w:w="480" w:type="dxa"/>
            <w:vAlign w:val="bottom"/>
            <w:gridSpan w:val="2"/>
            <w:vMerge w:val="continue"/>
          </w:tcPr>
          <w:p>
            <w:pPr>
              <w:spacing w:after="0"/>
              <w:rPr>
                <w:sz w:val="13"/>
                <w:szCs w:val="13"/>
                <w:color w:val="auto"/>
              </w:rPr>
            </w:pPr>
          </w:p>
        </w:tc>
        <w:tc>
          <w:tcPr>
            <w:tcW w:w="120" w:type="dxa"/>
            <w:vAlign w:val="bottom"/>
            <w:gridSpan w:val="2"/>
          </w:tcPr>
          <w:p>
            <w:pPr>
              <w:spacing w:after="0"/>
              <w:rPr>
                <w:sz w:val="13"/>
                <w:szCs w:val="13"/>
                <w:color w:val="auto"/>
              </w:rPr>
            </w:pPr>
          </w:p>
        </w:tc>
        <w:tc>
          <w:tcPr>
            <w:tcW w:w="360" w:type="dxa"/>
            <w:vAlign w:val="bottom"/>
            <w:vMerge w:val="continue"/>
          </w:tcPr>
          <w:p>
            <w:pPr>
              <w:spacing w:after="0"/>
              <w:rPr>
                <w:sz w:val="13"/>
                <w:szCs w:val="13"/>
                <w:color w:val="auto"/>
              </w:rPr>
            </w:pPr>
          </w:p>
        </w:tc>
        <w:tc>
          <w:tcPr>
            <w:tcW w:w="260" w:type="dxa"/>
            <w:vAlign w:val="bottom"/>
            <w:gridSpan w:val="4"/>
          </w:tcPr>
          <w:p>
            <w:pPr>
              <w:spacing w:after="0"/>
              <w:rPr>
                <w:sz w:val="13"/>
                <w:szCs w:val="13"/>
                <w:color w:val="auto"/>
              </w:rPr>
            </w:pPr>
          </w:p>
        </w:tc>
        <w:tc>
          <w:tcPr>
            <w:tcW w:w="460" w:type="dxa"/>
            <w:vAlign w:val="bottom"/>
            <w:tcBorders>
              <w:right w:val="single" w:sz="8" w:color="auto"/>
            </w:tcBorders>
            <w:gridSpan w:val="2"/>
            <w:vMerge w:val="continue"/>
          </w:tcPr>
          <w:p>
            <w:pPr>
              <w:spacing w:after="0"/>
              <w:rPr>
                <w:sz w:val="13"/>
                <w:szCs w:val="13"/>
                <w:color w:val="auto"/>
              </w:rPr>
            </w:pPr>
          </w:p>
        </w:tc>
        <w:tc>
          <w:tcPr>
            <w:tcW w:w="360" w:type="dxa"/>
            <w:vAlign w:val="bottom"/>
            <w:tcBorders>
              <w:right w:val="single" w:sz="8" w:color="auto"/>
            </w:tcBorders>
            <w:gridSpan w:val="3"/>
          </w:tcPr>
          <w:p>
            <w:pPr>
              <w:spacing w:after="0"/>
              <w:rPr>
                <w:sz w:val="13"/>
                <w:szCs w:val="13"/>
                <w:color w:val="auto"/>
              </w:rPr>
            </w:pPr>
          </w:p>
        </w:tc>
        <w:tc>
          <w:tcPr>
            <w:tcW w:w="340" w:type="dxa"/>
            <w:vAlign w:val="bottom"/>
            <w:gridSpan w:val="3"/>
          </w:tcPr>
          <w:p>
            <w:pPr>
              <w:spacing w:after="0"/>
              <w:rPr>
                <w:sz w:val="13"/>
                <w:szCs w:val="13"/>
                <w:color w:val="auto"/>
              </w:rPr>
            </w:pPr>
          </w:p>
        </w:tc>
        <w:tc>
          <w:tcPr>
            <w:tcW w:w="3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gridSpan w:val="3"/>
          </w:tcPr>
          <w:p>
            <w:pPr>
              <w:spacing w:after="0"/>
              <w:rPr>
                <w:sz w:val="13"/>
                <w:szCs w:val="13"/>
                <w:color w:val="auto"/>
              </w:rPr>
            </w:pPr>
          </w:p>
        </w:tc>
        <w:tc>
          <w:tcPr>
            <w:tcW w:w="260" w:type="dxa"/>
            <w:vAlign w:val="bottom"/>
            <w:gridSpan w:val="3"/>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620" w:type="dxa"/>
            <w:vAlign w:val="bottom"/>
            <w:tcBorders>
              <w:right w:val="single" w:sz="8" w:color="auto"/>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c>
          <w:tcPr>
            <w:tcW w:w="260" w:type="dxa"/>
            <w:vAlign w:val="bottom"/>
            <w:vMerge w:val="continue"/>
          </w:tcPr>
          <w:p>
            <w:pPr>
              <w:spacing w:after="0"/>
              <w:rPr>
                <w:sz w:val="13"/>
                <w:szCs w:val="13"/>
                <w:color w:val="auto"/>
              </w:rPr>
            </w:pPr>
          </w:p>
        </w:tc>
        <w:tc>
          <w:tcPr>
            <w:tcW w:w="260" w:type="dxa"/>
            <w:vAlign w:val="bottom"/>
            <w:gridSpan w:val="4"/>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60" w:type="dxa"/>
            <w:vAlign w:val="bottom"/>
            <w:gridSpan w:val="3"/>
          </w:tcPr>
          <w:p>
            <w:pPr>
              <w:spacing w:after="0"/>
              <w:rPr>
                <w:sz w:val="13"/>
                <w:szCs w:val="13"/>
                <w:color w:val="auto"/>
              </w:rPr>
            </w:pPr>
          </w:p>
        </w:tc>
        <w:tc>
          <w:tcPr>
            <w:tcW w:w="420" w:type="dxa"/>
            <w:vAlign w:val="bottom"/>
            <w:tcBorders>
              <w:right w:val="single" w:sz="8" w:color="auto"/>
            </w:tcBorders>
            <w:gridSpan w:val="2"/>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40" w:type="dxa"/>
            <w:vAlign w:val="bottom"/>
            <w:gridSpan w:val="2"/>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gridSpan w:val="3"/>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86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w w:val="97"/>
              </w:rPr>
              <w:t>After considering</w:t>
            </w:r>
          </w:p>
        </w:tc>
        <w:tc>
          <w:tcPr>
            <w:tcW w:w="52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4"/>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gridSpan w:val="3"/>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18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right w:val="single" w:sz="8" w:color="CCEEFF"/>
            </w:tcBorders>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40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right w:val="single" w:sz="8" w:color="CCEEFF"/>
            </w:tcBorders>
            <w:shd w:val="clear" w:color="auto" w:fill="CCEEFF"/>
          </w:tcPr>
          <w:p>
            <w:pPr>
              <w:spacing w:after="0"/>
              <w:rPr>
                <w:sz w:val="9"/>
                <w:szCs w:val="9"/>
                <w:color w:val="auto"/>
              </w:rPr>
            </w:pPr>
          </w:p>
        </w:tc>
        <w:tc>
          <w:tcPr>
            <w:tcW w:w="6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160" w:type="dxa"/>
            <w:vAlign w:val="bottom"/>
            <w:tcBorders>
              <w:top w:val="single" w:sz="8" w:color="CCEEFF"/>
              <w:right w:val="single" w:sz="8" w:color="CCEEFF"/>
            </w:tcBorders>
            <w:gridSpan w:val="3"/>
            <w:shd w:val="clear" w:color="auto" w:fill="CCEEFF"/>
          </w:tcPr>
          <w:p>
            <w:pPr>
              <w:spacing w:after="0"/>
              <w:rPr>
                <w:sz w:val="9"/>
                <w:szCs w:val="9"/>
                <w:color w:val="auto"/>
              </w:rPr>
            </w:pPr>
          </w:p>
        </w:tc>
        <w:tc>
          <w:tcPr>
            <w:tcW w:w="46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right w:val="single" w:sz="8" w:color="CCEEFF"/>
            </w:tcBorders>
            <w:shd w:val="clear" w:color="auto" w:fill="CCEEFF"/>
          </w:tcPr>
          <w:p>
            <w:pPr>
              <w:spacing w:after="0"/>
              <w:rPr>
                <w:sz w:val="9"/>
                <w:szCs w:val="9"/>
                <w:color w:val="auto"/>
              </w:rPr>
            </w:pPr>
          </w:p>
        </w:tc>
        <w:tc>
          <w:tcPr>
            <w:tcW w:w="460" w:type="dxa"/>
            <w:vAlign w:val="bottom"/>
            <w:tcBorders>
              <w:top w:val="single" w:sz="8" w:color="auto"/>
            </w:tcBorders>
            <w:gridSpan w:val="4"/>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3"/>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4"/>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right w:val="single" w:sz="8" w:color="CCEEFF"/>
            </w:tcBorders>
            <w:shd w:val="clear" w:color="auto" w:fill="CCEEFF"/>
          </w:tcPr>
          <w:p>
            <w:pPr>
              <w:spacing w:after="0"/>
              <w:rPr>
                <w:sz w:val="9"/>
                <w:szCs w:val="9"/>
                <w:color w:val="auto"/>
              </w:rPr>
            </w:pPr>
          </w:p>
        </w:tc>
        <w:tc>
          <w:tcPr>
            <w:tcW w:w="620" w:type="dxa"/>
            <w:vAlign w:val="bottom"/>
            <w:tcBorders>
              <w:top w:val="single" w:sz="8" w:color="auto"/>
            </w:tcBorders>
            <w:gridSpan w:val="4"/>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3"/>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right w:val="single" w:sz="8" w:color="auto"/>
            </w:tcBorders>
            <w:gridSpan w:val="3"/>
            <w:shd w:val="clear" w:color="auto" w:fill="CCEEFF"/>
          </w:tcPr>
          <w:p>
            <w:pPr>
              <w:spacing w:after="0"/>
              <w:rPr>
                <w:sz w:val="9"/>
                <w:szCs w:val="9"/>
                <w:color w:val="auto"/>
              </w:rPr>
            </w:pPr>
          </w:p>
        </w:tc>
        <w:tc>
          <w:tcPr>
            <w:tcW w:w="580" w:type="dxa"/>
            <w:vAlign w:val="bottom"/>
            <w:tcBorders>
              <w:top w:val="single" w:sz="8" w:color="CCEEFF"/>
              <w:right w:val="single" w:sz="8" w:color="auto"/>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8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items (non-</w:t>
            </w:r>
          </w:p>
        </w:tc>
        <w:tc>
          <w:tcPr>
            <w:tcW w:w="5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3"/>
              </w:rPr>
              <w:t>$497,734</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$186,635</w:t>
            </w:r>
          </w:p>
        </w:tc>
        <w:tc>
          <w:tcPr>
            <w:tcW w:w="4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7"/>
              </w:rPr>
              <w:t>$311,099</w:t>
            </w:r>
          </w:p>
        </w:tc>
        <w:tc>
          <w:tcPr>
            <w:tcW w:w="100" w:type="dxa"/>
            <w:vAlign w:val="bottom"/>
            <w:tcBorders>
              <w:right w:val="single" w:sz="8" w:color="auto"/>
            </w:tcBorders>
            <w:shd w:val="clear" w:color="auto" w:fill="CCEEFF"/>
          </w:tcPr>
          <w:p>
            <w:pPr>
              <w:spacing w:after="0"/>
              <w:rPr>
                <w:sz w:val="10"/>
                <w:szCs w:val="10"/>
                <w:color w:val="auto"/>
              </w:rPr>
            </w:pPr>
          </w:p>
        </w:tc>
        <w:tc>
          <w:tcPr>
            <w:tcW w:w="36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62.5 %</w:t>
            </w:r>
          </w:p>
        </w:tc>
        <w:tc>
          <w:tcPr>
            <w:tcW w:w="60" w:type="dxa"/>
            <w:vAlign w:val="bottom"/>
            <w:vMerge w:val="restart"/>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157,293</w:t>
            </w:r>
          </w:p>
        </w:tc>
        <w:tc>
          <w:tcPr>
            <w:tcW w:w="10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31.6 %</w:t>
            </w: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153,806</w:t>
            </w:r>
          </w:p>
        </w:tc>
        <w:tc>
          <w:tcPr>
            <w:tcW w:w="40" w:type="dxa"/>
            <w:vAlign w:val="bottom"/>
            <w:shd w:val="clear" w:color="auto" w:fill="CCEEFF"/>
          </w:tcPr>
          <w:p>
            <w:pPr>
              <w:spacing w:after="0"/>
              <w:rPr>
                <w:sz w:val="10"/>
                <w:szCs w:val="10"/>
                <w:color w:val="auto"/>
              </w:rPr>
            </w:pPr>
          </w:p>
        </w:tc>
        <w:tc>
          <w:tcPr>
            <w:tcW w:w="58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30.9 %</w:t>
            </w:r>
          </w:p>
        </w:tc>
        <w:tc>
          <w:tcPr>
            <w:tcW w:w="40" w:type="dxa"/>
            <w:vAlign w:val="bottom"/>
            <w:vMerge w:val="restart"/>
            <w:shd w:val="clear" w:color="auto" w:fill="CCEEFF"/>
          </w:tcPr>
          <w:p>
            <w:pPr>
              <w:spacing w:after="0"/>
              <w:rPr>
                <w:sz w:val="10"/>
                <w:szCs w:val="10"/>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4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155,021</w:t>
            </w:r>
          </w:p>
        </w:tc>
        <w:tc>
          <w:tcPr>
            <w:tcW w:w="60" w:type="dxa"/>
            <w:vAlign w:val="bottom"/>
            <w:shd w:val="clear" w:color="auto" w:fill="CCEEFF"/>
          </w:tcPr>
          <w:p>
            <w:pPr>
              <w:spacing w:after="0"/>
              <w:rPr>
                <w:sz w:val="10"/>
                <w:szCs w:val="10"/>
                <w:color w:val="auto"/>
              </w:rPr>
            </w:pPr>
          </w:p>
        </w:tc>
        <w:tc>
          <w:tcPr>
            <w:tcW w:w="48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3,961</w:t>
            </w:r>
          </w:p>
        </w:tc>
        <w:tc>
          <w:tcPr>
            <w:tcW w:w="10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2.6 %</w:t>
            </w:r>
          </w:p>
        </w:tc>
        <w:tc>
          <w:tcPr>
            <w:tcW w:w="60" w:type="dxa"/>
            <w:vAlign w:val="bottom"/>
            <w:shd w:val="clear" w:color="auto" w:fill="CCEEFF"/>
          </w:tcPr>
          <w:p>
            <w:pPr>
              <w:spacing w:after="0"/>
              <w:rPr>
                <w:sz w:val="10"/>
                <w:szCs w:val="10"/>
                <w:color w:val="auto"/>
              </w:rPr>
            </w:pPr>
          </w:p>
        </w:tc>
        <w:tc>
          <w:tcPr>
            <w:tcW w:w="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151,060</w:t>
            </w:r>
          </w:p>
        </w:tc>
        <w:tc>
          <w:tcPr>
            <w:tcW w:w="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151,060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0.64</w:t>
            </w:r>
          </w:p>
        </w:tc>
        <w:tc>
          <w:tcPr>
            <w:tcW w:w="0" w:type="dxa"/>
            <w:vAlign w:val="bottom"/>
          </w:tcPr>
          <w:p>
            <w:pPr>
              <w:spacing w:after="0"/>
              <w:rPr>
                <w:sz w:val="1"/>
                <w:szCs w:val="1"/>
                <w:color w:val="auto"/>
              </w:rPr>
            </w:pPr>
          </w:p>
        </w:tc>
      </w:tr>
      <w:tr>
        <w:trPr>
          <w:trHeight w:val="201"/>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(13)</w:t>
            </w:r>
          </w:p>
        </w:tc>
        <w:tc>
          <w:tcPr>
            <w:tcW w:w="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520" w:type="dxa"/>
            <w:vAlign w:val="bottom"/>
            <w:tcBorders>
              <w:bottom w:val="single" w:sz="8" w:color="auto"/>
            </w:tcBorders>
            <w:gridSpan w:val="3"/>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36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gridSpan w:val="3"/>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gridSpan w:val="4"/>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gridSpan w:val="2"/>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auto"/>
            </w:tcBorders>
            <w:gridSpan w:val="2"/>
            <w:vMerge w:val="continue"/>
            <w:shd w:val="clear" w:color="auto" w:fill="CCEEFF"/>
          </w:tcPr>
          <w:p>
            <w:pPr>
              <w:spacing w:after="0"/>
              <w:rPr>
                <w:sz w:val="17"/>
                <w:szCs w:val="17"/>
                <w:color w:val="auto"/>
              </w:rPr>
            </w:pPr>
          </w:p>
        </w:tc>
        <w:tc>
          <w:tcPr>
            <w:tcW w:w="6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18"/>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8"/>
              </w:rPr>
              <w:t>Three Months Ended December 31, 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280" w:type="dxa"/>
            <w:vAlign w:val="bottom"/>
            <w:tcBorders>
              <w:bottom w:val="single" w:sz="8" w:color="auto"/>
            </w:tcBorders>
            <w:gridSpan w:val="67"/>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4680" w:type="dxa"/>
            <w:vAlign w:val="bottom"/>
            <w:gridSpan w:val="28"/>
          </w:tcPr>
          <w:p>
            <w:pPr>
              <w:spacing w:after="0"/>
              <w:rPr>
                <w:sz w:val="9"/>
                <w:szCs w:val="9"/>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Operating</w:t>
            </w:r>
          </w:p>
        </w:tc>
        <w:tc>
          <w:tcPr>
            <w:tcW w:w="5440" w:type="dxa"/>
            <w:vAlign w:val="bottom"/>
            <w:gridSpan w:val="35"/>
          </w:tcPr>
          <w:p>
            <w:pPr>
              <w:spacing w:after="0"/>
              <w:rPr>
                <w:sz w:val="20"/>
                <w:szCs w:val="20"/>
                <w:color w:val="auto"/>
              </w:rPr>
            </w:pPr>
            <w:r>
              <w:rPr>
                <w:rFonts w:ascii="Times New Roman" w:cs="Times New Roman" w:eastAsia="Times New Roman" w:hAnsi="Times New Roman"/>
                <w:sz w:val="12"/>
                <w:szCs w:val="12"/>
                <w:color w:val="auto"/>
              </w:rPr>
              <w:t>(Loss)</w:t>
            </w:r>
          </w:p>
        </w:tc>
        <w:tc>
          <w:tcPr>
            <w:tcW w:w="58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auto"/>
              </w:rPr>
              <w:t>Diluted net</w:t>
            </w:r>
          </w:p>
        </w:tc>
        <w:tc>
          <w:tcPr>
            <w:tcW w:w="0" w:type="dxa"/>
            <w:vAlign w:val="bottom"/>
          </w:tcPr>
          <w:p>
            <w:pPr>
              <w:spacing w:after="0"/>
              <w:rPr>
                <w:sz w:val="1"/>
                <w:szCs w:val="1"/>
                <w:color w:val="auto"/>
              </w:rPr>
            </w:pPr>
          </w:p>
        </w:tc>
      </w:tr>
      <w:tr>
        <w:trPr>
          <w:trHeight w:val="118"/>
        </w:trPr>
        <w:tc>
          <w:tcPr>
            <w:tcW w:w="4680" w:type="dxa"/>
            <w:vAlign w:val="bottom"/>
            <w:gridSpan w:val="28"/>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80" w:type="dxa"/>
            <w:vAlign w:val="bottom"/>
            <w:gridSpan w:val="7"/>
          </w:tcPr>
          <w:p>
            <w:pPr>
              <w:spacing w:after="0"/>
              <w:rPr>
                <w:sz w:val="10"/>
                <w:szCs w:val="10"/>
                <w:color w:val="auto"/>
              </w:rPr>
            </w:pPr>
          </w:p>
        </w:tc>
        <w:tc>
          <w:tcPr>
            <w:tcW w:w="440" w:type="dxa"/>
            <w:vAlign w:val="bottom"/>
            <w:gridSpan w:val="4"/>
            <w:vMerge w:val="restart"/>
          </w:tcPr>
          <w:p>
            <w:pPr>
              <w:jc w:val="center"/>
              <w:ind w:right="41"/>
              <w:spacing w:after="0"/>
              <w:rPr>
                <w:sz w:val="20"/>
                <w:szCs w:val="20"/>
                <w:color w:val="auto"/>
              </w:rPr>
            </w:pPr>
            <w:r>
              <w:rPr>
                <w:rFonts w:ascii="Times New Roman" w:cs="Times New Roman" w:eastAsia="Times New Roman" w:hAnsi="Times New Roman"/>
                <w:sz w:val="12"/>
                <w:szCs w:val="12"/>
                <w:color w:val="auto"/>
                <w:w w:val="94"/>
              </w:rPr>
              <w:t>Other</w:t>
            </w:r>
          </w:p>
        </w:tc>
        <w:tc>
          <w:tcPr>
            <w:tcW w:w="208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income</w:t>
            </w:r>
          </w:p>
        </w:tc>
        <w:tc>
          <w:tcPr>
            <w:tcW w:w="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w w:val="97"/>
              </w:rPr>
              <w:t>(Loss)</w:t>
            </w:r>
          </w:p>
        </w:tc>
        <w:tc>
          <w:tcPr>
            <w:tcW w:w="20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(loss)</w:t>
            </w:r>
          </w:p>
        </w:tc>
        <w:tc>
          <w:tcPr>
            <w:tcW w:w="0" w:type="dxa"/>
            <w:vAlign w:val="bottom"/>
          </w:tcPr>
          <w:p>
            <w:pPr>
              <w:spacing w:after="0"/>
              <w:rPr>
                <w:sz w:val="1"/>
                <w:szCs w:val="1"/>
                <w:color w:val="auto"/>
              </w:rPr>
            </w:pPr>
          </w:p>
        </w:tc>
      </w:tr>
      <w:tr>
        <w:trPr>
          <w:trHeight w:val="118"/>
        </w:trPr>
        <w:tc>
          <w:tcPr>
            <w:tcW w:w="6140" w:type="dxa"/>
            <w:vAlign w:val="bottom"/>
            <w:gridSpan w:val="37"/>
          </w:tcPr>
          <w:p>
            <w:pPr>
              <w:spacing w:after="0"/>
              <w:rPr>
                <w:sz w:val="20"/>
                <w:szCs w:val="20"/>
                <w:color w:val="auto"/>
              </w:rPr>
            </w:pPr>
            <w:r>
              <w:rPr>
                <w:rFonts w:ascii="Times New Roman" w:cs="Times New Roman" w:eastAsia="Times New Roman" w:hAnsi="Times New Roman"/>
                <w:sz w:val="12"/>
                <w:szCs w:val="12"/>
                <w:color w:val="auto"/>
              </w:rPr>
              <w:t>(loss)</w:t>
            </w:r>
          </w:p>
        </w:tc>
        <w:tc>
          <w:tcPr>
            <w:tcW w:w="440" w:type="dxa"/>
            <w:vAlign w:val="bottom"/>
            <w:gridSpan w:val="4"/>
            <w:vMerge w:val="continue"/>
          </w:tcPr>
          <w:p>
            <w:pPr>
              <w:spacing w:after="0"/>
              <w:rPr>
                <w:sz w:val="10"/>
                <w:szCs w:val="10"/>
                <w:color w:val="auto"/>
              </w:rPr>
            </w:pPr>
          </w:p>
        </w:tc>
        <w:tc>
          <w:tcPr>
            <w:tcW w:w="208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from</w:t>
            </w:r>
          </w:p>
        </w:tc>
        <w:tc>
          <w:tcPr>
            <w:tcW w:w="540" w:type="dxa"/>
            <w:vAlign w:val="bottom"/>
            <w:gridSpan w:val="2"/>
            <w:vMerge w:val="continue"/>
          </w:tcPr>
          <w:p>
            <w:pPr>
              <w:spacing w:after="0"/>
              <w:rPr>
                <w:sz w:val="10"/>
                <w:szCs w:val="10"/>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income per</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Total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Gross</w:t>
            </w:r>
          </w:p>
        </w:tc>
        <w:tc>
          <w:tcPr>
            <w:tcW w:w="40" w:type="dxa"/>
            <w:vAlign w:val="bottom"/>
          </w:tcPr>
          <w:p>
            <w:pPr>
              <w:spacing w:after="0"/>
              <w:rPr>
                <w:sz w:val="10"/>
                <w:szCs w:val="10"/>
                <w:color w:val="auto"/>
              </w:rPr>
            </w:pPr>
          </w:p>
        </w:tc>
        <w:tc>
          <w:tcPr>
            <w:tcW w:w="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auto"/>
                <w:w w:val="94"/>
              </w:rPr>
              <w:t>Total</w:t>
            </w:r>
          </w:p>
        </w:tc>
        <w:tc>
          <w:tcPr>
            <w:tcW w:w="100" w:type="dxa"/>
            <w:vAlign w:val="bottom"/>
          </w:tcPr>
          <w:p>
            <w:pPr>
              <w:spacing w:after="0"/>
              <w:rPr>
                <w:sz w:val="10"/>
                <w:szCs w:val="10"/>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Operating</w:t>
            </w:r>
          </w:p>
        </w:tc>
        <w:tc>
          <w:tcPr>
            <w:tcW w:w="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4"/>
          </w:tcPr>
          <w:p>
            <w:pPr>
              <w:jc w:val="center"/>
              <w:ind w:right="41"/>
              <w:spacing w:after="0" w:line="118" w:lineRule="exact"/>
              <w:rPr>
                <w:sz w:val="20"/>
                <w:szCs w:val="20"/>
                <w:color w:val="auto"/>
              </w:rPr>
            </w:pPr>
            <w:r>
              <w:rPr>
                <w:rFonts w:ascii="Times New Roman" w:cs="Times New Roman" w:eastAsia="Times New Roman" w:hAnsi="Times New Roman"/>
                <w:sz w:val="12"/>
                <w:szCs w:val="12"/>
                <w:color w:val="auto"/>
                <w:w w:val="99"/>
              </w:rPr>
              <w:t>non-</w:t>
            </w:r>
          </w:p>
        </w:tc>
        <w:tc>
          <w:tcPr>
            <w:tcW w:w="8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rPr>
              <w:t>income</w:t>
            </w:r>
          </w:p>
        </w:tc>
        <w:tc>
          <w:tcPr>
            <w:tcW w:w="6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w w:val="99"/>
              </w:rPr>
              <w:t>Discontinued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share from</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4"/>
            <w:vMerge w:val="restart"/>
          </w:tcPr>
          <w:p>
            <w:pPr>
              <w:jc w:val="right"/>
              <w:ind w:right="41"/>
              <w:spacing w:after="0"/>
              <w:rPr>
                <w:sz w:val="20"/>
                <w:szCs w:val="20"/>
                <w:color w:val="auto"/>
              </w:rPr>
            </w:pPr>
            <w:r>
              <w:rPr>
                <w:rFonts w:ascii="Times New Roman" w:cs="Times New Roman" w:eastAsia="Times New Roman" w:hAnsi="Times New Roman"/>
                <w:sz w:val="12"/>
                <w:szCs w:val="12"/>
                <w:color w:val="auto"/>
              </w:rPr>
              <w:t>Cost of</w:t>
            </w:r>
          </w:p>
        </w:tc>
        <w:tc>
          <w:tcPr>
            <w:tcW w:w="80" w:type="dxa"/>
            <w:vAlign w:val="bottom"/>
          </w:tcPr>
          <w:p>
            <w:pPr>
              <w:spacing w:after="0"/>
              <w:rPr>
                <w:sz w:val="10"/>
                <w:szCs w:val="10"/>
                <w:color w:val="auto"/>
              </w:rPr>
            </w:pPr>
          </w:p>
        </w:tc>
        <w:tc>
          <w:tcPr>
            <w:tcW w:w="46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2"/>
                <w:szCs w:val="12"/>
                <w:color w:val="auto"/>
                <w:w w:val="92"/>
              </w:rPr>
              <w:t>Gross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rPr>
              <w:t>from</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12"/>
                <w:szCs w:val="12"/>
                <w:color w:val="auto"/>
              </w:rPr>
              <w:t>Operating</w:t>
            </w:r>
          </w:p>
        </w:tc>
        <w:tc>
          <w:tcPr>
            <w:tcW w:w="60" w:type="dxa"/>
            <w:vAlign w:val="bottom"/>
          </w:tcPr>
          <w:p>
            <w:pPr>
              <w:spacing w:after="0"/>
              <w:rPr>
                <w:sz w:val="10"/>
                <w:szCs w:val="10"/>
                <w:color w:val="auto"/>
              </w:rPr>
            </w:pPr>
          </w:p>
        </w:tc>
        <w:tc>
          <w:tcPr>
            <w:tcW w:w="5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2"/>
                <w:szCs w:val="12"/>
                <w:color w:val="auto"/>
              </w:rPr>
              <w:t>operating</w:t>
            </w:r>
          </w:p>
        </w:tc>
        <w:tc>
          <w:tcPr>
            <w:tcW w:w="8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5"/>
              </w:rPr>
              <w:t>operations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Effective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rPr>
              <w:t>from</w:t>
            </w:r>
          </w:p>
        </w:tc>
        <w:tc>
          <w:tcPr>
            <w:tcW w:w="6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01"/>
              <w:spacing w:after="0"/>
              <w:rPr>
                <w:sz w:val="20"/>
                <w:szCs w:val="20"/>
                <w:color w:val="auto"/>
              </w:rPr>
            </w:pPr>
            <w:r>
              <w:rPr>
                <w:rFonts w:ascii="Times New Roman" w:cs="Times New Roman" w:eastAsia="Times New Roman" w:hAnsi="Times New Roman"/>
                <w:sz w:val="12"/>
                <w:szCs w:val="12"/>
                <w:color w:val="auto"/>
                <w:w w:val="93"/>
              </w:rPr>
              <w:t>Net (loss)</w:t>
            </w:r>
          </w:p>
        </w:tc>
        <w:tc>
          <w:tcPr>
            <w:tcW w:w="5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color w:val="auto"/>
              </w:rPr>
              <w:t>continuing</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revenues,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9"/>
              </w:rPr>
              <w:t>margin</w:t>
            </w:r>
          </w:p>
        </w:tc>
        <w:tc>
          <w:tcPr>
            <w:tcW w:w="40" w:type="dxa"/>
            <w:vAlign w:val="bottom"/>
          </w:tcPr>
          <w:p>
            <w:pPr>
              <w:spacing w:after="0"/>
              <w:rPr>
                <w:sz w:val="10"/>
                <w:szCs w:val="10"/>
                <w:color w:val="auto"/>
              </w:rPr>
            </w:pPr>
          </w:p>
        </w:tc>
        <w:tc>
          <w:tcPr>
            <w:tcW w:w="5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operating</w:t>
            </w:r>
          </w:p>
        </w:tc>
        <w:tc>
          <w:tcPr>
            <w:tcW w:w="100" w:type="dxa"/>
            <w:vAlign w:val="bottom"/>
          </w:tcPr>
          <w:p>
            <w:pPr>
              <w:spacing w:after="0"/>
              <w:rPr>
                <w:sz w:val="10"/>
                <w:szCs w:val="10"/>
                <w:color w:val="auto"/>
              </w:rPr>
            </w:pPr>
          </w:p>
        </w:tc>
        <w:tc>
          <w:tcPr>
            <w:tcW w:w="6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expense to</w:t>
            </w:r>
          </w:p>
        </w:tc>
        <w:tc>
          <w:tcPr>
            <w:tcW w:w="6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2"/>
                <w:szCs w:val="12"/>
                <w:color w:val="auto"/>
              </w:rPr>
              <w:t>expense,</w:t>
            </w:r>
          </w:p>
        </w:tc>
        <w:tc>
          <w:tcPr>
            <w:tcW w:w="8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before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2"/>
                <w:szCs w:val="12"/>
                <w:color w:val="auto"/>
              </w:rPr>
              <w:t>tax</w:t>
            </w: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2"/>
                <w:szCs w:val="12"/>
                <w:color w:val="auto"/>
              </w:rPr>
              <w:t>continuing</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2"/>
                <w:szCs w:val="12"/>
                <w:color w:val="auto"/>
                <w:w w:val="94"/>
              </w:rPr>
              <w:t>operations,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0" w:type="dxa"/>
            <w:vAlign w:val="bottom"/>
          </w:tcPr>
          <w:p>
            <w:pPr>
              <w:spacing w:after="0"/>
              <w:rPr>
                <w:sz w:val="1"/>
                <w:szCs w:val="1"/>
                <w:color w:val="auto"/>
              </w:rPr>
            </w:pPr>
          </w:p>
        </w:tc>
      </w:tr>
      <w:tr>
        <w:trPr>
          <w:trHeight w:val="159"/>
        </w:trPr>
        <w:tc>
          <w:tcPr>
            <w:tcW w:w="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net</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2"/>
                <w:szCs w:val="12"/>
                <w:color w:val="auto"/>
              </w:rPr>
              <w:t>revenues</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12"/>
                <w:szCs w:val="12"/>
                <w:color w:val="auto"/>
                <w:w w:val="99"/>
              </w:rPr>
              <w:t>margin</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2"/>
                <w:szCs w:val="12"/>
                <w:color w:val="auto"/>
                <w:w w:val="79"/>
              </w:rPr>
              <w:t>%</w:t>
            </w:r>
          </w:p>
        </w:tc>
        <w:tc>
          <w:tcPr>
            <w:tcW w:w="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rPr>
              <w:t>expenses</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w w:val="97"/>
              </w:rPr>
              <w:t>revenue %</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5"/>
              </w:rPr>
              <w:t>operations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2"/>
                <w:szCs w:val="12"/>
                <w:color w:val="auto"/>
              </w:rPr>
              <w:t>margin %</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w w:val="95"/>
              </w:rPr>
              <w:t>net</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8"/>
              </w:rPr>
              <w:t>income tax</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w w:val="98"/>
              </w:rPr>
              <w:t>expense</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tax rate</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5"/>
              </w:rPr>
              <w:t>operations</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net of tax</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w w:val="99"/>
              </w:rPr>
              <w:t>(14)</w:t>
            </w:r>
          </w:p>
        </w:tc>
        <w:tc>
          <w:tcPr>
            <w:tcW w:w="0" w:type="dxa"/>
            <w:vAlign w:val="bottom"/>
          </w:tcPr>
          <w:p>
            <w:pPr>
              <w:spacing w:after="0"/>
              <w:rPr>
                <w:sz w:val="1"/>
                <w:szCs w:val="1"/>
                <w:color w:val="auto"/>
              </w:rPr>
            </w:pPr>
          </w:p>
        </w:tc>
      </w:tr>
      <w:tr>
        <w:trPr>
          <w:trHeight w:val="162"/>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5"/>
              </w:rPr>
              <w:t>Reported (GAAP)</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$ 555,812</w:t>
            </w:r>
          </w:p>
        </w:tc>
        <w:tc>
          <w:tcPr>
            <w:tcW w:w="660" w:type="dxa"/>
            <w:vAlign w:val="bottom"/>
            <w:gridSpan w:val="6"/>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$ 294,266</w:t>
            </w:r>
          </w:p>
        </w:tc>
        <w:tc>
          <w:tcPr>
            <w:tcW w:w="64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$ 261,546</w:t>
            </w:r>
          </w:p>
        </w:tc>
        <w:tc>
          <w:tcPr>
            <w:tcW w:w="8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47.1 %</w:t>
            </w:r>
          </w:p>
        </w:tc>
        <w:tc>
          <w:tcPr>
            <w:tcW w:w="60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$ 434,060</w:t>
            </w:r>
          </w:p>
        </w:tc>
        <w:tc>
          <w:tcPr>
            <w:tcW w:w="10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78.1 %</w:t>
            </w:r>
          </w:p>
        </w:tc>
        <w:tc>
          <w:tcPr>
            <w:tcW w:w="640" w:type="dxa"/>
            <w:vAlign w:val="bottom"/>
            <w:gridSpan w:val="3"/>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rPr>
              <w:t>$ (172,514)</w:t>
            </w:r>
          </w:p>
        </w:tc>
        <w:tc>
          <w:tcPr>
            <w:tcW w:w="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67,149</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(239,663)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5,500</w:t>
            </w:r>
          </w:p>
        </w:tc>
        <w:tc>
          <w:tcPr>
            <w:tcW w:w="10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(245,163)</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1,628</w:t>
            </w:r>
          </w:p>
        </w:tc>
        <w:tc>
          <w:tcPr>
            <w:tcW w:w="60" w:type="dxa"/>
            <w:vAlign w:val="bottom"/>
            <w:shd w:val="clear" w:color="auto" w:fill="CCEEFF"/>
          </w:tcPr>
          <w:p>
            <w:pPr>
              <w:spacing w:after="0"/>
              <w:rPr>
                <w:sz w:val="14"/>
                <w:szCs w:val="14"/>
                <w:color w:val="auto"/>
              </w:rPr>
            </w:pPr>
          </w:p>
        </w:tc>
        <w:tc>
          <w:tcPr>
            <w:tcW w:w="760" w:type="dxa"/>
            <w:vAlign w:val="bottom"/>
            <w:tcBorders>
              <w:right w:val="single" w:sz="8" w:color="auto"/>
            </w:tcBorders>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 (243,535)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19"/>
        </w:trPr>
        <w:tc>
          <w:tcPr>
            <w:tcW w:w="2840" w:type="dxa"/>
            <w:vAlign w:val="bottom"/>
            <w:tcBorders>
              <w:right w:val="single" w:sz="8" w:color="auto"/>
            </w:tcBorders>
            <w:gridSpan w:val="16"/>
          </w:tcPr>
          <w:p>
            <w:pPr>
              <w:ind w:left="20"/>
              <w:spacing w:after="0" w:line="119" w:lineRule="exact"/>
              <w:rPr>
                <w:sz w:val="20"/>
                <w:szCs w:val="20"/>
                <w:color w:val="auto"/>
              </w:rPr>
            </w:pPr>
            <w:r>
              <w:rPr>
                <w:rFonts w:ascii="Times New Roman" w:cs="Times New Roman" w:eastAsia="Times New Roman" w:hAnsi="Times New Roman"/>
                <w:sz w:val="12"/>
                <w:szCs w:val="12"/>
                <w:color w:val="auto"/>
              </w:rPr>
              <w:t>Items impacting</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40" w:type="dxa"/>
            <w:vAlign w:val="bottom"/>
            <w:tcBorders>
              <w:right w:val="single" w:sz="8" w:color="auto"/>
            </w:tcBorders>
            <w:gridSpan w:val="16"/>
          </w:tcPr>
          <w:p>
            <w:pPr>
              <w:ind w:left="20"/>
              <w:spacing w:after="0"/>
              <w:rPr>
                <w:sz w:val="20"/>
                <w:szCs w:val="20"/>
                <w:color w:val="auto"/>
              </w:rPr>
            </w:pPr>
            <w:r>
              <w:rPr>
                <w:rFonts w:ascii="Times New Roman" w:cs="Times New Roman" w:eastAsia="Times New Roman" w:hAnsi="Times New Roman"/>
                <w:sz w:val="12"/>
                <w:szCs w:val="12"/>
                <w:color w:val="auto"/>
              </w:rPr>
              <w:t>comparability:</w:t>
            </w:r>
          </w:p>
        </w:tc>
        <w:tc>
          <w:tcPr>
            <w:tcW w:w="480" w:type="dxa"/>
            <w:vAlign w:val="bottom"/>
            <w:tcBorders>
              <w:right w:val="single" w:sz="8" w:color="auto"/>
            </w:tcBorders>
            <w:gridSpan w:val="3"/>
          </w:tcPr>
          <w:p>
            <w:pPr>
              <w:spacing w:after="0"/>
              <w:rPr>
                <w:sz w:val="13"/>
                <w:szCs w:val="13"/>
                <w:color w:val="auto"/>
              </w:rPr>
            </w:pPr>
          </w:p>
        </w:tc>
        <w:tc>
          <w:tcPr>
            <w:tcW w:w="700" w:type="dxa"/>
            <w:vAlign w:val="bottom"/>
            <w:tcBorders>
              <w:right w:val="single" w:sz="8" w:color="auto"/>
            </w:tcBorders>
            <w:gridSpan w:val="5"/>
          </w:tcPr>
          <w:p>
            <w:pPr>
              <w:spacing w:after="0"/>
              <w:rPr>
                <w:sz w:val="13"/>
                <w:szCs w:val="13"/>
                <w:color w:val="auto"/>
              </w:rPr>
            </w:pPr>
          </w:p>
        </w:tc>
        <w:tc>
          <w:tcPr>
            <w:tcW w:w="600" w:type="dxa"/>
            <w:vAlign w:val="bottom"/>
            <w:tcBorders>
              <w:right w:val="single" w:sz="8" w:color="auto"/>
            </w:tcBorders>
            <w:gridSpan w:val="3"/>
          </w:tcPr>
          <w:p>
            <w:pPr>
              <w:spacing w:after="0"/>
              <w:rPr>
                <w:sz w:val="13"/>
                <w:szCs w:val="13"/>
                <w:color w:val="auto"/>
              </w:rPr>
            </w:pPr>
          </w:p>
        </w:tc>
        <w:tc>
          <w:tcPr>
            <w:tcW w:w="760" w:type="dxa"/>
            <w:vAlign w:val="bottom"/>
            <w:tcBorders>
              <w:right w:val="single" w:sz="8" w:color="auto"/>
            </w:tcBorders>
            <w:gridSpan w:val="5"/>
          </w:tcPr>
          <w:p>
            <w:pPr>
              <w:spacing w:after="0"/>
              <w:rPr>
                <w:sz w:val="13"/>
                <w:szCs w:val="13"/>
                <w:color w:val="auto"/>
              </w:rPr>
            </w:pPr>
          </w:p>
        </w:tc>
        <w:tc>
          <w:tcPr>
            <w:tcW w:w="600" w:type="dxa"/>
            <w:vAlign w:val="bottom"/>
            <w:tcBorders>
              <w:right w:val="single" w:sz="8" w:color="auto"/>
            </w:tcBorders>
            <w:gridSpan w:val="3"/>
          </w:tcPr>
          <w:p>
            <w:pPr>
              <w:spacing w:after="0"/>
              <w:rPr>
                <w:sz w:val="13"/>
                <w:szCs w:val="13"/>
                <w:color w:val="auto"/>
              </w:rPr>
            </w:pPr>
          </w:p>
        </w:tc>
        <w:tc>
          <w:tcPr>
            <w:tcW w:w="1940" w:type="dxa"/>
            <w:vAlign w:val="bottom"/>
            <w:tcBorders>
              <w:right w:val="single" w:sz="8" w:color="auto"/>
            </w:tcBorders>
            <w:gridSpan w:val="15"/>
          </w:tcPr>
          <w:p>
            <w:pPr>
              <w:spacing w:after="0"/>
              <w:rPr>
                <w:sz w:val="13"/>
                <w:szCs w:val="13"/>
                <w:color w:val="auto"/>
              </w:rPr>
            </w:pPr>
          </w:p>
        </w:tc>
        <w:tc>
          <w:tcPr>
            <w:tcW w:w="600" w:type="dxa"/>
            <w:vAlign w:val="bottom"/>
            <w:tcBorders>
              <w:right w:val="single" w:sz="8" w:color="auto"/>
            </w:tcBorders>
            <w:gridSpan w:val="3"/>
          </w:tcPr>
          <w:p>
            <w:pPr>
              <w:spacing w:after="0"/>
              <w:rPr>
                <w:sz w:val="13"/>
                <w:szCs w:val="13"/>
                <w:color w:val="auto"/>
              </w:rPr>
            </w:pPr>
          </w:p>
        </w:tc>
        <w:tc>
          <w:tcPr>
            <w:tcW w:w="2180" w:type="dxa"/>
            <w:vAlign w:val="bottom"/>
            <w:tcBorders>
              <w:right w:val="single" w:sz="8" w:color="auto"/>
            </w:tcBorders>
            <w:gridSpan w:val="12"/>
          </w:tcPr>
          <w:p>
            <w:pPr>
              <w:spacing w:after="0"/>
              <w:rPr>
                <w:sz w:val="13"/>
                <w:szCs w:val="13"/>
                <w:color w:val="auto"/>
              </w:rPr>
            </w:pPr>
          </w:p>
        </w:tc>
        <w:tc>
          <w:tcPr>
            <w:tcW w:w="5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CCEEFF"/>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w w:val="96"/>
              </w:rPr>
              <w:t>Amortization of</w:t>
            </w:r>
          </w:p>
        </w:tc>
        <w:tc>
          <w:tcPr>
            <w:tcW w:w="180" w:type="dxa"/>
            <w:vAlign w:val="bottom"/>
            <w:tcBorders>
              <w:right w:val="single" w:sz="8" w:color="auto"/>
            </w:tcBorders>
            <w:gridSpan w:val="2"/>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auto"/>
            </w:tcBorders>
            <w:gridSpan w:val="2"/>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tcBorders>
              <w:right w:val="single" w:sz="8" w:color="auto"/>
            </w:tcBorders>
            <w:gridSpan w:val="2"/>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tcBorders>
              <w:right w:val="single" w:sz="8" w:color="auto"/>
            </w:tcBorders>
            <w:gridSpan w:val="3"/>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auto"/>
            </w:tcBorders>
            <w:gridSpan w:val="2"/>
            <w:shd w:val="clear" w:color="auto" w:fill="CCEEFF"/>
          </w:tcPr>
          <w:p>
            <w:pPr>
              <w:spacing w:after="0"/>
              <w:rPr>
                <w:sz w:val="10"/>
                <w:szCs w:val="10"/>
                <w:color w:val="auto"/>
              </w:rPr>
            </w:pPr>
          </w:p>
        </w:tc>
        <w:tc>
          <w:tcPr>
            <w:tcW w:w="1840" w:type="dxa"/>
            <w:vAlign w:val="bottom"/>
            <w:tcBorders>
              <w:right w:val="single" w:sz="8" w:color="CCEEFF"/>
            </w:tcBorders>
            <w:gridSpan w:val="14"/>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auto"/>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intangible assets</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(75,467)</w:t>
            </w:r>
          </w:p>
        </w:tc>
        <w:tc>
          <w:tcPr>
            <w:tcW w:w="64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75,467</w:t>
            </w:r>
          </w:p>
        </w:tc>
        <w:tc>
          <w:tcPr>
            <w:tcW w:w="8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75,467</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75,467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75,467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75,467</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60" w:type="dxa"/>
            <w:vAlign w:val="bottom"/>
            <w:gridSpan w:val="6"/>
            <w:vMerge w:val="continue"/>
            <w:shd w:val="clear" w:color="auto" w:fill="CCEEFF"/>
          </w:tcPr>
          <w:p>
            <w:pPr>
              <w:spacing w:after="0"/>
              <w:rPr>
                <w:sz w:val="14"/>
                <w:szCs w:val="14"/>
                <w:color w:val="auto"/>
              </w:rPr>
            </w:pPr>
          </w:p>
        </w:tc>
        <w:tc>
          <w:tcPr>
            <w:tcW w:w="640" w:type="dxa"/>
            <w:vAlign w:val="bottom"/>
            <w:gridSpan w:val="4"/>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Borders>
              <w:right w:val="single" w:sz="8" w:color="auto"/>
            </w:tcBorders>
            <w:gridSpan w:val="16"/>
          </w:tcPr>
          <w:p>
            <w:pPr>
              <w:ind w:left="120"/>
              <w:spacing w:after="0" w:line="119" w:lineRule="exact"/>
              <w:rPr>
                <w:sz w:val="20"/>
                <w:szCs w:val="20"/>
                <w:color w:val="auto"/>
              </w:rPr>
            </w:pPr>
            <w:r>
              <w:rPr>
                <w:rFonts w:ascii="Times New Roman" w:cs="Times New Roman" w:eastAsia="Times New Roman" w:hAnsi="Times New Roman"/>
                <w:sz w:val="12"/>
                <w:szCs w:val="12"/>
                <w:color w:val="auto"/>
              </w:rPr>
              <w:t>Amounts related</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40" w:type="dxa"/>
            <w:vAlign w:val="bottom"/>
            <w:tcBorders>
              <w:right w:val="single" w:sz="8" w:color="auto"/>
            </w:tcBorders>
            <w:gridSpan w:val="16"/>
          </w:tcPr>
          <w:p>
            <w:pPr>
              <w:ind w:left="120"/>
              <w:spacing w:after="0" w:line="118" w:lineRule="exact"/>
              <w:rPr>
                <w:sz w:val="20"/>
                <w:szCs w:val="20"/>
                <w:color w:val="auto"/>
              </w:rPr>
            </w:pPr>
            <w:r>
              <w:rPr>
                <w:rFonts w:ascii="Times New Roman" w:cs="Times New Roman" w:eastAsia="Times New Roman" w:hAnsi="Times New Roman"/>
                <w:sz w:val="12"/>
                <w:szCs w:val="12"/>
                <w:color w:val="auto"/>
              </w:rPr>
              <w:t>to continuity and</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40" w:type="dxa"/>
            <w:vAlign w:val="bottom"/>
            <w:tcBorders>
              <w:right w:val="single" w:sz="8" w:color="auto"/>
            </w:tcBorders>
            <w:gridSpan w:val="16"/>
          </w:tcPr>
          <w:p>
            <w:pPr>
              <w:ind w:left="120"/>
              <w:spacing w:after="0" w:line="118" w:lineRule="exact"/>
              <w:rPr>
                <w:sz w:val="20"/>
                <w:szCs w:val="20"/>
                <w:color w:val="auto"/>
              </w:rPr>
            </w:pPr>
            <w:r>
              <w:rPr>
                <w:rFonts w:ascii="Times New Roman" w:cs="Times New Roman" w:eastAsia="Times New Roman" w:hAnsi="Times New Roman"/>
                <w:sz w:val="12"/>
                <w:szCs w:val="12"/>
                <w:color w:val="auto"/>
              </w:rPr>
              <w:t>separation</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40" w:type="dxa"/>
            <w:vAlign w:val="bottom"/>
            <w:tcBorders>
              <w:right w:val="single" w:sz="8" w:color="auto"/>
            </w:tcBorders>
            <w:gridSpan w:val="16"/>
          </w:tcPr>
          <w:p>
            <w:pPr>
              <w:ind w:left="120"/>
              <w:spacing w:after="0" w:line="118" w:lineRule="exact"/>
              <w:rPr>
                <w:sz w:val="20"/>
                <w:szCs w:val="20"/>
                <w:color w:val="auto"/>
              </w:rPr>
            </w:pPr>
            <w:r>
              <w:rPr>
                <w:rFonts w:ascii="Times New Roman" w:cs="Times New Roman" w:eastAsia="Times New Roman" w:hAnsi="Times New Roman"/>
                <w:sz w:val="12"/>
                <w:szCs w:val="12"/>
                <w:color w:val="auto"/>
              </w:rPr>
              <w:t>benefits, cost</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40" w:type="dxa"/>
            <w:vAlign w:val="bottom"/>
            <w:tcBorders>
              <w:right w:val="single" w:sz="8" w:color="auto"/>
            </w:tcBorders>
            <w:gridSpan w:val="16"/>
          </w:tcPr>
          <w:p>
            <w:pPr>
              <w:ind w:left="120"/>
              <w:spacing w:after="0" w:line="118" w:lineRule="exact"/>
              <w:rPr>
                <w:sz w:val="20"/>
                <w:szCs w:val="20"/>
                <w:color w:val="auto"/>
              </w:rPr>
            </w:pPr>
            <w:r>
              <w:rPr>
                <w:rFonts w:ascii="Times New Roman" w:cs="Times New Roman" w:eastAsia="Times New Roman" w:hAnsi="Times New Roman"/>
                <w:sz w:val="12"/>
                <w:szCs w:val="12"/>
                <w:color w:val="auto"/>
              </w:rPr>
              <w:t>reductions and</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2"/>
                <w:szCs w:val="12"/>
                <w:color w:val="auto"/>
                <w:w w:val="96"/>
              </w:rPr>
              <w:t>strategic review</w:t>
            </w:r>
          </w:p>
        </w:tc>
        <w:tc>
          <w:tcPr>
            <w:tcW w:w="10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2"/>
                <w:szCs w:val="12"/>
                <w:color w:val="auto"/>
              </w:rPr>
              <w:t>(38,153)</w:t>
            </w:r>
          </w:p>
        </w:tc>
        <w:tc>
          <w:tcPr>
            <w:tcW w:w="640" w:type="dxa"/>
            <w:vAlign w:val="bottom"/>
            <w:gridSpan w:val="4"/>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38,153</w:t>
            </w:r>
          </w:p>
        </w:tc>
        <w:tc>
          <w:tcPr>
            <w:tcW w:w="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(21,203)</w:t>
            </w:r>
          </w:p>
        </w:tc>
        <w:tc>
          <w:tcPr>
            <w:tcW w:w="1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59,356</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59,356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59,356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59,356</w:t>
            </w: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initiatives (2)</w:t>
            </w: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60" w:type="dxa"/>
            <w:vAlign w:val="bottom"/>
            <w:gridSpan w:val="6"/>
            <w:vMerge w:val="continue"/>
          </w:tcPr>
          <w:p>
            <w:pPr>
              <w:spacing w:after="0"/>
              <w:rPr>
                <w:sz w:val="13"/>
                <w:szCs w:val="13"/>
                <w:color w:val="auto"/>
              </w:rPr>
            </w:pPr>
          </w:p>
        </w:tc>
        <w:tc>
          <w:tcPr>
            <w:tcW w:w="640" w:type="dxa"/>
            <w:vAlign w:val="bottom"/>
            <w:gridSpan w:val="4"/>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CCEEFF"/>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Certain</w:t>
            </w:r>
          </w:p>
        </w:tc>
        <w:tc>
          <w:tcPr>
            <w:tcW w:w="180" w:type="dxa"/>
            <w:vAlign w:val="bottom"/>
            <w:tcBorders>
              <w:right w:val="single" w:sz="8" w:color="auto"/>
            </w:tcBorders>
            <w:gridSpan w:val="2"/>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auto"/>
            </w:tcBorders>
            <w:gridSpan w:val="2"/>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tcBorders>
              <w:right w:val="single" w:sz="8" w:color="auto"/>
            </w:tcBorders>
            <w:gridSpan w:val="2"/>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tcBorders>
              <w:right w:val="single" w:sz="8" w:color="auto"/>
            </w:tcBorders>
            <w:gridSpan w:val="3"/>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auto"/>
            </w:tcBorders>
            <w:gridSpan w:val="2"/>
            <w:shd w:val="clear" w:color="auto" w:fill="CCEEFF"/>
          </w:tcPr>
          <w:p>
            <w:pPr>
              <w:spacing w:after="0"/>
              <w:rPr>
                <w:sz w:val="10"/>
                <w:szCs w:val="10"/>
                <w:color w:val="auto"/>
              </w:rPr>
            </w:pPr>
          </w:p>
        </w:tc>
        <w:tc>
          <w:tcPr>
            <w:tcW w:w="1840" w:type="dxa"/>
            <w:vAlign w:val="bottom"/>
            <w:tcBorders>
              <w:right w:val="single" w:sz="8" w:color="CCEEFF"/>
            </w:tcBorders>
            <w:gridSpan w:val="14"/>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auto"/>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CCEEFF"/>
            </w:tcBorders>
            <w:gridSpan w:val="14"/>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litigation-related</w:t>
            </w:r>
          </w:p>
        </w:tc>
        <w:tc>
          <w:tcPr>
            <w:tcW w:w="180" w:type="dxa"/>
            <w:vAlign w:val="bottom"/>
            <w:tcBorders>
              <w:right w:val="single" w:sz="8" w:color="auto"/>
            </w:tcBorders>
            <w:gridSpan w:val="2"/>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auto"/>
            </w:tcBorders>
            <w:gridSpan w:val="2"/>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tcBorders>
              <w:right w:val="single" w:sz="8" w:color="auto"/>
            </w:tcBorders>
            <w:gridSpan w:val="2"/>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tcBorders>
              <w:right w:val="single" w:sz="8" w:color="auto"/>
            </w:tcBorders>
            <w:gridSpan w:val="3"/>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auto"/>
            </w:tcBorders>
            <w:gridSpan w:val="2"/>
            <w:shd w:val="clear" w:color="auto" w:fill="CCEEFF"/>
          </w:tcPr>
          <w:p>
            <w:pPr>
              <w:spacing w:after="0"/>
              <w:rPr>
                <w:sz w:val="10"/>
                <w:szCs w:val="10"/>
                <w:color w:val="auto"/>
              </w:rPr>
            </w:pPr>
          </w:p>
        </w:tc>
        <w:tc>
          <w:tcPr>
            <w:tcW w:w="1840" w:type="dxa"/>
            <w:vAlign w:val="bottom"/>
            <w:tcBorders>
              <w:right w:val="single" w:sz="8" w:color="CCEEFF"/>
            </w:tcBorders>
            <w:gridSpan w:val="14"/>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auto"/>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60" w:type="dxa"/>
            <w:vAlign w:val="bottom"/>
            <w:tcBorders>
              <w:right w:val="single" w:sz="8" w:color="CCEEFF"/>
            </w:tcBorders>
            <w:gridSpan w:val="14"/>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and other</w:t>
            </w:r>
          </w:p>
        </w:tc>
        <w:tc>
          <w:tcPr>
            <w:tcW w:w="180" w:type="dxa"/>
            <w:vAlign w:val="bottom"/>
            <w:tcBorders>
              <w:right w:val="single" w:sz="8" w:color="auto"/>
            </w:tcBorders>
            <w:gridSpan w:val="2"/>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auto"/>
            </w:tcBorders>
            <w:gridSpan w:val="2"/>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tcBorders>
              <w:right w:val="single" w:sz="8" w:color="auto"/>
            </w:tcBorders>
            <w:gridSpan w:val="2"/>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tcBorders>
              <w:right w:val="single" w:sz="8" w:color="auto"/>
            </w:tcBorders>
            <w:gridSpan w:val="3"/>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auto"/>
            </w:tcBorders>
            <w:gridSpan w:val="2"/>
            <w:shd w:val="clear" w:color="auto" w:fill="CCEEFF"/>
          </w:tcPr>
          <w:p>
            <w:pPr>
              <w:spacing w:after="0"/>
              <w:rPr>
                <w:sz w:val="10"/>
                <w:szCs w:val="10"/>
                <w:color w:val="auto"/>
              </w:rPr>
            </w:pPr>
          </w:p>
        </w:tc>
        <w:tc>
          <w:tcPr>
            <w:tcW w:w="1840" w:type="dxa"/>
            <w:vAlign w:val="bottom"/>
            <w:tcBorders>
              <w:right w:val="single" w:sz="8" w:color="CCEEFF"/>
            </w:tcBorders>
            <w:gridSpan w:val="14"/>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auto"/>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gridSpan w:val="2"/>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contingencies,</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(33,984)</w:t>
            </w:r>
          </w:p>
        </w:tc>
        <w:tc>
          <w:tcPr>
            <w:tcW w:w="1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33,984</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33,984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33,984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33,984</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(3)</w:t>
            </w: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2"/>
                <w:szCs w:val="12"/>
                <w:color w:val="auto"/>
              </w:rPr>
              <w:t>Certain legal</w:t>
            </w:r>
          </w:p>
        </w:tc>
        <w:tc>
          <w:tcPr>
            <w:tcW w:w="10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1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434</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434</w:t>
            </w: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costs (4)</w:t>
            </w: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60" w:type="dxa"/>
            <w:vAlign w:val="bottom"/>
            <w:tcBorders>
              <w:right w:val="single" w:sz="8" w:color="CCEEFF"/>
            </w:tcBorders>
            <w:gridSpan w:val="14"/>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Asset</w:t>
            </w:r>
          </w:p>
        </w:tc>
        <w:tc>
          <w:tcPr>
            <w:tcW w:w="180" w:type="dxa"/>
            <w:vAlign w:val="bottom"/>
            <w:tcBorders>
              <w:right w:val="single" w:sz="8" w:color="auto"/>
            </w:tcBorders>
            <w:gridSpan w:val="2"/>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00" w:type="dxa"/>
            <w:vAlign w:val="bottom"/>
            <w:tcBorders>
              <w:right w:val="single" w:sz="8" w:color="auto"/>
            </w:tcBorders>
            <w:gridSpan w:val="2"/>
            <w:shd w:val="clear" w:color="auto" w:fill="CCEEFF"/>
          </w:tcPr>
          <w:p>
            <w:pPr>
              <w:spacing w:after="0"/>
              <w:rPr>
                <w:sz w:val="10"/>
                <w:szCs w:val="10"/>
                <w:color w:val="auto"/>
              </w:rPr>
            </w:pPr>
          </w:p>
        </w:tc>
        <w:tc>
          <w:tcPr>
            <w:tcW w:w="48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tcBorders>
              <w:right w:val="single" w:sz="8" w:color="auto"/>
            </w:tcBorders>
            <w:gridSpan w:val="2"/>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right w:val="single" w:sz="8" w:color="auto"/>
            </w:tcBorders>
            <w:gridSpan w:val="2"/>
            <w:shd w:val="clear" w:color="auto" w:fill="CCEEFF"/>
          </w:tcPr>
          <w:p>
            <w:pPr>
              <w:spacing w:after="0"/>
              <w:rPr>
                <w:sz w:val="10"/>
                <w:szCs w:val="10"/>
                <w:color w:val="auto"/>
              </w:rPr>
            </w:pPr>
          </w:p>
        </w:tc>
        <w:tc>
          <w:tcPr>
            <w:tcW w:w="600" w:type="dxa"/>
            <w:vAlign w:val="bottom"/>
            <w:tcBorders>
              <w:right w:val="single" w:sz="8" w:color="CCEEFF"/>
            </w:tcBorders>
            <w:gridSpan w:val="2"/>
            <w:shd w:val="clear" w:color="auto" w:fill="CCEEFF"/>
          </w:tcPr>
          <w:p>
            <w:pPr>
              <w:spacing w:after="0"/>
              <w:rPr>
                <w:sz w:val="10"/>
                <w:szCs w:val="10"/>
                <w:color w:val="auto"/>
              </w:rPr>
            </w:pPr>
          </w:p>
        </w:tc>
        <w:tc>
          <w:tcPr>
            <w:tcW w:w="160" w:type="dxa"/>
            <w:vAlign w:val="bottom"/>
            <w:tcBorders>
              <w:right w:val="single" w:sz="8" w:color="auto"/>
            </w:tcBorders>
            <w:gridSpan w:val="3"/>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auto"/>
            </w:tcBorders>
            <w:gridSpan w:val="2"/>
            <w:shd w:val="clear" w:color="auto" w:fill="CCEEFF"/>
          </w:tcPr>
          <w:p>
            <w:pPr>
              <w:spacing w:after="0"/>
              <w:rPr>
                <w:sz w:val="10"/>
                <w:szCs w:val="10"/>
                <w:color w:val="auto"/>
              </w:rPr>
            </w:pPr>
          </w:p>
        </w:tc>
        <w:tc>
          <w:tcPr>
            <w:tcW w:w="1840" w:type="dxa"/>
            <w:vAlign w:val="bottom"/>
            <w:tcBorders>
              <w:right w:val="single" w:sz="8" w:color="CCEEFF"/>
            </w:tcBorders>
            <w:gridSpan w:val="14"/>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auto"/>
            </w:tcBorders>
            <w:gridSpan w:val="2"/>
            <w:shd w:val="clear" w:color="auto" w:fill="CCEEFF"/>
          </w:tcPr>
          <w:p>
            <w:pPr>
              <w:spacing w:after="0"/>
              <w:rPr>
                <w:sz w:val="10"/>
                <w:szCs w:val="10"/>
                <w:color w:val="auto"/>
              </w:rPr>
            </w:pPr>
          </w:p>
        </w:tc>
        <w:tc>
          <w:tcPr>
            <w:tcW w:w="2180" w:type="dxa"/>
            <w:vAlign w:val="bottom"/>
            <w:tcBorders>
              <w:right w:val="single" w:sz="8" w:color="auto"/>
            </w:tcBorders>
            <w:gridSpan w:val="12"/>
            <w:shd w:val="clear" w:color="auto" w:fill="CCEEFF"/>
          </w:tcPr>
          <w:p>
            <w:pPr>
              <w:spacing w:after="0"/>
              <w:rPr>
                <w:sz w:val="10"/>
                <w:szCs w:val="10"/>
                <w:color w:val="auto"/>
              </w:rPr>
            </w:pPr>
          </w:p>
        </w:tc>
        <w:tc>
          <w:tcPr>
            <w:tcW w:w="580" w:type="dxa"/>
            <w:vAlign w:val="bottom"/>
            <w:tcBorders>
              <w:right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gridSpan w:val="2"/>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impairment</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(191,530)</w:t>
            </w:r>
          </w:p>
        </w:tc>
        <w:tc>
          <w:tcPr>
            <w:tcW w:w="1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191,530</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191,530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191,530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191,530</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charges (5)</w:t>
            </w: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Borders>
              <w:right w:val="single" w:sz="8" w:color="auto"/>
            </w:tcBorders>
            <w:gridSpan w:val="16"/>
          </w:tcPr>
          <w:p>
            <w:pPr>
              <w:ind w:left="120"/>
              <w:spacing w:after="0" w:line="119" w:lineRule="exact"/>
              <w:rPr>
                <w:sz w:val="20"/>
                <w:szCs w:val="20"/>
                <w:color w:val="auto"/>
              </w:rPr>
            </w:pPr>
            <w:r>
              <w:rPr>
                <w:rFonts w:ascii="Times New Roman" w:cs="Times New Roman" w:eastAsia="Times New Roman" w:hAnsi="Times New Roman"/>
                <w:sz w:val="12"/>
                <w:szCs w:val="12"/>
                <w:color w:val="auto"/>
              </w:rPr>
              <w:t>Fair value of</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contingent</w:t>
            </w:r>
          </w:p>
        </w:tc>
        <w:tc>
          <w:tcPr>
            <w:tcW w:w="10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1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1,359</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6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1,359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1,359</w:t>
            </w: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consideration (6)</w:t>
            </w:r>
          </w:p>
        </w:tc>
        <w:tc>
          <w:tcPr>
            <w:tcW w:w="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80" w:type="dxa"/>
            <w:vAlign w:val="bottom"/>
            <w:gridSpan w:val="2"/>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Reorganization</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(78,766)</w:t>
            </w:r>
          </w:p>
        </w:tc>
        <w:tc>
          <w:tcPr>
            <w:tcW w:w="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78,766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78,766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78,766</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items, net (8)</w:t>
            </w: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4"/>
            <w:vMerge w:val="continue"/>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Other (9)</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640" w:type="dxa"/>
            <w:vAlign w:val="bottom"/>
            <w:gridSpan w:val="4"/>
          </w:tcPr>
          <w:p>
            <w:pPr>
              <w:jc w:val="right"/>
              <w:ind w:right="1"/>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(2,355)</w:t>
            </w:r>
          </w:p>
        </w:tc>
        <w:tc>
          <w:tcPr>
            <w:tcW w:w="1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2,480</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4"/>
          </w:tcPr>
          <w:p>
            <w:pPr>
              <w:jc w:val="right"/>
              <w:ind w:right="1"/>
              <w:spacing w:after="0"/>
              <w:rPr>
                <w:sz w:val="20"/>
                <w:szCs w:val="20"/>
                <w:color w:val="auto"/>
              </w:rPr>
            </w:pPr>
            <w:r>
              <w:rPr>
                <w:rFonts w:ascii="Times New Roman" w:cs="Times New Roman" w:eastAsia="Times New Roman" w:hAnsi="Times New Roman"/>
                <w:sz w:val="12"/>
                <w:szCs w:val="12"/>
                <w:color w:val="auto"/>
              </w:rPr>
              <w:t>12,502</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(10,022)</w:t>
            </w:r>
          </w:p>
        </w:tc>
        <w:tc>
          <w:tcPr>
            <w:tcW w:w="1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980" w:type="dxa"/>
            <w:vAlign w:val="bottom"/>
            <w:gridSpan w:val="3"/>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Tax adjustments</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(3,818)</w:t>
            </w:r>
          </w:p>
        </w:tc>
        <w:tc>
          <w:tcPr>
            <w:tcW w:w="10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3,818</w:t>
            </w:r>
          </w:p>
        </w:tc>
        <w:tc>
          <w:tcPr>
            <w:tcW w:w="10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480" w:type="dxa"/>
            <w:vAlign w:val="bottom"/>
            <w:gridSpan w:val="2"/>
            <w:vMerge w:val="continue"/>
            <w:shd w:val="clear" w:color="auto" w:fill="CCEEFF"/>
          </w:tcPr>
          <w:p>
            <w:pPr>
              <w:spacing w:after="0"/>
              <w:rPr>
                <w:sz w:val="14"/>
                <w:szCs w:val="14"/>
                <w:color w:val="auto"/>
              </w:rPr>
            </w:pPr>
          </w:p>
        </w:tc>
        <w:tc>
          <w:tcPr>
            <w:tcW w:w="480" w:type="dxa"/>
            <w:vAlign w:val="bottom"/>
            <w:gridSpan w:val="3"/>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440" w:type="dxa"/>
            <w:vAlign w:val="bottom"/>
            <w:gridSpan w:val="2"/>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right w:val="single" w:sz="8" w:color="auto"/>
            </w:tcBorders>
            <w:gridSpan w:val="2"/>
            <w:shd w:val="clear" w:color="auto" w:fill="CCEEFF"/>
          </w:tcPr>
          <w:p>
            <w:pPr>
              <w:spacing w:after="0"/>
              <w:rPr>
                <w:sz w:val="14"/>
                <w:szCs w:val="14"/>
                <w:color w:val="auto"/>
              </w:rPr>
            </w:pPr>
          </w:p>
        </w:tc>
        <w:tc>
          <w:tcPr>
            <w:tcW w:w="380" w:type="dxa"/>
            <w:vAlign w:val="bottom"/>
            <w:gridSpan w:val="2"/>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auto"/>
            </w:tcBorders>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20" w:type="dxa"/>
            <w:vAlign w:val="bottom"/>
            <w:tcBorders>
              <w:right w:val="single" w:sz="8" w:color="auto"/>
            </w:tcBorders>
            <w:gridSpan w:val="2"/>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auto"/>
            </w:tcBorders>
            <w:gridSpan w:val="2"/>
            <w:shd w:val="clear" w:color="auto" w:fill="CCEEFF"/>
          </w:tcPr>
          <w:p>
            <w:pPr>
              <w:spacing w:after="0"/>
              <w:rPr>
                <w:sz w:val="14"/>
                <w:szCs w:val="14"/>
                <w:color w:val="auto"/>
              </w:rPr>
            </w:pPr>
          </w:p>
        </w:tc>
        <w:tc>
          <w:tcPr>
            <w:tcW w:w="420" w:type="dxa"/>
            <w:vAlign w:val="bottom"/>
            <w:gridSpan w:val="3"/>
            <w:shd w:val="clear" w:color="auto" w:fill="CCEEFF"/>
          </w:tcPr>
          <w:p>
            <w:pPr>
              <w:spacing w:after="0"/>
              <w:rPr>
                <w:sz w:val="14"/>
                <w:szCs w:val="14"/>
                <w:color w:val="auto"/>
              </w:rPr>
            </w:pPr>
          </w:p>
        </w:tc>
        <w:tc>
          <w:tcPr>
            <w:tcW w:w="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60" w:type="dxa"/>
            <w:vAlign w:val="bottom"/>
            <w:gridSpan w:val="3"/>
            <w:shd w:val="clear" w:color="auto" w:fill="CCEEFF"/>
          </w:tcPr>
          <w:p>
            <w:pPr>
              <w:spacing w:after="0"/>
              <w:rPr>
                <w:sz w:val="14"/>
                <w:szCs w:val="14"/>
                <w:color w:val="auto"/>
              </w:rPr>
            </w:pPr>
          </w:p>
        </w:tc>
        <w:tc>
          <w:tcPr>
            <w:tcW w:w="4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auto"/>
            </w:tcBorders>
            <w:gridSpan w:val="2"/>
            <w:shd w:val="clear" w:color="auto" w:fill="CCEEFF"/>
          </w:tcPr>
          <w:p>
            <w:pPr>
              <w:spacing w:after="0"/>
              <w:rPr>
                <w:sz w:val="14"/>
                <w:szCs w:val="14"/>
                <w:color w:val="auto"/>
              </w:rPr>
            </w:pPr>
          </w:p>
        </w:tc>
        <w:tc>
          <w:tcPr>
            <w:tcW w:w="140" w:type="dxa"/>
            <w:vAlign w:val="bottom"/>
            <w:gridSpan w:val="3"/>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00" w:type="dxa"/>
            <w:vAlign w:val="bottom"/>
            <w:gridSpan w:val="3"/>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62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40" w:type="dxa"/>
            <w:vAlign w:val="bottom"/>
            <w:tcBorders>
              <w:right w:val="single" w:sz="8" w:color="auto"/>
            </w:tcBorders>
            <w:gridSpan w:val="16"/>
          </w:tcPr>
          <w:p>
            <w:pPr>
              <w:ind w:left="120"/>
              <w:spacing w:after="0" w:line="119" w:lineRule="exact"/>
              <w:rPr>
                <w:sz w:val="20"/>
                <w:szCs w:val="20"/>
                <w:color w:val="auto"/>
              </w:rPr>
            </w:pPr>
            <w:r>
              <w:rPr>
                <w:rFonts w:ascii="Times New Roman" w:cs="Times New Roman" w:eastAsia="Times New Roman" w:hAnsi="Times New Roman"/>
                <w:sz w:val="12"/>
                <w:szCs w:val="12"/>
                <w:color w:val="auto"/>
              </w:rPr>
              <w:t>Discontinued</w:t>
            </w:r>
          </w:p>
        </w:tc>
        <w:tc>
          <w:tcPr>
            <w:tcW w:w="480" w:type="dxa"/>
            <w:vAlign w:val="bottom"/>
            <w:tcBorders>
              <w:right w:val="single" w:sz="8" w:color="auto"/>
            </w:tcBorders>
            <w:gridSpan w:val="3"/>
          </w:tcPr>
          <w:p>
            <w:pPr>
              <w:spacing w:after="0"/>
              <w:rPr>
                <w:sz w:val="10"/>
                <w:szCs w:val="10"/>
                <w:color w:val="auto"/>
              </w:rPr>
            </w:pPr>
          </w:p>
        </w:tc>
        <w:tc>
          <w:tcPr>
            <w:tcW w:w="70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760" w:type="dxa"/>
            <w:vAlign w:val="bottom"/>
            <w:tcBorders>
              <w:right w:val="single" w:sz="8" w:color="auto"/>
            </w:tcBorders>
            <w:gridSpan w:val="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1940" w:type="dxa"/>
            <w:vAlign w:val="bottom"/>
            <w:tcBorders>
              <w:right w:val="single" w:sz="8" w:color="auto"/>
            </w:tcBorders>
            <w:gridSpan w:val="15"/>
          </w:tcPr>
          <w:p>
            <w:pPr>
              <w:spacing w:after="0"/>
              <w:rPr>
                <w:sz w:val="10"/>
                <w:szCs w:val="10"/>
                <w:color w:val="auto"/>
              </w:rPr>
            </w:pPr>
          </w:p>
        </w:tc>
        <w:tc>
          <w:tcPr>
            <w:tcW w:w="600" w:type="dxa"/>
            <w:vAlign w:val="bottom"/>
            <w:tcBorders>
              <w:right w:val="single" w:sz="8" w:color="auto"/>
            </w:tcBorders>
            <w:gridSpan w:val="3"/>
          </w:tcPr>
          <w:p>
            <w:pPr>
              <w:spacing w:after="0"/>
              <w:rPr>
                <w:sz w:val="10"/>
                <w:szCs w:val="10"/>
                <w:color w:val="auto"/>
              </w:rPr>
            </w:pPr>
          </w:p>
        </w:tc>
        <w:tc>
          <w:tcPr>
            <w:tcW w:w="2180" w:type="dxa"/>
            <w:vAlign w:val="bottom"/>
            <w:tcBorders>
              <w:right w:val="single" w:sz="8" w:color="auto"/>
            </w:tcBorders>
            <w:gridSpan w:val="12"/>
          </w:tcPr>
          <w:p>
            <w:pPr>
              <w:spacing w:after="0"/>
              <w:rPr>
                <w:sz w:val="10"/>
                <w:szCs w:val="10"/>
                <w:color w:val="auto"/>
              </w:rPr>
            </w:pPr>
          </w:p>
        </w:tc>
        <w:tc>
          <w:tcPr>
            <w:tcW w:w="580" w:type="dxa"/>
            <w:vAlign w:val="bottom"/>
            <w:tcBorders>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2"/>
                <w:szCs w:val="12"/>
                <w:color w:val="auto"/>
              </w:rPr>
              <w:t>operations, net of</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(1,628)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(1,628)</w:t>
            </w:r>
          </w:p>
        </w:tc>
        <w:tc>
          <w:tcPr>
            <w:tcW w:w="1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tax (10)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right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right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60" w:type="dxa"/>
            <w:vAlign w:val="bottom"/>
            <w:tcBorders>
              <w:right w:val="single" w:sz="8" w:color="CCEEFF"/>
            </w:tcBorders>
            <w:gridSpan w:val="14"/>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w w:val="99"/>
              </w:rPr>
              <w:t>After considering</w:t>
            </w:r>
          </w:p>
        </w:tc>
        <w:tc>
          <w:tcPr>
            <w:tcW w:w="180" w:type="dxa"/>
            <w:vAlign w:val="bottom"/>
            <w:tcBorders>
              <w:right w:val="single" w:sz="8" w:color="auto"/>
            </w:tcBorders>
            <w:gridSpan w:val="2"/>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300" w:type="dxa"/>
            <w:vAlign w:val="bottom"/>
            <w:tcBorders>
              <w:right w:val="single" w:sz="8" w:color="auto"/>
            </w:tcBorders>
            <w:gridSpan w:val="2"/>
            <w:shd w:val="clear" w:color="auto" w:fill="CCEEFF"/>
          </w:tcPr>
          <w:p>
            <w:pPr>
              <w:spacing w:after="0"/>
              <w:rPr>
                <w:sz w:val="9"/>
                <w:szCs w:val="9"/>
                <w:color w:val="auto"/>
              </w:rPr>
            </w:pPr>
          </w:p>
        </w:tc>
        <w:tc>
          <w:tcPr>
            <w:tcW w:w="480" w:type="dxa"/>
            <w:vAlign w:val="bottom"/>
            <w:tcBorders>
              <w:right w:val="single" w:sz="8" w:color="CCEEFF"/>
            </w:tcBorders>
            <w:gridSpan w:val="3"/>
            <w:shd w:val="clear" w:color="auto" w:fill="CCEEFF"/>
          </w:tcPr>
          <w:p>
            <w:pPr>
              <w:spacing w:after="0"/>
              <w:rPr>
                <w:sz w:val="9"/>
                <w:szCs w:val="9"/>
                <w:color w:val="auto"/>
              </w:rPr>
            </w:pPr>
          </w:p>
        </w:tc>
        <w:tc>
          <w:tcPr>
            <w:tcW w:w="220" w:type="dxa"/>
            <w:vAlign w:val="bottom"/>
            <w:tcBorders>
              <w:right w:val="single" w:sz="8" w:color="auto"/>
            </w:tcBorders>
            <w:gridSpan w:val="2"/>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200" w:type="dxa"/>
            <w:vAlign w:val="bottom"/>
            <w:tcBorders>
              <w:right w:val="single" w:sz="8" w:color="auto"/>
            </w:tcBorders>
            <w:gridSpan w:val="2"/>
            <w:shd w:val="clear" w:color="auto" w:fill="CCEEFF"/>
          </w:tcPr>
          <w:p>
            <w:pPr>
              <w:spacing w:after="0"/>
              <w:rPr>
                <w:sz w:val="9"/>
                <w:szCs w:val="9"/>
                <w:color w:val="auto"/>
              </w:rPr>
            </w:pPr>
          </w:p>
        </w:tc>
        <w:tc>
          <w:tcPr>
            <w:tcW w:w="600" w:type="dxa"/>
            <w:vAlign w:val="bottom"/>
            <w:tcBorders>
              <w:right w:val="single" w:sz="8" w:color="CCEEFF"/>
            </w:tcBorders>
            <w:gridSpan w:val="2"/>
            <w:shd w:val="clear" w:color="auto" w:fill="CCEEFF"/>
          </w:tcPr>
          <w:p>
            <w:pPr>
              <w:spacing w:after="0"/>
              <w:rPr>
                <w:sz w:val="9"/>
                <w:szCs w:val="9"/>
                <w:color w:val="auto"/>
              </w:rPr>
            </w:pPr>
          </w:p>
        </w:tc>
        <w:tc>
          <w:tcPr>
            <w:tcW w:w="160" w:type="dxa"/>
            <w:vAlign w:val="bottom"/>
            <w:tcBorders>
              <w:right w:val="single" w:sz="8" w:color="auto"/>
            </w:tcBorders>
            <w:gridSpan w:val="3"/>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140" w:type="dxa"/>
            <w:vAlign w:val="bottom"/>
            <w:tcBorders>
              <w:right w:val="single" w:sz="8" w:color="auto"/>
            </w:tcBorders>
            <w:gridSpan w:val="2"/>
            <w:shd w:val="clear" w:color="auto" w:fill="CCEEFF"/>
          </w:tcPr>
          <w:p>
            <w:pPr>
              <w:spacing w:after="0"/>
              <w:rPr>
                <w:sz w:val="9"/>
                <w:szCs w:val="9"/>
                <w:color w:val="auto"/>
              </w:rPr>
            </w:pPr>
          </w:p>
        </w:tc>
        <w:tc>
          <w:tcPr>
            <w:tcW w:w="1840" w:type="dxa"/>
            <w:vAlign w:val="bottom"/>
            <w:tcBorders>
              <w:right w:val="single" w:sz="8" w:color="CCEEFF"/>
            </w:tcBorders>
            <w:gridSpan w:val="14"/>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auto"/>
            </w:tcBorders>
            <w:gridSpan w:val="2"/>
            <w:shd w:val="clear" w:color="auto" w:fill="CCEEFF"/>
          </w:tcPr>
          <w:p>
            <w:pPr>
              <w:spacing w:after="0"/>
              <w:rPr>
                <w:sz w:val="9"/>
                <w:szCs w:val="9"/>
                <w:color w:val="auto"/>
              </w:rPr>
            </w:pPr>
          </w:p>
        </w:tc>
        <w:tc>
          <w:tcPr>
            <w:tcW w:w="2180" w:type="dxa"/>
            <w:vAlign w:val="bottom"/>
            <w:tcBorders>
              <w:right w:val="single" w:sz="8" w:color="auto"/>
            </w:tcBorders>
            <w:gridSpan w:val="12"/>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980" w:type="dxa"/>
            <w:vAlign w:val="bottom"/>
            <w:gridSpan w:val="3"/>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items (non-GAAP)</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$ 555,812</w:t>
            </w:r>
          </w:p>
        </w:tc>
        <w:tc>
          <w:tcPr>
            <w:tcW w:w="6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54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5"/>
              </w:rPr>
              <w:t>$ 180,521</w:t>
            </w:r>
          </w:p>
        </w:tc>
        <w:tc>
          <w:tcPr>
            <w:tcW w:w="80" w:type="dxa"/>
            <w:vAlign w:val="bottom"/>
            <w:vMerge w:val="restart"/>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$ 375,291</w:t>
            </w:r>
          </w:p>
        </w:tc>
        <w:tc>
          <w:tcPr>
            <w:tcW w:w="80" w:type="dxa"/>
            <w:vAlign w:val="bottom"/>
            <w:tcBorders>
              <w:right w:val="single" w:sz="8" w:color="auto"/>
            </w:tcBorders>
            <w:shd w:val="clear" w:color="auto" w:fill="CCEEFF"/>
          </w:tcPr>
          <w:p>
            <w:pPr>
              <w:spacing w:after="0"/>
              <w:rPr>
                <w:sz w:val="10"/>
                <w:szCs w:val="10"/>
                <w:color w:val="auto"/>
              </w:rPr>
            </w:pPr>
          </w:p>
        </w:tc>
        <w:tc>
          <w:tcPr>
            <w:tcW w:w="48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67.5 %</w:t>
            </w:r>
          </w:p>
        </w:tc>
        <w:tc>
          <w:tcPr>
            <w:tcW w:w="40" w:type="dxa"/>
            <w:vAlign w:val="bottom"/>
            <w:vMerge w:val="restart"/>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9"/>
              </w:rPr>
              <w:t>$ 183,195</w:t>
            </w:r>
          </w:p>
        </w:tc>
        <w:tc>
          <w:tcPr>
            <w:tcW w:w="100" w:type="dxa"/>
            <w:vAlign w:val="bottom"/>
            <w:tcBorders>
              <w:right w:val="single" w:sz="8" w:color="auto"/>
            </w:tcBorders>
            <w:shd w:val="clear" w:color="auto" w:fill="CCEEFF"/>
          </w:tcPr>
          <w:p>
            <w:pPr>
              <w:spacing w:after="0"/>
              <w:rPr>
                <w:sz w:val="10"/>
                <w:szCs w:val="10"/>
                <w:color w:val="auto"/>
              </w:rPr>
            </w:pPr>
          </w:p>
        </w:tc>
        <w:tc>
          <w:tcPr>
            <w:tcW w:w="60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33.0 %</w:t>
            </w:r>
          </w:p>
        </w:tc>
        <w:tc>
          <w:tcPr>
            <w:tcW w:w="6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192,096</w:t>
            </w:r>
          </w:p>
        </w:tc>
        <w:tc>
          <w:tcPr>
            <w:tcW w:w="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34.6 %</w:t>
            </w:r>
          </w:p>
        </w:tc>
        <w:tc>
          <w:tcPr>
            <w:tcW w:w="6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4"/>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885</w:t>
            </w:r>
          </w:p>
        </w:tc>
        <w:tc>
          <w:tcPr>
            <w:tcW w:w="8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191,211</w:t>
            </w:r>
          </w:p>
        </w:tc>
        <w:tc>
          <w:tcPr>
            <w:tcW w:w="2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1,682</w:t>
            </w:r>
          </w:p>
        </w:tc>
        <w:tc>
          <w:tcPr>
            <w:tcW w:w="100" w:type="dxa"/>
            <w:vAlign w:val="bottom"/>
            <w:tcBorders>
              <w:right w:val="single" w:sz="8" w:color="auto"/>
            </w:tcBorders>
            <w:shd w:val="clear" w:color="auto" w:fill="CCEEFF"/>
          </w:tcPr>
          <w:p>
            <w:pPr>
              <w:spacing w:after="0"/>
              <w:rPr>
                <w:sz w:val="10"/>
                <w:szCs w:val="10"/>
                <w:color w:val="auto"/>
              </w:rPr>
            </w:pPr>
          </w:p>
        </w:tc>
        <w:tc>
          <w:tcPr>
            <w:tcW w:w="600" w:type="dxa"/>
            <w:vAlign w:val="bottom"/>
            <w:tcBorders>
              <w:right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0.9 %</w:t>
            </w:r>
          </w:p>
        </w:tc>
        <w:tc>
          <w:tcPr>
            <w:tcW w:w="20" w:type="dxa"/>
            <w:vAlign w:val="bottom"/>
            <w:shd w:val="clear" w:color="auto" w:fill="CCEEFF"/>
          </w:tcPr>
          <w:p>
            <w:pPr>
              <w:spacing w:after="0"/>
              <w:rPr>
                <w:sz w:val="10"/>
                <w:szCs w:val="10"/>
                <w:color w:val="auto"/>
              </w:rPr>
            </w:pPr>
          </w:p>
        </w:tc>
        <w:tc>
          <w:tcPr>
            <w:tcW w:w="4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189,529</w:t>
            </w:r>
          </w:p>
        </w:tc>
        <w:tc>
          <w:tcPr>
            <w:tcW w:w="6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189,529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0.80</w:t>
            </w:r>
          </w:p>
        </w:tc>
        <w:tc>
          <w:tcPr>
            <w:tcW w:w="0" w:type="dxa"/>
            <w:vAlign w:val="bottom"/>
          </w:tcPr>
          <w:p>
            <w:pPr>
              <w:spacing w:after="0"/>
              <w:rPr>
                <w:sz w:val="1"/>
                <w:szCs w:val="1"/>
                <w:color w:val="auto"/>
              </w:rPr>
            </w:pPr>
          </w:p>
        </w:tc>
      </w:tr>
      <w:tr>
        <w:trPr>
          <w:trHeight w:val="201"/>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540" w:type="dxa"/>
            <w:vAlign w:val="bottom"/>
            <w:tcBorders>
              <w:bottom w:val="single" w:sz="8" w:color="auto"/>
            </w:tcBorders>
            <w:gridSpan w:val="4"/>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560" w:type="dxa"/>
            <w:vAlign w:val="bottom"/>
            <w:tcBorders>
              <w:bottom w:val="single" w:sz="8" w:color="auto"/>
            </w:tcBorders>
            <w:gridSpan w:val="3"/>
            <w:vMerge w:val="continue"/>
            <w:shd w:val="clear" w:color="auto" w:fill="CCEEFF"/>
          </w:tcPr>
          <w:p>
            <w:pPr>
              <w:spacing w:after="0"/>
              <w:rPr>
                <w:sz w:val="17"/>
                <w:szCs w:val="17"/>
                <w:color w:val="auto"/>
              </w:rPr>
            </w:pPr>
          </w:p>
        </w:tc>
        <w:tc>
          <w:tcPr>
            <w:tcW w:w="80" w:type="dxa"/>
            <w:vAlign w:val="bottom"/>
            <w:tcBorders>
              <w:bottom w:val="single" w:sz="8" w:color="CCEEFF"/>
              <w:right w:val="single" w:sz="8" w:color="auto"/>
            </w:tcBorders>
            <w:shd w:val="clear" w:color="auto" w:fill="CCEEFF"/>
          </w:tcPr>
          <w:p>
            <w:pPr>
              <w:spacing w:after="0"/>
              <w:rPr>
                <w:sz w:val="17"/>
                <w:szCs w:val="17"/>
                <w:color w:val="auto"/>
              </w:rPr>
            </w:pPr>
          </w:p>
        </w:tc>
        <w:tc>
          <w:tcPr>
            <w:tcW w:w="48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560" w:type="dxa"/>
            <w:vAlign w:val="bottom"/>
            <w:tcBorders>
              <w:bottom w:val="single" w:sz="8" w:color="auto"/>
            </w:tcBorders>
            <w:gridSpan w:val="3"/>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58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gridSpan w:val="4"/>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58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right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3"/>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60"/>
          </w:cols>
          <w:pgMar w:left="320" w:top="973" w:right="319" w:bottom="463"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61"/>
              <w:spacing w:after="0" w:line="131" w:lineRule="exact"/>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w w:val="97"/>
              </w:rPr>
              <w:t>(Loss)</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9"/>
              </w:rPr>
              <w:t>net (loss)</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2"/>
                <w:szCs w:val="12"/>
                <w:color w:val="auto"/>
                <w:w w:val="95"/>
              </w:rPr>
              <w:t>Operating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w w:val="99"/>
              </w:rPr>
              <w:t>Other non-</w:t>
            </w: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2"/>
                <w:szCs w:val="12"/>
                <w:color w:val="auto"/>
                <w:w w:val="96"/>
              </w:rPr>
              <w:t>income</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7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2"/>
                <w:szCs w:val="12"/>
                <w:color w:val="auto"/>
                <w:w w:val="97"/>
              </w:rPr>
              <w:t>income from</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w w:val="97"/>
              </w:rPr>
              <w:t>(Loss)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per share</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71"/>
              </w:rPr>
              <w:t>Gross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3"/>
              </w:rPr>
              <w:t>Operating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181"/>
              <w:spacing w:after="0" w:line="118" w:lineRule="exact"/>
              <w:rPr>
                <w:sz w:val="20"/>
                <w:szCs w:val="20"/>
                <w:color w:val="auto"/>
              </w:rPr>
            </w:pPr>
            <w:r>
              <w:rPr>
                <w:rFonts w:ascii="Times New Roman" w:cs="Times New Roman" w:eastAsia="Times New Roman" w:hAnsi="Times New Roman"/>
                <w:sz w:val="12"/>
                <w:szCs w:val="12"/>
                <w:color w:val="auto"/>
                <w:w w:val="97"/>
              </w:rPr>
              <w:t>(loss)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2"/>
                <w:szCs w:val="12"/>
                <w:color w:val="auto"/>
                <w:w w:val="96"/>
              </w:rPr>
              <w:t>operating</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540" w:type="dxa"/>
            <w:vAlign w:val="bottom"/>
            <w:vMerge w:val="restart"/>
          </w:tcPr>
          <w:p>
            <w:pPr>
              <w:jc w:val="center"/>
              <w:ind w:right="41"/>
              <w:spacing w:after="0"/>
              <w:rPr>
                <w:sz w:val="20"/>
                <w:szCs w:val="20"/>
                <w:color w:val="auto"/>
              </w:rPr>
            </w:pPr>
            <w:r>
              <w:rPr>
                <w:rFonts w:ascii="Times New Roman" w:cs="Times New Roman" w:eastAsia="Times New Roman" w:hAnsi="Times New Roman"/>
                <w:sz w:val="12"/>
                <w:szCs w:val="12"/>
                <w:color w:val="auto"/>
                <w:w w:val="99"/>
              </w:rPr>
              <w:t>Income</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Discontinued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2"/>
                <w:szCs w:val="12"/>
                <w:color w:val="auto"/>
                <w:w w:val="94"/>
              </w:rPr>
              <w:t>from</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Cost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Gross</w:t>
            </w: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3"/>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3"/>
              </w:rPr>
              <w:t>income from</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3"/>
              </w:rPr>
              <w:t>Operating</w:t>
            </w:r>
          </w:p>
        </w:tc>
        <w:tc>
          <w:tcPr>
            <w:tcW w:w="60" w:type="dxa"/>
            <w:vAlign w:val="bottom"/>
          </w:tcPr>
          <w:p>
            <w:pPr>
              <w:spacing w:after="0"/>
              <w:rPr>
                <w:sz w:val="10"/>
                <w:szCs w:val="10"/>
                <w:color w:val="auto"/>
              </w:rPr>
            </w:pPr>
          </w:p>
        </w:tc>
        <w:tc>
          <w:tcPr>
            <w:tcW w:w="5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8"/>
              </w:rPr>
              <w:t>expense</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540" w:type="dxa"/>
            <w:vAlign w:val="bottom"/>
            <w:vMerge w:val="continue"/>
          </w:tcPr>
          <w:p>
            <w:pPr>
              <w:spacing w:after="0"/>
              <w:rPr>
                <w:sz w:val="10"/>
                <w:szCs w:val="10"/>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5"/>
              </w:rPr>
              <w:t>Effective</w:t>
            </w:r>
          </w:p>
        </w:tc>
        <w:tc>
          <w:tcPr>
            <w:tcW w:w="74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income from</w:t>
            </w: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w w:val="97"/>
              </w:rPr>
              <w:t>Net (loss)</w:t>
            </w: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6"/>
              </w:rPr>
              <w:t>revenues,</w:t>
            </w: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46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2"/>
                <w:szCs w:val="12"/>
                <w:color w:val="auto"/>
                <w:w w:val="88"/>
              </w:rPr>
              <w:t>margin</w:t>
            </w:r>
          </w:p>
        </w:tc>
        <w:tc>
          <w:tcPr>
            <w:tcW w:w="660" w:type="dxa"/>
            <w:vAlign w:val="bottom"/>
            <w:gridSpan w:val="3"/>
          </w:tcPr>
          <w:p>
            <w:pPr>
              <w:jc w:val="right"/>
              <w:ind w:right="121"/>
              <w:spacing w:after="0" w:line="118" w:lineRule="exact"/>
              <w:rPr>
                <w:sz w:val="20"/>
                <w:szCs w:val="20"/>
                <w:color w:val="auto"/>
              </w:rPr>
            </w:pPr>
            <w:r>
              <w:rPr>
                <w:rFonts w:ascii="Times New Roman" w:cs="Times New Roman" w:eastAsia="Times New Roman" w:hAnsi="Times New Roman"/>
                <w:sz w:val="12"/>
                <w:szCs w:val="12"/>
                <w:color w:val="auto"/>
              </w:rPr>
              <w:t>operating</w:t>
            </w:r>
          </w:p>
        </w:tc>
        <w:tc>
          <w:tcPr>
            <w:tcW w:w="100" w:type="dxa"/>
            <w:vAlign w:val="bottom"/>
          </w:tcPr>
          <w:p>
            <w:pPr>
              <w:spacing w:after="0"/>
              <w:rPr>
                <w:sz w:val="10"/>
                <w:szCs w:val="10"/>
                <w:color w:val="auto"/>
              </w:rPr>
            </w:pPr>
          </w:p>
        </w:tc>
        <w:tc>
          <w:tcPr>
            <w:tcW w:w="60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2"/>
                <w:szCs w:val="12"/>
                <w:color w:val="auto"/>
                <w:w w:val="82"/>
              </w:rPr>
              <w:t>expense to</w:t>
            </w:r>
          </w:p>
        </w:tc>
        <w:tc>
          <w:tcPr>
            <w:tcW w:w="700" w:type="dxa"/>
            <w:vAlign w:val="bottom"/>
            <w:gridSpan w:val="3"/>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2"/>
                <w:szCs w:val="12"/>
                <w:color w:val="auto"/>
                <w:w w:val="99"/>
              </w:rPr>
              <w:t>(income),</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before</w:t>
            </w:r>
          </w:p>
        </w:tc>
        <w:tc>
          <w:tcPr>
            <w:tcW w:w="54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2"/>
                <w:szCs w:val="12"/>
                <w:color w:val="auto"/>
                <w:w w:val="95"/>
              </w:rPr>
              <w:t>tax</w:t>
            </w: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7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8"/>
              </w:rPr>
              <w:t>operations,</w:t>
            </w: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net</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revenues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margin</w:t>
            </w:r>
          </w:p>
        </w:tc>
        <w:tc>
          <w:tcPr>
            <w:tcW w:w="360" w:type="dxa"/>
            <w:vAlign w:val="bottom"/>
            <w:gridSpan w:val="2"/>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gridSpan w:val="3"/>
          </w:tcPr>
          <w:p>
            <w:pPr>
              <w:jc w:val="right"/>
              <w:ind w:right="121"/>
              <w:spacing w:after="0"/>
              <w:rPr>
                <w:sz w:val="20"/>
                <w:szCs w:val="20"/>
                <w:color w:val="auto"/>
              </w:rPr>
            </w:pPr>
            <w:r>
              <w:rPr>
                <w:rFonts w:ascii="Times New Roman" w:cs="Times New Roman" w:eastAsia="Times New Roman" w:hAnsi="Times New Roman"/>
                <w:sz w:val="12"/>
                <w:szCs w:val="12"/>
                <w:color w:val="auto"/>
              </w:rPr>
              <w:t>expenses</w:t>
            </w:r>
          </w:p>
        </w:tc>
        <w:tc>
          <w:tcPr>
            <w:tcW w:w="1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revenue %</w:t>
            </w:r>
          </w:p>
        </w:tc>
        <w:tc>
          <w:tcPr>
            <w:tcW w:w="700" w:type="dxa"/>
            <w:vAlign w:val="bottom"/>
            <w:gridSpan w:val="3"/>
          </w:tcPr>
          <w:p>
            <w:pPr>
              <w:jc w:val="center"/>
              <w:ind w:right="61"/>
              <w:spacing w:after="0"/>
              <w:rPr>
                <w:sz w:val="20"/>
                <w:szCs w:val="20"/>
                <w:color w:val="auto"/>
              </w:rPr>
            </w:pPr>
            <w:r>
              <w:rPr>
                <w:rFonts w:ascii="Times New Roman" w:cs="Times New Roman" w:eastAsia="Times New Roman" w:hAnsi="Times New Roman"/>
                <w:sz w:val="12"/>
                <w:szCs w:val="12"/>
                <w:color w:val="auto"/>
                <w:w w:val="99"/>
              </w:rPr>
              <w:t>operations</w:t>
            </w: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5"/>
              </w:rPr>
              <w:t>margin %</w:t>
            </w:r>
          </w:p>
        </w:tc>
        <w:tc>
          <w:tcPr>
            <w:tcW w:w="60" w:type="dxa"/>
            <w:vAlign w:val="bottom"/>
          </w:tcPr>
          <w:p>
            <w:pPr>
              <w:spacing w:after="0"/>
              <w:rPr>
                <w:sz w:val="13"/>
                <w:szCs w:val="13"/>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net</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8"/>
              </w:rPr>
              <w:t>income tax</w:t>
            </w:r>
          </w:p>
        </w:tc>
        <w:tc>
          <w:tcPr>
            <w:tcW w:w="54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auto"/>
                <w:w w:val="98"/>
              </w:rPr>
              <w:t>expense</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5"/>
              </w:rPr>
              <w:t>tax rate</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operations</w:t>
            </w:r>
          </w:p>
        </w:tc>
        <w:tc>
          <w:tcPr>
            <w:tcW w:w="8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6"/>
              </w:rPr>
              <w:t>net of tax</w:t>
            </w: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6"/>
              </w:rPr>
              <w:t>income</w:t>
            </w:r>
          </w:p>
        </w:tc>
        <w:tc>
          <w:tcPr>
            <w:tcW w:w="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04"/>
        </w:trPr>
        <w:tc>
          <w:tcPr>
            <w:tcW w:w="86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rPr>
              <w:t>Reported</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$ 2,011,518</w:t>
            </w: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7"/>
              </w:rPr>
              <w:t>$946,415</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1"/>
              </w:rPr>
              <w:t>$ 1,065,103</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36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53.0 %</w:t>
            </w: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60" w:type="dxa"/>
            <w:vAlign w:val="bottom"/>
            <w:tcBorders>
              <w:top w:val="single" w:sz="8" w:color="auto"/>
              <w:right w:val="single" w:sz="8" w:color="auto"/>
            </w:tcBorders>
            <w:gridSpan w:val="3"/>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87"/>
              </w:rPr>
              <w:t>$ 2,296,754</w:t>
            </w:r>
          </w:p>
        </w:tc>
        <w:tc>
          <w:tcPr>
            <w:tcW w:w="60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114.2 %</w:t>
            </w: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700" w:type="dxa"/>
            <w:vAlign w:val="bottom"/>
            <w:tcBorders>
              <w:top w:val="single" w:sz="8" w:color="auto"/>
              <w:right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$(1,231,651)</w:t>
            </w:r>
          </w:p>
        </w:tc>
        <w:tc>
          <w:tcPr>
            <w:tcW w:w="600" w:type="dxa"/>
            <w:vAlign w:val="bottom"/>
            <w:tcBorders>
              <w:top w:val="single" w:sz="8" w:color="auto"/>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w:t>
            </w: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87"/>
              </w:rPr>
              <w:t>$ 1,160,273</w:t>
            </w: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$(2,391,924)</w:t>
            </w: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97"/>
              </w:rPr>
              <w:t>$55,862</w:t>
            </w:r>
          </w:p>
        </w:tc>
        <w:tc>
          <w:tcPr>
            <w:tcW w:w="5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$(2,447,786)</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(2,449,807)</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(10.41)</w:t>
            </w: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w:t>
            </w: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6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auto"/>
            </w:tcBorders>
            <w:gridSpan w:val="3"/>
            <w:vMerge w:val="continue"/>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auto"/>
            </w:tcBorders>
            <w:gridSpan w:val="3"/>
            <w:vMerge w:val="continue"/>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48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Items impacting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comparability:</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Amortization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of intangible</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(255,933)</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255,933</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255,933</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255,933</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255,933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255,933</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assets (11)</w:t>
            </w:r>
          </w:p>
        </w:tc>
        <w:tc>
          <w:tcPr>
            <w:tcW w:w="68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Amounts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to</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continuity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separation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benefits, cost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reductions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strategic</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review</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(4,514)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4,514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w w:val="92"/>
              </w:rPr>
              <w:t>(39,584)</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44,098</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44,098</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44,098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44,098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initiatives (2)</w:t>
            </w:r>
          </w:p>
        </w:tc>
        <w:tc>
          <w:tcPr>
            <w:tcW w:w="68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Certain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litigation-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and</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other</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contingencies,</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right w:val="single" w:sz="8" w:color="auto"/>
            </w:tcBorders>
            <w:gridSpan w:val="3"/>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2"/>
              </w:rPr>
              <w:t>(1,611,090)</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00" w:type="dxa"/>
            <w:vAlign w:val="bottom"/>
            <w:tcBorders>
              <w:right w:val="single" w:sz="8" w:color="auto"/>
            </w:tcBorders>
            <w:gridSpan w:val="3"/>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1,611,090</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1,611,090</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1,611,090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1,611,090</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(3)</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auto"/>
            </w:tcBorders>
            <w:gridSpan w:val="3"/>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auto"/>
            </w:tcBorders>
            <w:gridSpan w:val="3"/>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Certain legal</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(7,256)</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7,256</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7,256</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7,256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7,256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(4)</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Asset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impairment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(503)</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503</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charges (5)</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Fair value of</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consideration</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(1,972)</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1,972</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1,972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w w:val="98"/>
              </w:rPr>
              <w:t>Reorganization</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(1,169,961)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1,169,961</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1,169,961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1,169,961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items, net (8)</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jc w:val="right"/>
              <w:ind w:right="1"/>
              <w:spacing w:after="0"/>
              <w:rPr>
                <w:sz w:val="20"/>
                <w:szCs w:val="20"/>
                <w:color w:val="auto"/>
              </w:rPr>
            </w:pPr>
            <w:r>
              <w:rPr>
                <w:rFonts w:ascii="Times New Roman" w:cs="Times New Roman" w:eastAsia="Times New Roman" w:hAnsi="Times New Roman"/>
                <w:sz w:val="12"/>
                <w:szCs w:val="12"/>
                <w:color w:val="auto"/>
              </w:rPr>
              <w:t>1,278</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w w:val="92"/>
              </w:rPr>
              <w:t>(18,753)</w:t>
            </w: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20,031</w:t>
            </w: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6,546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13,485</w:t>
            </w:r>
          </w:p>
        </w:tc>
        <w:tc>
          <w:tcPr>
            <w:tcW w:w="80" w:type="dxa"/>
            <w:vAlign w:val="bottom"/>
          </w:tcPr>
          <w:p>
            <w:pPr>
              <w:spacing w:after="0"/>
              <w:rPr>
                <w:sz w:val="13"/>
                <w:szCs w:val="13"/>
                <w:color w:val="auto"/>
              </w:rPr>
            </w:pPr>
          </w:p>
        </w:tc>
        <w:tc>
          <w:tcPr>
            <w:tcW w:w="54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Tax</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adjustments</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auto"/>
            </w:tcBorders>
            <w:vMerge w:val="restart"/>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rPr>
              <w:t>(50,022)</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50,022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50,022</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Discontinued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operations, net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2,021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 tax (10)</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86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w w:val="97"/>
              </w:rPr>
              <w:t>After considering</w:t>
            </w: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28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auto"/>
            </w:tcBorders>
            <w:shd w:val="clear" w:color="auto" w:fill="CCEEFF"/>
          </w:tcPr>
          <w:p>
            <w:pPr>
              <w:spacing w:after="0"/>
              <w:rPr>
                <w:sz w:val="9"/>
                <w:szCs w:val="9"/>
                <w:color w:val="auto"/>
              </w:rPr>
            </w:pPr>
          </w:p>
        </w:tc>
        <w:tc>
          <w:tcPr>
            <w:tcW w:w="58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items (non-</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$ 2,011,518</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7"/>
              </w:rPr>
              <w:t>$684,690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1"/>
              </w:rPr>
              <w:t>$ 1,326,828</w:t>
            </w:r>
          </w:p>
        </w:tc>
        <w:tc>
          <w:tcPr>
            <w:tcW w:w="100" w:type="dxa"/>
            <w:vAlign w:val="bottom"/>
            <w:tcBorders>
              <w:right w:val="single" w:sz="8" w:color="auto"/>
            </w:tcBorders>
            <w:shd w:val="clear" w:color="auto" w:fill="CCEEFF"/>
          </w:tcPr>
          <w:p>
            <w:pPr>
              <w:spacing w:after="0"/>
              <w:rPr>
                <w:sz w:val="10"/>
                <w:szCs w:val="10"/>
                <w:color w:val="auto"/>
              </w:rPr>
            </w:pPr>
          </w:p>
        </w:tc>
        <w:tc>
          <w:tcPr>
            <w:tcW w:w="36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66.0 %</w:t>
            </w: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92"/>
              </w:rPr>
              <w:t>617,596</w:t>
            </w:r>
          </w:p>
        </w:tc>
        <w:tc>
          <w:tcPr>
            <w:tcW w:w="6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30.7 %</w:t>
            </w: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709,232</w:t>
            </w:r>
          </w:p>
        </w:tc>
        <w:tc>
          <w:tcPr>
            <w:tcW w:w="6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35.3 %</w:t>
            </w:r>
          </w:p>
        </w:tc>
        <w:tc>
          <w:tcPr>
            <w:tcW w:w="10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(3,142)</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712,374</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$ 5,840</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0.8 %</w:t>
            </w:r>
          </w:p>
        </w:tc>
        <w:tc>
          <w:tcPr>
            <w:tcW w:w="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706,534</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706,534</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201"/>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(13)</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36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61"/>
              <w:spacing w:after="0" w:line="111" w:lineRule="exact"/>
              <w:rPr>
                <w:sz w:val="20"/>
                <w:szCs w:val="20"/>
                <w:color w:val="auto"/>
              </w:rPr>
            </w:pPr>
            <w:r>
              <w:rPr>
                <w:rFonts w:ascii="Times New Roman" w:cs="Times New Roman" w:eastAsia="Times New Roman" w:hAnsi="Times New Roman"/>
                <w:sz w:val="12"/>
                <w:szCs w:val="12"/>
                <w:color w:val="auto"/>
                <w:w w:val="99"/>
              </w:rPr>
              <w:t>Diluted</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w w:val="97"/>
              </w:rPr>
              <w:t>(Loss)</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9"/>
              </w:rPr>
              <w:t>net (loss)</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auto"/>
                <w:w w:val="99"/>
              </w:rPr>
              <w:t>Operating</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4"/>
              </w:rPr>
              <w:t>Other</w:t>
            </w: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2"/>
                <w:szCs w:val="12"/>
                <w:color w:val="auto"/>
                <w:w w:val="96"/>
              </w:rPr>
              <w:t>income</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4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2"/>
                <w:szCs w:val="12"/>
                <w:color w:val="auto"/>
                <w:w w:val="97"/>
              </w:rPr>
              <w:t>income from</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w w:val="97"/>
              </w:rPr>
              <w:t>(Loss)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per share</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4"/>
              </w:rPr>
              <w:t>Total</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Gross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121"/>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Operating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rPr>
              <w:t>(loss)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9"/>
              </w:rPr>
              <w:t>non-</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540" w:type="dxa"/>
            <w:vAlign w:val="bottom"/>
            <w:vMerge w:val="restart"/>
          </w:tcPr>
          <w:p>
            <w:pPr>
              <w:jc w:val="center"/>
              <w:ind w:right="41"/>
              <w:spacing w:after="0"/>
              <w:rPr>
                <w:sz w:val="20"/>
                <w:szCs w:val="20"/>
                <w:color w:val="auto"/>
              </w:rPr>
            </w:pPr>
            <w:r>
              <w:rPr>
                <w:rFonts w:ascii="Times New Roman" w:cs="Times New Roman" w:eastAsia="Times New Roman" w:hAnsi="Times New Roman"/>
                <w:sz w:val="12"/>
                <w:szCs w:val="12"/>
                <w:color w:val="auto"/>
                <w:w w:val="99"/>
              </w:rPr>
              <w:t>Income</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Discontinued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2"/>
                <w:szCs w:val="12"/>
                <w:color w:val="auto"/>
                <w:w w:val="94"/>
              </w:rPr>
              <w:t>from</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Cost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Gross</w:t>
            </w: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income from</w:t>
            </w:r>
          </w:p>
        </w:tc>
        <w:tc>
          <w:tcPr>
            <w:tcW w:w="10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Operating</w:t>
            </w:r>
          </w:p>
        </w:tc>
        <w:tc>
          <w:tcPr>
            <w:tcW w:w="60" w:type="dxa"/>
            <w:vAlign w:val="bottom"/>
          </w:tcPr>
          <w:p>
            <w:pPr>
              <w:spacing w:after="0"/>
              <w:rPr>
                <w:sz w:val="10"/>
                <w:szCs w:val="10"/>
                <w:color w:val="auto"/>
              </w:rPr>
            </w:pPr>
          </w:p>
        </w:tc>
        <w:tc>
          <w:tcPr>
            <w:tcW w:w="5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2"/>
                <w:szCs w:val="12"/>
                <w:color w:val="auto"/>
                <w:w w:val="96"/>
              </w:rPr>
              <w:t>operating</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540" w:type="dxa"/>
            <w:vAlign w:val="bottom"/>
            <w:vMerge w:val="continue"/>
          </w:tcPr>
          <w:p>
            <w:pPr>
              <w:spacing w:after="0"/>
              <w:rPr>
                <w:sz w:val="10"/>
                <w:szCs w:val="10"/>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w w:val="95"/>
              </w:rPr>
              <w:t>Effective</w:t>
            </w:r>
          </w:p>
        </w:tc>
        <w:tc>
          <w:tcPr>
            <w:tcW w:w="74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income from</w:t>
            </w: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w w:val="97"/>
              </w:rPr>
              <w:t>Net (loss)</w:t>
            </w: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6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6"/>
              </w:rPr>
              <w:t>revenues,</w:t>
            </w: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2"/>
                <w:szCs w:val="12"/>
                <w:color w:val="auto"/>
                <w:w w:val="93"/>
              </w:rPr>
              <w:t>margin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operating</w:t>
            </w:r>
          </w:p>
        </w:tc>
        <w:tc>
          <w:tcPr>
            <w:tcW w:w="100" w:type="dxa"/>
            <w:vAlign w:val="bottom"/>
          </w:tcPr>
          <w:p>
            <w:pPr>
              <w:spacing w:after="0"/>
              <w:rPr>
                <w:sz w:val="10"/>
                <w:szCs w:val="10"/>
                <w:color w:val="auto"/>
              </w:rPr>
            </w:pPr>
          </w:p>
        </w:tc>
        <w:tc>
          <w:tcPr>
            <w:tcW w:w="60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2"/>
                <w:szCs w:val="12"/>
                <w:color w:val="auto"/>
                <w:w w:val="97"/>
              </w:rPr>
              <w:t>expense 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rPr>
              <w:t>continuing</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rPr>
              <w:t>expense,</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before</w:t>
            </w:r>
          </w:p>
        </w:tc>
        <w:tc>
          <w:tcPr>
            <w:tcW w:w="540" w:type="dxa"/>
            <w:vAlign w:val="bottom"/>
          </w:tcPr>
          <w:p>
            <w:pPr>
              <w:jc w:val="center"/>
              <w:ind w:right="21"/>
              <w:spacing w:after="0" w:line="118" w:lineRule="exact"/>
              <w:rPr>
                <w:sz w:val="20"/>
                <w:szCs w:val="20"/>
                <w:color w:val="auto"/>
              </w:rPr>
            </w:pPr>
            <w:r>
              <w:rPr>
                <w:rFonts w:ascii="Times New Roman" w:cs="Times New Roman" w:eastAsia="Times New Roman" w:hAnsi="Times New Roman"/>
                <w:sz w:val="12"/>
                <w:szCs w:val="12"/>
                <w:color w:val="auto"/>
                <w:w w:val="95"/>
              </w:rPr>
              <w:t>tax</w:t>
            </w: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color w:val="auto"/>
                <w:w w:val="97"/>
              </w:rPr>
              <w:t>continuing</w:t>
            </w:r>
          </w:p>
        </w:tc>
        <w:tc>
          <w:tcPr>
            <w:tcW w:w="7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2"/>
                <w:szCs w:val="12"/>
                <w:color w:val="auto"/>
                <w:w w:val="98"/>
              </w:rPr>
              <w:t>operations,</w:t>
            </w: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color w:val="auto"/>
                <w:w w:val="99"/>
              </w:rPr>
              <w:t>operations</w:t>
            </w:r>
          </w:p>
        </w:tc>
        <w:tc>
          <w:tcPr>
            <w:tcW w:w="0" w:type="dxa"/>
            <w:vAlign w:val="bottom"/>
          </w:tcPr>
          <w:p>
            <w:pPr>
              <w:spacing w:after="0"/>
              <w:rPr>
                <w:sz w:val="1"/>
                <w:szCs w:val="1"/>
                <w:color w:val="auto"/>
              </w:rPr>
            </w:pPr>
          </w:p>
        </w:tc>
      </w:tr>
      <w:tr>
        <w:trPr>
          <w:trHeight w:val="159"/>
        </w:trPr>
        <w:tc>
          <w:tcPr>
            <w:tcW w:w="8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net</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revenues</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margin</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expenses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revenue %</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5"/>
              </w:rPr>
              <w:t>operations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margin %</w:t>
            </w: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net</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8"/>
              </w:rPr>
              <w:t>income tax</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w w:val="98"/>
              </w:rPr>
              <w:t>expense</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tax rate</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w w:val="99"/>
              </w:rPr>
              <w:t>operations</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2"/>
                <w:szCs w:val="12"/>
                <w:color w:val="auto"/>
                <w:w w:val="96"/>
              </w:rPr>
              <w:t>net of tax</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2"/>
                <w:szCs w:val="12"/>
                <w:color w:val="auto"/>
                <w:w w:val="96"/>
              </w:rPr>
              <w:t>income</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04"/>
        </w:trPr>
        <w:tc>
          <w:tcPr>
            <w:tcW w:w="860" w:type="dxa"/>
            <w:vAlign w:val="bottom"/>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rPr>
              <w:t>Reported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$ 2,318,875</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4"/>
              </w:rPr>
              <w:t>$ 1,092,499</w:t>
            </w:r>
          </w:p>
        </w:tc>
        <w:tc>
          <w:tcPr>
            <w:tcW w:w="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$ 1,226,376</w:t>
            </w:r>
          </w:p>
        </w:tc>
        <w:tc>
          <w:tcPr>
            <w:tcW w:w="80" w:type="dxa"/>
            <w:vAlign w:val="bottom"/>
            <w:tcBorders>
              <w:right w:val="single" w:sz="8" w:color="auto"/>
            </w:tcBorders>
            <w:shd w:val="clear" w:color="auto" w:fill="CCEEFF"/>
          </w:tcPr>
          <w:p>
            <w:pPr>
              <w:spacing w:after="0"/>
              <w:rPr>
                <w:sz w:val="9"/>
                <w:szCs w:val="9"/>
                <w:color w:val="auto"/>
              </w:rPr>
            </w:pPr>
          </w:p>
        </w:tc>
        <w:tc>
          <w:tcPr>
            <w:tcW w:w="3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3"/>
              </w:rPr>
              <w:t>52.9 %</w:t>
            </w:r>
          </w:p>
        </w:tc>
        <w:tc>
          <w:tcPr>
            <w:tcW w:w="6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$ 3,595,778</w:t>
            </w:r>
          </w:p>
        </w:tc>
        <w:tc>
          <w:tcPr>
            <w:tcW w:w="100" w:type="dxa"/>
            <w:vAlign w:val="bottom"/>
            <w:tcBorders>
              <w:right w:val="single" w:sz="8" w:color="auto"/>
            </w:tcBorders>
            <w:shd w:val="clear" w:color="auto" w:fill="CCEEFF"/>
          </w:tcPr>
          <w:p>
            <w:pPr>
              <w:spacing w:after="0"/>
              <w:rPr>
                <w:sz w:val="9"/>
                <w:szCs w:val="9"/>
                <w:color w:val="auto"/>
              </w:rPr>
            </w:pPr>
          </w:p>
        </w:tc>
        <w:tc>
          <w:tcPr>
            <w:tcW w:w="60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155.1 %</w:t>
            </w:r>
          </w:p>
        </w:tc>
        <w:tc>
          <w:tcPr>
            <w:tcW w:w="700" w:type="dxa"/>
            <w:vAlign w:val="bottom"/>
            <w:tcBorders>
              <w:right w:val="single" w:sz="8" w:color="CCEEFF"/>
            </w:tcBorders>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6"/>
              </w:rPr>
              <w:t>$(2,369,402)</w:t>
            </w:r>
          </w:p>
        </w:tc>
        <w:tc>
          <w:tcPr>
            <w:tcW w:w="100" w:type="dxa"/>
            <w:vAlign w:val="bottom"/>
            <w:tcBorders>
              <w:right w:val="single" w:sz="8" w:color="auto"/>
            </w:tcBorders>
            <w:shd w:val="clear" w:color="auto" w:fill="CCEEFF"/>
          </w:tcPr>
          <w:p>
            <w:pPr>
              <w:spacing w:after="0"/>
              <w:rPr>
                <w:sz w:val="9"/>
                <w:szCs w:val="9"/>
                <w:color w:val="auto"/>
              </w:rPr>
            </w:pPr>
          </w:p>
        </w:tc>
        <w:tc>
          <w:tcPr>
            <w:tcW w:w="60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(102.2)%</w:t>
            </w:r>
          </w:p>
        </w:tc>
        <w:tc>
          <w:tcPr>
            <w:tcW w:w="58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$518,700</w:t>
            </w:r>
          </w:p>
        </w:tc>
        <w:tc>
          <w:tcPr>
            <w:tcW w:w="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$(2,888,102)</w:t>
            </w:r>
          </w:p>
        </w:tc>
        <w:tc>
          <w:tcPr>
            <w:tcW w:w="80" w:type="dxa"/>
            <w:vAlign w:val="bottom"/>
            <w:shd w:val="clear" w:color="auto" w:fill="CCEEFF"/>
          </w:tcPr>
          <w:p>
            <w:pPr>
              <w:spacing w:after="0"/>
              <w:rPr>
                <w:sz w:val="9"/>
                <w:szCs w:val="9"/>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w w:val="97"/>
              </w:rPr>
              <w:t>$21,516</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$(2,909,618)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(13,487)</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(2,923,105)</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(12.39)</w:t>
            </w: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w:t>
            </w: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4"/>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380" w:type="dxa"/>
            <w:vAlign w:val="bottom"/>
            <w:tcBorders>
              <w:right w:val="single" w:sz="8" w:color="auto"/>
            </w:tcBorders>
            <w:gridSpan w:val="2"/>
            <w:vMerge w:val="continue"/>
            <w:shd w:val="clear" w:color="auto" w:fill="CCEEFF"/>
          </w:tcPr>
          <w:p>
            <w:pPr>
              <w:spacing w:after="0"/>
              <w:rPr>
                <w:sz w:val="14"/>
                <w:szCs w:val="14"/>
                <w:color w:val="auto"/>
              </w:rPr>
            </w:pPr>
          </w:p>
        </w:tc>
        <w:tc>
          <w:tcPr>
            <w:tcW w:w="66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70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auto"/>
            </w:tcBorders>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48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Items impacting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comparability:</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Amortization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of intangible</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(337,311)</w:t>
            </w:r>
          </w:p>
        </w:tc>
        <w:tc>
          <w:tcPr>
            <w:tcW w:w="700" w:type="dxa"/>
            <w:vAlign w:val="bottom"/>
            <w:tcBorders>
              <w:right w:val="single" w:sz="8" w:color="CCEEFF"/>
            </w:tcBorders>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337,311</w:t>
            </w: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337,311</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337,311</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337,311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337,311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assets (11)</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700" w:type="dxa"/>
            <w:vAlign w:val="bottom"/>
            <w:tcBorders>
              <w:right w:val="single" w:sz="8" w:color="CCEEFF"/>
            </w:tcBorders>
            <w:gridSpan w:val="4"/>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Amounts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to</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continuity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separation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benefits, cost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reductions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strategic</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review</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(61,806)</w:t>
            </w:r>
          </w:p>
        </w:tc>
        <w:tc>
          <w:tcPr>
            <w:tcW w:w="7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61,806</w:t>
            </w: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(136,575)</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198,381</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198,381</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198,381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198,381</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initiatives (2)</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00" w:type="dxa"/>
            <w:vAlign w:val="bottom"/>
            <w:gridSpan w:val="4"/>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Certain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litigation-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related and</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other</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contingencies,</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(478,722)</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478,722</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478,722</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478,722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478,722</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(3)</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Certain legal</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(31,756)</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31,756</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31,756</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31,756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31,756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costs (4)</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Asset</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impairment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(2,142,746)</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2,142,746</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2,142,746</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2,142,746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2,142,746</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charges (5)</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6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Fair value of</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contingent</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consideration</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tcPr>
          <w:p>
            <w:pPr>
              <w:spacing w:after="0"/>
              <w:rPr>
                <w:sz w:val="10"/>
                <w:szCs w:val="10"/>
                <w:color w:val="auto"/>
              </w:rPr>
            </w:pP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w w:val="98"/>
              </w:rPr>
              <w:t>Reorganization</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(202,978)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202,978</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202,978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202,978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items, net (8)</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4,425</w:t>
            </w: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37,405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(32,980)</w:t>
            </w:r>
          </w:p>
        </w:tc>
        <w:tc>
          <w:tcPr>
            <w:tcW w:w="80" w:type="dxa"/>
            <w:vAlign w:val="bottom"/>
          </w:tcPr>
          <w:p>
            <w:pPr>
              <w:spacing w:after="0"/>
              <w:rPr>
                <w:sz w:val="13"/>
                <w:szCs w:val="13"/>
                <w:color w:val="auto"/>
              </w:rPr>
            </w:pPr>
          </w:p>
        </w:tc>
        <w:tc>
          <w:tcPr>
            <w:tcW w:w="54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(32,980)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CCEEFF"/>
          </w:tcPr>
          <w:p>
            <w:pPr>
              <w:ind w:left="120"/>
              <w:spacing w:after="0" w:line="125" w:lineRule="exact"/>
              <w:rPr>
                <w:sz w:val="20"/>
                <w:szCs w:val="20"/>
                <w:color w:val="auto"/>
              </w:rPr>
            </w:pPr>
            <w:r>
              <w:rPr>
                <w:rFonts w:ascii="Times New Roman" w:cs="Times New Roman" w:eastAsia="Times New Roman" w:hAnsi="Times New Roman"/>
                <w:sz w:val="12"/>
                <w:szCs w:val="12"/>
                <w:color w:val="auto"/>
              </w:rPr>
              <w:t>Tax</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color w:val="auto"/>
              </w:rPr>
              <w:t>adjustments</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auto"/>
            </w:tcBorders>
            <w:vMerge w:val="restart"/>
            <w:shd w:val="clear" w:color="auto" w:fill="CCEEFF"/>
          </w:tcPr>
          <w:p>
            <w:pPr>
              <w:jc w:val="center"/>
              <w:ind w:right="21"/>
              <w:spacing w:after="0"/>
              <w:rPr>
                <w:sz w:val="20"/>
                <w:szCs w:val="20"/>
                <w:color w:val="auto"/>
              </w:rPr>
            </w:pPr>
            <w:r>
              <w:rPr>
                <w:rFonts w:ascii="Times New Roman" w:cs="Times New Roman" w:eastAsia="Times New Roman" w:hAnsi="Times New Roman"/>
                <w:sz w:val="12"/>
                <w:szCs w:val="12"/>
                <w:color w:val="auto"/>
              </w:rPr>
              <w:t>(14,154)</w:t>
            </w:r>
          </w:p>
        </w:tc>
        <w:tc>
          <w:tcPr>
            <w:tcW w:w="5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14,154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14,154</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680" w:type="dxa"/>
            <w:vAlign w:val="bottom"/>
            <w:gridSpan w:val="2"/>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ind w:left="120"/>
              <w:spacing w:after="0" w:line="119" w:lineRule="exact"/>
              <w:rPr>
                <w:sz w:val="20"/>
                <w:szCs w:val="20"/>
                <w:color w:val="auto"/>
              </w:rPr>
            </w:pPr>
            <w:r>
              <w:rPr>
                <w:rFonts w:ascii="Times New Roman" w:cs="Times New Roman" w:eastAsia="Times New Roman" w:hAnsi="Times New Roman"/>
                <w:sz w:val="12"/>
                <w:szCs w:val="12"/>
                <w:color w:val="auto"/>
              </w:rPr>
              <w:t>Discontinued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operations, net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2"/>
                <w:szCs w:val="12"/>
                <w:color w:val="auto"/>
              </w:rPr>
              <w:t>13,487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13,487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of tax (10)</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860" w:type="dxa"/>
            <w:vAlign w:val="bottom"/>
            <w:tcBorders>
              <w:top w:val="single" w:sz="8" w:color="CCEEFF"/>
            </w:tcBorders>
            <w:shd w:val="clear" w:color="auto" w:fill="CCEEFF"/>
          </w:tcPr>
          <w:p>
            <w:pPr>
              <w:ind w:left="20"/>
              <w:spacing w:after="0" w:line="105" w:lineRule="exact"/>
              <w:rPr>
                <w:sz w:val="20"/>
                <w:szCs w:val="20"/>
                <w:color w:val="auto"/>
              </w:rPr>
            </w:pPr>
            <w:r>
              <w:rPr>
                <w:rFonts w:ascii="Times New Roman" w:cs="Times New Roman" w:eastAsia="Times New Roman" w:hAnsi="Times New Roman"/>
                <w:sz w:val="12"/>
                <w:szCs w:val="12"/>
                <w:color w:val="auto"/>
                <w:w w:val="97"/>
              </w:rPr>
              <w:t>After considering</w:t>
            </w: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CCEEFF"/>
            </w:tcBorders>
            <w:shd w:val="clear" w:color="auto" w:fill="CCEEFF"/>
          </w:tcPr>
          <w:p>
            <w:pPr>
              <w:spacing w:after="0"/>
              <w:rPr>
                <w:sz w:val="9"/>
                <w:szCs w:val="9"/>
                <w:color w:val="auto"/>
              </w:rPr>
            </w:pPr>
          </w:p>
        </w:tc>
        <w:tc>
          <w:tcPr>
            <w:tcW w:w="80" w:type="dxa"/>
            <w:vAlign w:val="bottom"/>
            <w:tcBorders>
              <w:top w:val="single" w:sz="8" w:color="auto"/>
              <w:right w:val="single" w:sz="8" w:color="auto"/>
            </w:tcBorders>
            <w:shd w:val="clear" w:color="auto" w:fill="CCEEFF"/>
          </w:tcPr>
          <w:p>
            <w:pPr>
              <w:spacing w:after="0"/>
              <w:rPr>
                <w:sz w:val="9"/>
                <w:szCs w:val="9"/>
                <w:color w:val="auto"/>
              </w:rPr>
            </w:pPr>
          </w:p>
        </w:tc>
        <w:tc>
          <w:tcPr>
            <w:tcW w:w="280" w:type="dxa"/>
            <w:vAlign w:val="bottom"/>
            <w:tcBorders>
              <w:top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500" w:type="dxa"/>
            <w:vAlign w:val="bottom"/>
            <w:tcBorders>
              <w:top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500" w:type="dxa"/>
            <w:vAlign w:val="bottom"/>
            <w:tcBorders>
              <w:top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auto"/>
            </w:tcBorders>
            <w:shd w:val="clear" w:color="auto" w:fill="CCEEFF"/>
          </w:tcPr>
          <w:p>
            <w:pPr>
              <w:spacing w:after="0"/>
              <w:rPr>
                <w:sz w:val="9"/>
                <w:szCs w:val="9"/>
                <w:color w:val="auto"/>
              </w:rPr>
            </w:pPr>
          </w:p>
        </w:tc>
        <w:tc>
          <w:tcPr>
            <w:tcW w:w="58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items (non-</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4"/>
              </w:rPr>
              <w:t>$ 2,318,875</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692,882</w:t>
            </w:r>
          </w:p>
        </w:tc>
        <w:tc>
          <w:tcPr>
            <w:tcW w:w="2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10"/>
                <w:szCs w:val="10"/>
                <w:color w:val="auto"/>
              </w:rPr>
            </w:pPr>
          </w:p>
        </w:tc>
        <w:tc>
          <w:tcPr>
            <w:tcW w:w="62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4"/>
              </w:rPr>
              <w:t>$ 1,625,993</w:t>
            </w:r>
          </w:p>
        </w:tc>
        <w:tc>
          <w:tcPr>
            <w:tcW w:w="8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3"/>
              </w:rPr>
              <w:t>70.1 %</w:t>
            </w: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801,646</w:t>
            </w:r>
          </w:p>
        </w:tc>
        <w:tc>
          <w:tcPr>
            <w:tcW w:w="100" w:type="dxa"/>
            <w:vAlign w:val="bottom"/>
            <w:tcBorders>
              <w:right w:val="single" w:sz="8" w:color="auto"/>
            </w:tcBorders>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34.6 %</w:t>
            </w:r>
          </w:p>
        </w:tc>
        <w:tc>
          <w:tcPr>
            <w:tcW w:w="60" w:type="dxa"/>
            <w:vAlign w:val="bottom"/>
            <w:vMerge w:val="restart"/>
            <w:shd w:val="clear" w:color="auto" w:fill="CCEEFF"/>
          </w:tcPr>
          <w:p>
            <w:pPr>
              <w:spacing w:after="0"/>
              <w:rPr>
                <w:sz w:val="10"/>
                <w:szCs w:val="10"/>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824,347</w:t>
            </w:r>
          </w:p>
        </w:tc>
        <w:tc>
          <w:tcPr>
            <w:tcW w:w="100" w:type="dxa"/>
            <w:vAlign w:val="bottom"/>
            <w:tcBorders>
              <w:right w:val="single" w:sz="8" w:color="auto"/>
            </w:tcBorders>
            <w:shd w:val="clear" w:color="auto" w:fill="CCEEFF"/>
          </w:tcPr>
          <w:p>
            <w:pPr>
              <w:spacing w:after="0"/>
              <w:rPr>
                <w:sz w:val="10"/>
                <w:szCs w:val="10"/>
                <w:color w:val="auto"/>
              </w:rPr>
            </w:pPr>
          </w:p>
        </w:tc>
        <w:tc>
          <w:tcPr>
            <w:tcW w:w="60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35.5 %</w:t>
            </w:r>
          </w:p>
        </w:tc>
        <w:tc>
          <w:tcPr>
            <w:tcW w:w="6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7"/>
              </w:rPr>
              <w:t>$353,127</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471,220</w:t>
            </w:r>
          </w:p>
        </w:tc>
        <w:tc>
          <w:tcPr>
            <w:tcW w:w="80" w:type="dxa"/>
            <w:vAlign w:val="bottom"/>
            <w:shd w:val="clear" w:color="auto" w:fill="CCEEFF"/>
          </w:tcPr>
          <w:p>
            <w:pPr>
              <w:spacing w:after="0"/>
              <w:rPr>
                <w:sz w:val="10"/>
                <w:szCs w:val="10"/>
                <w:color w:val="auto"/>
              </w:rPr>
            </w:pPr>
          </w:p>
        </w:tc>
        <w:tc>
          <w:tcPr>
            <w:tcW w:w="540" w:type="dxa"/>
            <w:vAlign w:val="bottom"/>
            <w:tcBorders>
              <w:right w:val="single" w:sz="8" w:color="auto"/>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$ 7,362</w:t>
            </w:r>
          </w:p>
        </w:tc>
        <w:tc>
          <w:tcPr>
            <w:tcW w:w="5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463,858</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463,858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right w:val="single" w:sz="8" w:color="auto"/>
            </w:tcBorders>
            <w:vMerge w:val="restart"/>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201"/>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(13)</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right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auto"/>
              <w:right w:val="single" w:sz="8" w:color="auto"/>
            </w:tcBorders>
            <w:shd w:val="clear" w:color="auto" w:fill="CCEEFF"/>
          </w:tcPr>
          <w:p>
            <w:pPr>
              <w:spacing w:after="0"/>
              <w:rPr>
                <w:sz w:val="17"/>
                <w:szCs w:val="17"/>
                <w:color w:val="auto"/>
              </w:rPr>
            </w:pPr>
          </w:p>
        </w:tc>
        <w:tc>
          <w:tcPr>
            <w:tcW w:w="38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340"/>
          </w:cols>
          <w:pgMar w:left="320" w:top="1002" w:right="239" w:bottom="557" w:gutter="0" w:footer="0" w:header="0"/>
        </w:sectPr>
      </w:pPr>
    </w:p>
    <w:bookmarkStart w:id="15" w:name="page16"/>
    <w:bookmarkEnd w:id="15"/>
    <w:p>
      <w:pPr>
        <w:ind w:left="6"/>
        <w:spacing w:after="0"/>
        <w:rPr>
          <w:sz w:val="20"/>
          <w:szCs w:val="20"/>
          <w:color w:val="auto"/>
        </w:rPr>
      </w:pPr>
      <w:r>
        <w:rPr>
          <w:rFonts w:ascii="Times New Roman" w:cs="Times New Roman" w:eastAsia="Times New Roman" w:hAnsi="Times New Roman"/>
          <w:sz w:val="19"/>
          <w:szCs w:val="19"/>
          <w:b w:val="1"/>
          <w:bCs w:val="1"/>
          <w:color w:val="auto"/>
        </w:rPr>
        <w:t>Notes to the Reconciliations of GAAP and Non-GAAP Financial Measures</w:t>
      </w:r>
    </w:p>
    <w:p>
      <w:pPr>
        <w:spacing w:after="0" w:line="103" w:lineRule="exact"/>
        <w:rPr>
          <w:sz w:val="20"/>
          <w:szCs w:val="20"/>
          <w:color w:val="auto"/>
        </w:rPr>
      </w:pPr>
    </w:p>
    <w:p>
      <w:pPr>
        <w:ind w:left="6" w:right="20"/>
        <w:spacing w:after="0" w:line="298" w:lineRule="auto"/>
        <w:rPr>
          <w:sz w:val="20"/>
          <w:szCs w:val="20"/>
          <w:color w:val="auto"/>
        </w:rPr>
      </w:pPr>
      <w:r>
        <w:rPr>
          <w:rFonts w:ascii="Times New Roman" w:cs="Times New Roman" w:eastAsia="Times New Roman" w:hAnsi="Times New Roman"/>
          <w:sz w:val="14"/>
          <w:szCs w:val="14"/>
          <w:color w:val="auto"/>
        </w:rPr>
        <w:t>Notes to certain line items included in the reconciliations of the GAAP financial measures to the non-GAAP financial measures for the three months and years ended December 31, 2023 and 2022 are as follows:</w:t>
      </w:r>
    </w:p>
    <w:p>
      <w:pPr>
        <w:spacing w:after="0" w:line="36" w:lineRule="exact"/>
        <w:rPr>
          <w:sz w:val="20"/>
          <w:szCs w:val="20"/>
          <w:color w:val="auto"/>
        </w:rPr>
      </w:pPr>
    </w:p>
    <w:p>
      <w:pPr>
        <w:ind w:left="426" w:right="40" w:hanging="426"/>
        <w:spacing w:after="0" w:line="280" w:lineRule="auto"/>
        <w:tabs>
          <w:tab w:leader="none" w:pos="3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and Share-based compensation amounts per the Adjusted EBITDA reconciliations do not include amounts reflected in other lines of the reconciliations, including Amounts related to continuity and separation benefits, cost reductions and strategic review initiatives.</w:t>
      </w:r>
    </w:p>
    <w:p>
      <w:pPr>
        <w:spacing w:after="0" w:line="60" w:lineRule="exact"/>
        <w:rPr>
          <w:rFonts w:ascii="Times New Roman" w:cs="Times New Roman" w:eastAsia="Times New Roman" w:hAnsi="Times New Roman"/>
          <w:sz w:val="14"/>
          <w:szCs w:val="14"/>
          <w:color w:val="auto"/>
        </w:rPr>
      </w:pPr>
    </w:p>
    <w:p>
      <w:pPr>
        <w:ind w:left="306" w:hanging="306"/>
        <w:spacing w:after="0"/>
        <w:tabs>
          <w:tab w:leader="none" w:pos="30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amounts related to continuity and separation benefits, cost reductions and strategic review initiatives included the following (in thousands):</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Cost of revenues</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440" w:type="dxa"/>
            <w:vAlign w:val="bottom"/>
          </w:tcPr>
          <w:p>
            <w:pPr>
              <w:spacing w:after="0"/>
              <w:rPr>
                <w:sz w:val="14"/>
                <w:szCs w:val="14"/>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Continuity and separation benefits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21,642</w:t>
            </w:r>
          </w:p>
        </w:tc>
        <w:tc>
          <w:tcPr>
            <w:tcW w:w="440" w:type="dxa"/>
            <w:vAlign w:val="bottom"/>
          </w:tcPr>
          <w:p>
            <w:pPr>
              <w:spacing w:after="0"/>
              <w:rPr>
                <w:sz w:val="16"/>
                <w:szCs w:val="16"/>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adjustments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440" w:type="dxa"/>
            <w:vAlign w:val="bottom"/>
          </w:tcPr>
          <w:p>
            <w:pPr>
              <w:spacing w:after="0"/>
              <w:rPr>
                <w:sz w:val="16"/>
                <w:szCs w:val="16"/>
                <w:color w:val="auto"/>
              </w:rPr>
            </w:pPr>
          </w:p>
        </w:tc>
      </w:tr>
      <w:tr>
        <w:trPr>
          <w:trHeight w:val="19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including strategic review initiatives</w:t>
            </w:r>
          </w:p>
        </w:tc>
        <w:tc>
          <w:tcPr>
            <w:tcW w:w="2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440" w:type="dxa"/>
            <w:vAlign w:val="bottom"/>
          </w:tcPr>
          <w:p>
            <w:pPr>
              <w:spacing w:after="0"/>
              <w:rPr>
                <w:sz w:val="16"/>
                <w:szCs w:val="16"/>
                <w:color w:val="auto"/>
              </w:rPr>
            </w:pPr>
          </w:p>
        </w:tc>
      </w:tr>
      <w:tr>
        <w:trPr>
          <w:trHeight w:val="180"/>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38,153</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21,203</w:t>
            </w:r>
          </w:p>
        </w:tc>
        <w:tc>
          <w:tcPr>
            <w:tcW w:w="440" w:type="dxa"/>
            <w:vAlign w:val="bottom"/>
          </w:tcPr>
          <w:p>
            <w:pPr>
              <w:spacing w:after="0"/>
              <w:rPr>
                <w:sz w:val="15"/>
                <w:szCs w:val="15"/>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
        </w:trPr>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5"/>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5"/>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w w:val="99"/>
              </w:rPr>
              <w:t>Operating expenses</w:t>
            </w:r>
          </w:p>
        </w:tc>
        <w:tc>
          <w:tcPr>
            <w:tcW w:w="100" w:type="dxa"/>
            <w:vAlign w:val="bottom"/>
          </w:tcPr>
          <w:p>
            <w:pPr>
              <w:spacing w:after="0"/>
              <w:rPr>
                <w:sz w:val="14"/>
                <w:szCs w:val="14"/>
                <w:color w:val="auto"/>
              </w:rPr>
            </w:pPr>
          </w:p>
        </w:tc>
        <w:tc>
          <w:tcPr>
            <w:tcW w:w="154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Operating expenses</w:t>
            </w:r>
          </w:p>
        </w:tc>
      </w:tr>
      <w:tr>
        <w:trPr>
          <w:trHeight w:val="18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Continuity and separation benefits</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39,866</w:t>
            </w: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67,277</w:t>
            </w: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depreciation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1,660</w:t>
            </w:r>
          </w:p>
        </w:tc>
      </w:tr>
      <w:tr>
        <w:trPr>
          <w:trHeight w:val="19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 adjustments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2,577</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including strategic review initiatives</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591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7,556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65,061</w:t>
            </w:r>
          </w:p>
        </w:tc>
      </w:tr>
      <w:tr>
        <w:trPr>
          <w:trHeight w:val="208"/>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136,575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26" w:right="60"/>
        <w:spacing w:after="0" w:line="298" w:lineRule="auto"/>
        <w:rPr>
          <w:sz w:val="20"/>
          <w:szCs w:val="20"/>
          <w:color w:val="auto"/>
        </w:rPr>
      </w:pPr>
      <w:r>
        <w:rPr>
          <w:rFonts w:ascii="Times New Roman" w:cs="Times New Roman" w:eastAsia="Times New Roman" w:hAnsi="Times New Roman"/>
          <w:sz w:val="14"/>
          <w:szCs w:val="14"/>
          <w:color w:val="auto"/>
        </w:rPr>
        <w:t>The amounts in the tables above include adjustments related to previously announced restructuring activities, certain continuity and transitional compensation arrangements, certain other cost reduction initiatives and certain strategic review initiatives.</w:t>
      </w:r>
    </w:p>
    <w:p>
      <w:pPr>
        <w:spacing w:after="0" w:line="36" w:lineRule="exact"/>
        <w:rPr>
          <w:sz w:val="20"/>
          <w:szCs w:val="20"/>
          <w:color w:val="auto"/>
        </w:rPr>
      </w:pPr>
    </w:p>
    <w:p>
      <w:pPr>
        <w:ind w:left="306" w:hanging="306"/>
        <w:spacing w:after="0"/>
        <w:tabs>
          <w:tab w:leader="none" w:pos="30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adjustments to accruals for litigation-related settlement charges.</w:t>
      </w:r>
    </w:p>
    <w:p>
      <w:pPr>
        <w:spacing w:after="0" w:line="110" w:lineRule="exact"/>
        <w:rPr>
          <w:rFonts w:ascii="Times New Roman" w:cs="Times New Roman" w:eastAsia="Times New Roman" w:hAnsi="Times New Roman"/>
          <w:sz w:val="14"/>
          <w:szCs w:val="14"/>
          <w:color w:val="auto"/>
        </w:rPr>
      </w:pPr>
    </w:p>
    <w:p>
      <w:pPr>
        <w:ind w:left="306" w:hanging="306"/>
        <w:spacing w:after="0"/>
        <w:tabs>
          <w:tab w:leader="none" w:pos="30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amounts related to opioid-related legal expenses.</w:t>
      </w:r>
    </w:p>
    <w:p>
      <w:pPr>
        <w:spacing w:after="0" w:line="98" w:lineRule="exact"/>
        <w:rPr>
          <w:rFonts w:ascii="Times New Roman" w:cs="Times New Roman" w:eastAsia="Times New Roman" w:hAnsi="Times New Roman"/>
          <w:sz w:val="14"/>
          <w:szCs w:val="14"/>
          <w:color w:val="auto"/>
        </w:rPr>
      </w:pPr>
    </w:p>
    <w:p>
      <w:pPr>
        <w:ind w:left="306" w:hanging="306"/>
        <w:spacing w:after="0"/>
        <w:tabs>
          <w:tab w:leader="none" w:pos="30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for asset impairment charges included in the following (in thousands):</w:t>
      </w:r>
    </w:p>
    <w:p>
      <w:pPr>
        <w:spacing w:after="0" w:line="30"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3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10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1,845,000</w:t>
            </w:r>
          </w:p>
        </w:tc>
      </w:tr>
      <w:tr>
        <w:trPr>
          <w:trHeight w:val="18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 impairment charges</w:t>
            </w:r>
          </w:p>
        </w:tc>
        <w:tc>
          <w:tcPr>
            <w:tcW w:w="10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185,548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288,701</w:t>
            </w:r>
          </w:p>
        </w:tc>
      </w:tr>
      <w:tr>
        <w:trPr>
          <w:trHeight w:val="19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impairment charges</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9,045</w:t>
            </w:r>
          </w:p>
        </w:tc>
      </w:tr>
      <w:tr>
        <w:trPr>
          <w:trHeight w:val="178"/>
        </w:trPr>
        <w:tc>
          <w:tcPr>
            <w:tcW w:w="5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191,530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2,142,746</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26" w:right="420" w:hanging="426"/>
        <w:spacing w:after="0" w:line="280" w:lineRule="auto"/>
        <w:tabs>
          <w:tab w:leader="none" w:pos="30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the impact of changes in the fair value of contingent consideration liabilities resulting from changes to estimates regarding the timing and amount of the future revenues of the underlying products and changes in other assumptions impacting the probability of incurring, and extent to which the Company could incur, related contingent obligations.</w:t>
      </w:r>
    </w:p>
    <w:p>
      <w:pPr>
        <w:spacing w:after="0" w:line="60" w:lineRule="exact"/>
        <w:rPr>
          <w:rFonts w:ascii="Times New Roman" w:cs="Times New Roman" w:eastAsia="Times New Roman" w:hAnsi="Times New Roman"/>
          <w:sz w:val="14"/>
          <w:szCs w:val="14"/>
          <w:color w:val="auto"/>
        </w:rPr>
      </w:pPr>
    </w:p>
    <w:p>
      <w:pPr>
        <w:ind w:left="306" w:hanging="306"/>
        <w:spacing w:after="0"/>
        <w:tabs>
          <w:tab w:leader="none" w:pos="30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Other income, net per the Consolidated Statements of Operations.</w:t>
      </w:r>
    </w:p>
    <w:p>
      <w:pPr>
        <w:spacing w:after="0" w:line="200" w:lineRule="exact"/>
        <w:rPr>
          <w:sz w:val="20"/>
          <w:szCs w:val="20"/>
          <w:color w:val="auto"/>
        </w:rPr>
      </w:pPr>
    </w:p>
    <w:p>
      <w:pPr>
        <w:spacing w:after="0" w:line="3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66"/>
          </w:cols>
          <w:pgMar w:left="314" w:top="973" w:right="319" w:bottom="1440" w:gutter="0" w:footer="0" w:header="0"/>
        </w:sectPr>
      </w:pPr>
    </w:p>
    <w:bookmarkStart w:id="16" w:name="page17"/>
    <w:bookmarkEnd w:id="16"/>
    <w:p>
      <w:pPr>
        <w:ind w:left="426" w:right="140" w:hanging="426"/>
        <w:spacing w:after="0" w:line="283" w:lineRule="auto"/>
        <w:tabs>
          <w:tab w:leader="none" w:pos="3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relate to the net expense or income recognized during Endo’s bankruptcy proceedings required to be presented as Reorganization items, net under </w:t>
      </w:r>
      <w:r>
        <w:rPr>
          <w:rFonts w:ascii="Times New Roman" w:cs="Times New Roman" w:eastAsia="Times New Roman" w:hAnsi="Times New Roman"/>
          <w:sz w:val="14"/>
          <w:szCs w:val="14"/>
          <w:i w:val="1"/>
          <w:iCs w:val="1"/>
          <w:color w:val="auto"/>
        </w:rPr>
        <w:t>Accounting Standards Codification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Topic 852, Reorganizations</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left="426" w:right="220" w:hanging="426"/>
        <w:spacing w:after="0" w:line="280" w:lineRule="auto"/>
        <w:tabs>
          <w:tab w:leader="none" w:pos="30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rows included in each of the above reconciliations of GAAP financial measures to non-GAAP financial measures (except for the reconciliations of Net loss (GAAP) to Adjusted EBITDA (non-GAAP)) include the following (in thousands):</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Three Months Ended December 31,</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100" w:type="dxa"/>
            <w:vAlign w:val="bottom"/>
          </w:tcPr>
          <w:p>
            <w:pPr>
              <w:spacing w:after="0"/>
              <w:rPr>
                <w:sz w:val="10"/>
                <w:szCs w:val="10"/>
                <w:color w:val="auto"/>
              </w:rPr>
            </w:pPr>
          </w:p>
        </w:tc>
        <w:tc>
          <w:tcPr>
            <w:tcW w:w="1260" w:type="dxa"/>
            <w:vAlign w:val="bottom"/>
          </w:tcPr>
          <w:p>
            <w:pPr>
              <w:jc w:val="center"/>
              <w:ind w:right="33"/>
              <w:spacing w:after="0" w:line="115" w:lineRule="exact"/>
              <w:rPr>
                <w:sz w:val="20"/>
                <w:szCs w:val="20"/>
                <w:color w:val="auto"/>
              </w:rPr>
            </w:pPr>
            <w:r>
              <w:rPr>
                <w:rFonts w:ascii="Times New Roman" w:cs="Times New Roman" w:eastAsia="Times New Roman" w:hAnsi="Times New Roman"/>
                <w:sz w:val="13"/>
                <w:szCs w:val="13"/>
                <w:b w:val="1"/>
                <w:bCs w:val="1"/>
                <w:color w:val="auto"/>
                <w:w w:val="97"/>
              </w:rPr>
              <w:t>Other non-operating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120" w:type="dxa"/>
            <w:vAlign w:val="bottom"/>
          </w:tcPr>
          <w:p>
            <w:pPr>
              <w:spacing w:after="0"/>
              <w:rPr>
                <w:sz w:val="10"/>
                <w:szCs w:val="10"/>
                <w:color w:val="auto"/>
              </w:rPr>
            </w:pPr>
          </w:p>
        </w:tc>
        <w:tc>
          <w:tcPr>
            <w:tcW w:w="1260" w:type="dxa"/>
            <w:vAlign w:val="bottom"/>
          </w:tcPr>
          <w:p>
            <w:pPr>
              <w:jc w:val="center"/>
              <w:ind w:right="32"/>
              <w:spacing w:after="0" w:line="115" w:lineRule="exact"/>
              <w:rPr>
                <w:sz w:val="20"/>
                <w:szCs w:val="20"/>
                <w:color w:val="auto"/>
              </w:rPr>
            </w:pPr>
            <w:r>
              <w:rPr>
                <w:rFonts w:ascii="Times New Roman" w:cs="Times New Roman" w:eastAsia="Times New Roman" w:hAnsi="Times New Roman"/>
                <w:sz w:val="13"/>
                <w:szCs w:val="13"/>
                <w:b w:val="1"/>
                <w:bCs w:val="1"/>
                <w:color w:val="auto"/>
                <w:w w:val="97"/>
              </w:rPr>
              <w:t>Other non-operating</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expenses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expenses</w:t>
            </w:r>
          </w:p>
        </w:tc>
        <w:tc>
          <w:tcPr>
            <w:tcW w:w="0" w:type="dxa"/>
            <w:vAlign w:val="bottom"/>
          </w:tcPr>
          <w:p>
            <w:pPr>
              <w:spacing w:after="0"/>
              <w:rPr>
                <w:sz w:val="1"/>
                <w:szCs w:val="1"/>
                <w:color w:val="auto"/>
              </w:rPr>
            </w:pPr>
          </w:p>
        </w:tc>
      </w:tr>
      <w:tr>
        <w:trPr>
          <w:trHeight w:val="127"/>
        </w:trPr>
        <w:tc>
          <w:tcPr>
            <w:tcW w:w="2120" w:type="dxa"/>
            <w:vAlign w:val="bottom"/>
            <w:tcBorders>
              <w:top w:val="single" w:sz="8" w:color="CCEEFF"/>
            </w:tcBorders>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Foreign currency impact related to</w:t>
            </w:r>
          </w:p>
        </w:tc>
        <w:tc>
          <w:tcPr>
            <w:tcW w:w="1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the re-measurement of intercompany</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instruments</w:t>
            </w:r>
          </w:p>
        </w:tc>
        <w:tc>
          <w:tcPr>
            <w:tcW w:w="18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Gain on sale of business and other</w:t>
            </w:r>
          </w:p>
        </w:tc>
        <w:tc>
          <w:tcPr>
            <w:tcW w:w="18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miscellaneous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100" w:type="dxa"/>
            <w:vAlign w:val="bottom"/>
          </w:tcPr>
          <w:p>
            <w:pPr>
              <w:spacing w:after="0"/>
              <w:rPr>
                <w:sz w:val="10"/>
                <w:szCs w:val="10"/>
                <w:color w:val="auto"/>
              </w:rPr>
            </w:pPr>
          </w:p>
        </w:tc>
        <w:tc>
          <w:tcPr>
            <w:tcW w:w="1260" w:type="dxa"/>
            <w:vAlign w:val="bottom"/>
          </w:tcPr>
          <w:p>
            <w:pPr>
              <w:jc w:val="center"/>
              <w:ind w:right="33"/>
              <w:spacing w:after="0" w:line="117" w:lineRule="exact"/>
              <w:rPr>
                <w:sz w:val="20"/>
                <w:szCs w:val="20"/>
                <w:color w:val="auto"/>
              </w:rPr>
            </w:pPr>
            <w:r>
              <w:rPr>
                <w:rFonts w:ascii="Times New Roman" w:cs="Times New Roman" w:eastAsia="Times New Roman" w:hAnsi="Times New Roman"/>
                <w:sz w:val="13"/>
                <w:szCs w:val="13"/>
                <w:b w:val="1"/>
                <w:bCs w:val="1"/>
                <w:color w:val="auto"/>
                <w:w w:val="97"/>
              </w:rPr>
              <w:t>Other non-operating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120" w:type="dxa"/>
            <w:vAlign w:val="bottom"/>
          </w:tcPr>
          <w:p>
            <w:pPr>
              <w:spacing w:after="0"/>
              <w:rPr>
                <w:sz w:val="10"/>
                <w:szCs w:val="10"/>
                <w:color w:val="auto"/>
              </w:rPr>
            </w:pPr>
          </w:p>
        </w:tc>
        <w:tc>
          <w:tcPr>
            <w:tcW w:w="1260" w:type="dxa"/>
            <w:vAlign w:val="bottom"/>
          </w:tcPr>
          <w:p>
            <w:pPr>
              <w:jc w:val="center"/>
              <w:ind w:right="32"/>
              <w:spacing w:after="0" w:line="117" w:lineRule="exact"/>
              <w:rPr>
                <w:sz w:val="20"/>
                <w:szCs w:val="20"/>
                <w:color w:val="auto"/>
              </w:rPr>
            </w:pPr>
            <w:r>
              <w:rPr>
                <w:rFonts w:ascii="Times New Roman" w:cs="Times New Roman" w:eastAsia="Times New Roman" w:hAnsi="Times New Roman"/>
                <w:sz w:val="13"/>
                <w:szCs w:val="13"/>
                <w:b w:val="1"/>
                <w:bCs w:val="1"/>
                <w:color w:val="auto"/>
                <w:w w:val="97"/>
              </w:rPr>
              <w:t>Other non-operating</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expenses</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expenses</w:t>
            </w:r>
          </w:p>
        </w:tc>
        <w:tc>
          <w:tcPr>
            <w:tcW w:w="0" w:type="dxa"/>
            <w:vAlign w:val="bottom"/>
          </w:tcPr>
          <w:p>
            <w:pPr>
              <w:spacing w:after="0"/>
              <w:rPr>
                <w:sz w:val="1"/>
                <w:szCs w:val="1"/>
                <w:color w:val="auto"/>
              </w:rPr>
            </w:pPr>
          </w:p>
        </w:tc>
      </w:tr>
      <w:tr>
        <w:trPr>
          <w:trHeight w:val="126"/>
        </w:trPr>
        <w:tc>
          <w:tcPr>
            <w:tcW w:w="212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Foreign currency impact related to</w:t>
            </w:r>
          </w:p>
        </w:tc>
        <w:tc>
          <w:tcPr>
            <w:tcW w:w="1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the re-measurement of intercompany</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instruments</w:t>
            </w:r>
          </w:p>
        </w:tc>
        <w:tc>
          <w:tcPr>
            <w:tcW w:w="18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2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Gain on sale of business and other</w:t>
            </w:r>
          </w:p>
        </w:tc>
        <w:tc>
          <w:tcPr>
            <w:tcW w:w="18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(26,508)</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miscellaneous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0" w:type="dxa"/>
            <w:vAlign w:val="bottom"/>
          </w:tcPr>
          <w:p>
            <w:pPr>
              <w:spacing w:after="0"/>
              <w:rPr>
                <w:sz w:val="1"/>
                <w:szCs w:val="1"/>
                <w:color w:val="auto"/>
              </w:rPr>
            </w:pPr>
          </w:p>
        </w:tc>
      </w:tr>
      <w:tr>
        <w:trPr>
          <w:trHeight w:val="183"/>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(37,405)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426" w:right="300"/>
        <w:spacing w:after="0" w:line="280" w:lineRule="auto"/>
        <w:rPr>
          <w:sz w:val="20"/>
          <w:szCs w:val="20"/>
          <w:color w:val="auto"/>
        </w:rPr>
      </w:pPr>
      <w:r>
        <w:rPr>
          <w:rFonts w:ascii="Times New Roman" w:cs="Times New Roman" w:eastAsia="Times New Roman" w:hAnsi="Times New Roman"/>
          <w:sz w:val="14"/>
          <w:szCs w:val="14"/>
          <w:color w:val="auto"/>
        </w:rPr>
        <w:t>The “Other” row included in the reconciliations of Net loss (GAAP) to Adjusted EBITDA (non-GAAP) primarily relates to the items enumerated in the foregoing “Cost of revenues” and “Operating expenses” columns.</w:t>
      </w:r>
    </w:p>
    <w:p>
      <w:pPr>
        <w:spacing w:after="0" w:line="61" w:lineRule="exact"/>
        <w:rPr>
          <w:sz w:val="20"/>
          <w:szCs w:val="20"/>
          <w:color w:val="auto"/>
        </w:rPr>
      </w:pPr>
    </w:p>
    <w:p>
      <w:pPr>
        <w:ind w:left="366" w:hanging="366"/>
        <w:spacing w:after="0"/>
        <w:tabs>
          <w:tab w:leader="none" w:pos="3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the results of the businesses reported as discontinued operations, net of tax.</w:t>
      </w:r>
    </w:p>
    <w:p>
      <w:pPr>
        <w:spacing w:after="0" w:line="98" w:lineRule="exact"/>
        <w:rPr>
          <w:rFonts w:ascii="Times New Roman" w:cs="Times New Roman" w:eastAsia="Times New Roman" w:hAnsi="Times New Roman"/>
          <w:sz w:val="14"/>
          <w:szCs w:val="14"/>
          <w:color w:val="auto"/>
        </w:rPr>
      </w:pPr>
    </w:p>
    <w:p>
      <w:pPr>
        <w:ind w:left="366" w:hanging="366"/>
        <w:spacing w:after="0"/>
        <w:tabs>
          <w:tab w:leader="none" w:pos="3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amortization expense related to intangible assets.</w:t>
      </w:r>
    </w:p>
    <w:p>
      <w:pPr>
        <w:spacing w:after="0" w:line="98" w:lineRule="exact"/>
        <w:rPr>
          <w:rFonts w:ascii="Times New Roman" w:cs="Times New Roman" w:eastAsia="Times New Roman" w:hAnsi="Times New Roman"/>
          <w:sz w:val="14"/>
          <w:szCs w:val="14"/>
          <w:color w:val="auto"/>
        </w:rPr>
      </w:pPr>
    </w:p>
    <w:p>
      <w:pPr>
        <w:ind w:left="426" w:right="240" w:hanging="426"/>
        <w:spacing w:after="0" w:line="272" w:lineRule="auto"/>
        <w:tabs>
          <w:tab w:leader="none" w:pos="37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income taxes are calculated by tax effecting adjusted pre-tax income and permanent book-tax differences at the applicable effective tax rate that will be determined by reference to statutory tax rates in the relevant jurisdictions in which the Company operates. Adjusted income taxes include current and deferred income tax expense commensurate with the non-GAAP measure of profitability.</w:t>
      </w:r>
    </w:p>
    <w:p>
      <w:pPr>
        <w:spacing w:after="0" w:line="65" w:lineRule="exact"/>
        <w:rPr>
          <w:rFonts w:ascii="Times New Roman" w:cs="Times New Roman" w:eastAsia="Times New Roman" w:hAnsi="Times New Roman"/>
          <w:sz w:val="14"/>
          <w:szCs w:val="14"/>
          <w:color w:val="auto"/>
        </w:rPr>
      </w:pPr>
    </w:p>
    <w:p>
      <w:pPr>
        <w:ind w:left="366" w:hanging="366"/>
        <w:spacing w:after="0"/>
        <w:tabs>
          <w:tab w:leader="none" w:pos="3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of Acquired in-process research and development charges included within these non-GAAP financial measures are set forth in the table below (in thousands):</w:t>
      </w:r>
    </w:p>
    <w:p>
      <w:pPr>
        <w:spacing w:after="0" w:line="30"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240" w:type="dxa"/>
            <w:vAlign w:val="bottom"/>
          </w:tcPr>
          <w:p>
            <w:pPr>
              <w:spacing w:after="0"/>
              <w:rPr>
                <w:sz w:val="14"/>
                <w:szCs w:val="14"/>
                <w:color w:val="auto"/>
              </w:rPr>
            </w:pPr>
          </w:p>
        </w:tc>
        <w:tc>
          <w:tcPr>
            <w:tcW w:w="2600" w:type="dxa"/>
            <w:vAlign w:val="bottom"/>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1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5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5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6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in-process research and development charges</w:t>
            </w:r>
          </w:p>
        </w:tc>
        <w:tc>
          <w:tcPr>
            <w:tcW w:w="104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3"/>
            <w:shd w:val="clear" w:color="auto" w:fill="CCEEFF"/>
          </w:tcPr>
          <w:p>
            <w:pPr>
              <w:jc w:val="right"/>
              <w:ind w:right="917"/>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68,700</w:t>
            </w:r>
          </w:p>
        </w:tc>
      </w:tr>
    </w:tbl>
    <w:p>
      <w:pPr>
        <w:spacing w:after="0" w:line="164" w:lineRule="exact"/>
        <w:rPr>
          <w:sz w:val="20"/>
          <w:szCs w:val="20"/>
          <w:color w:val="auto"/>
        </w:rPr>
      </w:pPr>
    </w:p>
    <w:p>
      <w:pPr>
        <w:ind w:left="426" w:right="600" w:hanging="426"/>
        <w:spacing w:after="0" w:line="265" w:lineRule="auto"/>
        <w:tabs>
          <w:tab w:leader="none" w:pos="37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income or loss from continuing operations divided by the applicable weighted average share number. The applicable weighted average share numbers are as follows (in thousands):</w:t>
      </w:r>
    </w:p>
    <w:tbl>
      <w:tblPr>
        <w:tblLayout w:type="fixed"/>
        <w:tblInd w:w="6"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3"/>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21"/>
        </w:trPr>
        <w:tc>
          <w:tcPr>
            <w:tcW w:w="61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5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8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235,220</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235,205</w:t>
            </w: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235,219</w:t>
            </w: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234,840</w:t>
            </w:r>
          </w:p>
        </w:tc>
      </w:t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Non-GAAP Adjusted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235,220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236,500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235,441</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236,404</w:t>
            </w:r>
          </w:p>
        </w:tc>
      </w:tr>
    </w:tbl>
    <w:p>
      <w:pPr>
        <w:spacing w:after="0" w:line="200" w:lineRule="exact"/>
        <w:rPr>
          <w:sz w:val="20"/>
          <w:szCs w:val="20"/>
          <w:color w:val="auto"/>
        </w:rPr>
      </w:pPr>
    </w:p>
    <w:p>
      <w:pPr>
        <w:spacing w:after="0" w:line="3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66"/>
          </w:cols>
          <w:pgMar w:left="314" w:top="9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The Company utilizes certain financial measures that are not prescribed by or prepared in accordance with accounting principles generally accepted in the U.S. (GAAP). These non-GAAP financial measures are not, and should not be viewed as, substitutes for GAAP net income and its components and diluted net income per share amounts. Despite the importance of these measures to management in goal setting and performance measurement, the Company stresses that these are non-GAAP financial measures that have no standardized meaning prescribed by GAAP and, therefore, have limits in their usefulness to investors. Because of the non-standardized definitions, non-GAAP adjusted EBITDA and non-GAAP adjusted net income from continuing operations and its components (unlike GAAP net income from continuing operations and its components) may not be comparable to the calculation of similar measures of other companies. These non-GAAP financial measures are presented solely to permit investors to more fully understand how management assesses performance.</w:t>
      </w:r>
    </w:p>
    <w:p>
      <w:pPr>
        <w:spacing w:after="0" w:line="6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9"/>
          <w:szCs w:val="19"/>
          <w:color w:val="auto"/>
        </w:rPr>
        <w:t>Investors are encouraged to review the reconciliations of the non-GAAP financial measures used in this press release to their most directly comparable GAAP financial measures. However, the Company does not provide reconciliations of projected non-GAAP financial measures to GAAP financial measures, nor does it provide comparable projected GAAP financial measures for such projected non-GAAP financial measures. The Company is unable to provide such reconciliations without unreasonable efforts due to the inherent difficulty in forecasting and quantifying certain amounts that are necessary for such reconciliations, including adjustments that could be made for asset impairments, contingent consideration adjustments, legal settlements, gain / loss on extinguishment of debt, adjustments to inventory and other charges reflected in the reconciliation of historic numbers, the amounts of which could be significant.</w:t>
      </w:r>
    </w:p>
    <w:p>
      <w:pPr>
        <w:spacing w:after="0" w:line="6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See Endo’s Current Report on Form 8-K furnished today to the U.S. Securities and Exchange Commission for an explanation of Endo’s non-GAAP financial measures.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Endo</w:t>
      </w:r>
    </w:p>
    <w:p>
      <w:pPr>
        <w:spacing w:after="0" w:line="11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9"/>
          <w:szCs w:val="19"/>
          <w:color w:val="auto"/>
        </w:rPr>
        <w:t>Endo (OTC: ENDPQ) is a specialty pharmaceutical company committed to helping everyone we serve live their best life through the delivery of quality, life-enhancing therapies. Our decades of proven success come from passionate team members around the globe collaborating to bring treatments forward. Together, we boldly transform insights into treatments benefiting those who need them, when they need them. Learn more at www.endo.com or connect with us on LinkedIn.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Certain information in this press release may be considered “forward-looking statements” within the meaning of the Private Securities Litigation Reform Act of 1995 and any applicable Canadian securities legislation, including, but not limited to, statements with respect to financial guidance, expectations or outlook, bankruptcy court hearings or approvals, Chapter 11 emergence, and any other statements that refer to expected, estimated or anticipated future results or that do not relate solely to historical facts. Statements including words or phrases such as “believe,” “expect,” “anticipate,” “intend,” “estimate,” “plan,” “will,” “may,” “look forward,” “outlook,”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Company’s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20"/>
          </w:cols>
          <w:pgMar w:left="320" w:top="938" w:right="359" w:bottom="1440" w:gutter="0" w:footer="0" w:header="0"/>
        </w:sectPr>
      </w:pPr>
    </w:p>
    <w:bookmarkStart w:id="18" w:name="page19"/>
    <w:bookmarkEnd w:id="18"/>
    <w:p>
      <w:pPr>
        <w:spacing w:after="0" w:line="249" w:lineRule="auto"/>
        <w:rPr>
          <w:sz w:val="20"/>
          <w:szCs w:val="20"/>
          <w:color w:val="auto"/>
        </w:rPr>
      </w:pPr>
      <w:r>
        <w:rPr>
          <w:rFonts w:ascii="Times New Roman" w:cs="Times New Roman" w:eastAsia="Times New Roman" w:hAnsi="Times New Roman"/>
          <w:sz w:val="19"/>
          <w:szCs w:val="19"/>
          <w:color w:val="auto"/>
        </w:rPr>
        <w:t>strategy; risks and uncertainties associated with Chapter 11 proceedings; the negative impacts on the Company's businesses as a result of filing for and operating under Chapter 11 protection; the time, terms and ability to obtain approval and consummate the proposed Plan or Reorganization or a sale under Section 363 of the U.S. Bankruptcy Code;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Company's Chapter 11 Cases may be converted to cases under Chapter 7 of the Bankruptcy Code; the Company’s ability to secure operating capital; the Company’s ability to take advantage of opportunities to acquire assets with upside potential; the impact of competition and the timing of competitive entrants; the Company’s ability to satisfy judgments or settlements or pursue appeals including bonding requirements; the Company’s ability to adjust to changing market conditions; the Company’s ability to attract and retain key personnel; supply chain interruptions or difficulties; changes in competitive or market conditions; changes in legislation or regulatory developments; the Company’s ability to obtain and maintain adequate protection for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Company’s ability to integrate any newly acquired products into its portfolio and achieve any financial or commercial expectations; the impact that known and unknown side effects may have on market perception and consumer preference for the Company’s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the Company’s ability to advance its strategic priorities, develop its product pipeline and continue to develop the market for XIAFLEX</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rPr>
        <w:t xml:space="preserve"> and other branded and unbranded products; and the Company’s ability to obtain and successfully manufacture, maintain and distribute a sufficient supply of products to meet market demand in a timely manner. In addition, U.S. and international economic conditions, including consumer confidence and debt levels, inflation, taxation, changes in interest and currency exchange rates, international relations, capital and credit availability, the status of financial markets and institutions and the impact of continued economic volatility, can materially affect the Company’s results. Therefore, the reader is cautioned not to rely on these forward-looking statements. The Company expressly disclaims any intent or obligation to update these forward-looking statements, except as required to do so by law.</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895"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9"/>
          <w:szCs w:val="19"/>
          <w:color w:val="auto"/>
        </w:rPr>
        <w:t>Additional information concerning risk factors, including those referenced above, can be found in press releases issued by the Company, as well as public periodic filings with the U.S. Securities and Exchange Commission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Endo Investor Relations Department at relations.investor@endo.com.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SOURCE Endo International plc</w:t>
      </w:r>
    </w:p>
    <w:p>
      <w:pPr>
        <w:sectPr>
          <w:pgSz w:w="11900" w:h="16838" w:orient="portrait"/>
          <w:cols w:equalWidth="0" w:num="1">
            <w:col w:w="11100"/>
          </w:cols>
          <w:pgMar w:left="320" w:top="895" w:right="479" w:bottom="1440" w:gutter="0" w:footer="0" w:header="0"/>
        </w:sectPr>
      </w:pP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Media: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Linda Huss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(484) 216-6829</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media.relations@endo.com</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Laure Park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(845) 364-4862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relations.investor@endo.com</w:t>
      </w:r>
    </w:p>
    <w:p>
      <w:pPr>
        <w:spacing w:after="0" w:line="197" w:lineRule="exact"/>
        <w:rPr>
          <w:sz w:val="20"/>
          <w:szCs w:val="20"/>
          <w:color w:val="auto"/>
        </w:rPr>
      </w:pPr>
    </w:p>
    <w:p>
      <w:pPr>
        <w:sectPr>
          <w:pgSz w:w="11900" w:h="16838" w:orient="portrait"/>
          <w:cols w:equalWidth="0" w:num="2">
            <w:col w:w="7260" w:space="720"/>
            <w:col w:w="3120"/>
          </w:cols>
          <w:pgMar w:left="320" w:top="89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16</w:t>
      </w:r>
    </w:p>
    <w:sectPr>
      <w:pgSz w:w="11900" w:h="16838" w:orient="portrait"/>
      <w:cols w:equalWidth="0" w:num="1">
        <w:col w:w="11100"/>
      </w:cols>
      <w:pgMar w:left="320" w:top="895"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decimal"/>
      <w:start w:val="10"/>
    </w:lvl>
  </w:abstractNum>
  <w:abstractNum w:abstractNumId="11">
    <w:nsid w:val="66EF438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2024-03-06T16:06:02Z</dcterms:created>
  <dcterms:modified xsi:type="dcterms:W3CDTF">2024-03-06T16:06:02Z</dcterms:modified>
</cp:coreProperties>
</file>