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320" w:right="860" w:hanging="2453"/>
        <w:spacing w:after="0" w:line="253" w:lineRule="auto"/>
        <w:tabs>
          <w:tab w:leader="none" w:pos="12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or</w:t>
      </w:r>
    </w:p>
    <w:p>
      <w:pPr>
        <w:ind w:left="1220" w:hanging="393"/>
        <w:spacing w:after="0" w:line="221" w:lineRule="auto"/>
        <w:tabs>
          <w:tab w:leader="none" w:pos="122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15" w:lineRule="exact"/>
        <w:rPr>
          <w:sz w:val="24"/>
          <w:szCs w:val="24"/>
          <w:color w:val="auto"/>
        </w:rPr>
      </w:pPr>
    </w:p>
    <w:p>
      <w:pPr>
        <w:ind w:left="35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57" w:right="359" w:bottom="1440" w:gutter="0" w:footer="0" w:header="0"/>
        </w:sectPr>
      </w:pPr>
    </w:p>
    <w:p>
      <w:pPr>
        <w:spacing w:after="0" w:line="9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68-0683755</w:t>
      </w:r>
    </w:p>
    <w:p>
      <w:pPr>
        <w:spacing w:after="0" w:line="57" w:lineRule="exact"/>
        <w:rPr>
          <w:sz w:val="24"/>
          <w:szCs w:val="24"/>
          <w:color w:val="auto"/>
        </w:rPr>
      </w:pPr>
    </w:p>
    <w:p>
      <w:pPr>
        <w:sectPr>
          <w:pgSz w:w="11900" w:h="16838" w:orient="portrait"/>
          <w:cols w:equalWidth="0" w:num="2">
            <w:col w:w="7460" w:space="720"/>
            <w:col w:w="3020"/>
          </w:cols>
          <w:pgMar w:left="340" w:top="857" w:right="3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7" w:lineRule="exact"/>
        <w:rPr>
          <w:sz w:val="24"/>
          <w:szCs w:val="24"/>
          <w:color w:val="auto"/>
        </w:rPr>
      </w:pPr>
    </w:p>
    <w:p>
      <w:pPr>
        <w:sectPr>
          <w:pgSz w:w="11900" w:h="16838" w:orient="portrait"/>
          <w:cols w:equalWidth="0" w:num="2">
            <w:col w:w="6760" w:space="720"/>
            <w:col w:w="3720"/>
          </w:cols>
          <w:pgMar w:left="340" w:top="857" w:right="3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p>
      <w:pPr>
        <w:sectPr>
          <w:pgSz w:w="11900" w:h="16838" w:orient="portrait"/>
          <w:cols w:equalWidth="0" w:num="1">
            <w:col w:w="11200"/>
          </w:cols>
          <w:pgMar w:left="340" w:top="857" w:right="359" w:bottom="1440" w:gutter="0" w:footer="0" w:header="0"/>
          <w:type w:val="continuous"/>
        </w:sectPr>
      </w:pPr>
    </w:p>
    <w:p>
      <w:pPr>
        <w:spacing w:after="0" w:line="5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7" w:lineRule="exact"/>
        <w:rPr>
          <w:sz w:val="24"/>
          <w:szCs w:val="24"/>
          <w:color w:val="auto"/>
        </w:rPr>
      </w:pPr>
    </w:p>
    <w:p>
      <w:pPr>
        <w:sectPr>
          <w:pgSz w:w="11900" w:h="16838" w:orient="portrait"/>
          <w:cols w:equalWidth="0" w:num="2">
            <w:col w:w="7360" w:space="720"/>
            <w:col w:w="3120"/>
          </w:cols>
          <w:pgMar w:left="340" w:top="857" w:right="35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36" w:lineRule="exact"/>
        <w:rPr>
          <w:sz w:val="24"/>
          <w:szCs w:val="24"/>
          <w:color w:val="auto"/>
        </w:rPr>
      </w:pPr>
    </w:p>
    <w:p>
      <w:pPr>
        <w:sectPr>
          <w:pgSz w:w="11900" w:h="16838" w:orient="portrait"/>
          <w:cols w:equalWidth="0" w:num="2">
            <w:col w:w="7500" w:space="720"/>
            <w:col w:w="2980"/>
          </w:cols>
          <w:pgMar w:left="340" w:top="857" w:right="3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011-353-1-268-2000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00"/>
          </w:cols>
          <w:pgMar w:left="340" w:top="857" w:right="359" w:bottom="1440" w:gutter="0" w:footer="0" w:header="0"/>
          <w:type w:val="continuous"/>
        </w:sectPr>
      </w:pP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6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000" w:type="dxa"/>
            <w:vAlign w:val="bottom"/>
          </w:tcPr>
          <w:p>
            <w:pPr>
              <w:spacing w:after="0"/>
              <w:rPr>
                <w:sz w:val="16"/>
                <w:szCs w:val="16"/>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7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9"/>
              </w:rPr>
              <w:t>ENDP</w:t>
            </w:r>
          </w:p>
        </w:tc>
        <w:tc>
          <w:tcPr>
            <w:tcW w:w="5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5"/>
        </w:trPr>
        <w:tc>
          <w:tcPr>
            <w:tcW w:w="1050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auto"/>
              </w:rPr>
              <w:t>1934 during the preceding 12 months (or for such shorter period that the registrant was required to file such reports), and (2) has been subject to such</w:t>
            </w:r>
          </w:p>
        </w:tc>
        <w:tc>
          <w:tcPr>
            <w:tcW w:w="4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filing requirements for the past 90 days.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5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0"/>
        </w:trPr>
        <w:tc>
          <w:tcPr>
            <w:tcW w:w="10500" w:type="dxa"/>
            <w:vAlign w:val="bottom"/>
            <w:gridSpan w:val="7"/>
          </w:tcPr>
          <w:p>
            <w:pPr>
              <w:spacing w:after="0" w:line="171" w:lineRule="exact"/>
              <w:rPr>
                <w:sz w:val="20"/>
                <w:szCs w:val="20"/>
                <w:color w:val="auto"/>
              </w:rPr>
            </w:pPr>
            <w:r>
              <w:rPr>
                <w:rFonts w:ascii="Times New Roman" w:cs="Times New Roman" w:eastAsia="Times New Roman" w:hAnsi="Times New Roman"/>
                <w:sz w:val="17"/>
                <w:szCs w:val="17"/>
                <w:color w:val="auto"/>
              </w:rPr>
              <w:t>of Regulation S-T (§232.405 of this chapter) during the preceding 12 months (or for such shorter period that the registrant was required to submit</w:t>
            </w:r>
          </w:p>
        </w:tc>
        <w:tc>
          <w:tcPr>
            <w:tcW w:w="4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such files).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5" w:lineRule="exact"/>
        <w:rPr>
          <w:sz w:val="24"/>
          <w:szCs w:val="24"/>
          <w:color w:val="auto"/>
        </w:rPr>
      </w:pPr>
    </w:p>
    <w:p>
      <w:pPr>
        <w:ind w:right="140"/>
        <w:spacing w:after="0" w:line="21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pacing w:after="0"/>
        <w:rPr>
          <w:sz w:val="20"/>
          <w:szCs w:val="20"/>
          <w:color w:val="auto"/>
        </w:rPr>
      </w:pPr>
      <w:r>
        <w:rPr>
          <w:rFonts w:ascii="Times New Roman" w:cs="Times New Roman" w:eastAsia="Times New Roman" w:hAnsi="Times New Roman"/>
          <w:sz w:val="17"/>
          <w:szCs w:val="17"/>
          <w:color w:val="auto"/>
        </w:rPr>
        <w:t>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3"/>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revised financial accounting standards provided pursuant to Section 13(a) of the Exchange Act.</w:t>
            </w:r>
          </w:p>
        </w:tc>
        <w:tc>
          <w:tcPr>
            <w:tcW w:w="2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5"/>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ordinary shares, nominal value $0.0001 per share outstanding as of August 1, 2022 was 235,142,889.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545465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57"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ENDO INTERNATIONAL PLC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7"/>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2"/>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060" w:type="dxa"/>
            <w:vAlign w:val="bottom"/>
            <w:tcBorders>
              <w:top w:val="single" w:sz="8" w:color="0000FF"/>
            </w:tcBorders>
            <w:gridSpan w:val="8"/>
          </w:tcPr>
          <w:p>
            <w:pPr>
              <w:spacing w:after="0"/>
              <w:rPr>
                <w:sz w:val="18"/>
                <w:szCs w:val="18"/>
                <w:color w:val="auto"/>
              </w:rPr>
            </w:pPr>
          </w:p>
        </w:tc>
        <w:tc>
          <w:tcPr>
            <w:tcW w:w="4420" w:type="dxa"/>
            <w:vAlign w:val="bottom"/>
            <w:gridSpan w:val="3"/>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Income (Unaudited)</w:t>
            </w:r>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90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gridSpan w:val="3"/>
          </w:tcPr>
          <w:p>
            <w:pPr>
              <w:spacing w:after="0"/>
              <w:rPr>
                <w:sz w:val="18"/>
                <w:szCs w:val="18"/>
                <w:color w:val="auto"/>
              </w:rPr>
            </w:pP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54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456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560" w:type="dxa"/>
            <w:vAlign w:val="bottom"/>
            <w:gridSpan w:val="15"/>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6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80" w:type="dxa"/>
            <w:vAlign w:val="bottom"/>
            <w:gridSpan w:val="1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300" w:type="dxa"/>
            <w:vAlign w:val="bottom"/>
            <w:gridSpan w:val="1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statements relating to the status and outcome of litigation, any future financial results, cost savings, revenues, expenses, net income and income per share, as well as future financing activities, the impact of the novel strain of coronavirus referred to as COVID-19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the outcome or progress of our contingency planning, including any potential bankruptcy filing,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related to the impact of COVID-19 (such as, without limitation, the scope and duration of the pandemic, governmental actions and restrictive measures, delays and cancellations of medical procedures, manufacturing and supply chain disruptions and other impacts to our business); the timing or results of any pending or future litigation, investigations or claims or actual or contingent liabilities, settlement discussions, negotiations or other adverse proceedings, including proceedings involving opioid-related matters, antitrust matters and tax matters with the United States (U.S.) Internal Revenue Service (IRS); our ability to reach a resolution with certain of our financial creditors and opioid-related plaintiffs in connection with ongoing restructuring and settlement discussions; unfavorable publicity regarding the misuse of opioids; changing competitive, market and regulatory conditions; changes in legislation; our ability to obtain and maintain adequate protection for our intellectual property rights; the impacts of competition such as those related to the loss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the timing and uncertainty of the results of our strategic review and any related potential bankruptcy; and the other risks and uncertainties more fully described under the caption “Risk Factors” in Part I, Item 1A of the Annual Report on Form 10-K for the year ended December 31, 2021 filed with the Securities and Exchange Commission (SEC) on March 1, 2022 (the Annual Report), in Part II, Item 1A of the Quarterly Report on Form 10-Q for the quarterly period ended March 31, 2022 filed with the SEC on May 6, 2022 (the First Quarter 2022 Form 10-Q), in Part II, Item 1A of this report and in other reports that we file with the SEC.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our ability to adjust to changing market conditions; our ability to attract and retain key personnel; our ability to maintain compliance with our financial obligations under certain of our outstanding debt obligations and avoid related downgrades of our debt and long-term corporate credit ratings (which could increase our cost of capital) and/or potential events of default (if not cured or waived) under financial and operating covenants contained in our or our subsidiaries’ outstanding indebtedness; our ability to incur additional borrowings in compliance with the covenants in our then-existing facilities or to obtain additional debt or equity financing for working capital, capital expenditures, business development, debt service requirements, acquisitions or general corporate or other purposes, or to refinance our indebtedness; and/or the potential for a significant reduction in our short-term and long-term revenues and/or any other factor that could cause us to be unable to fund our operations and liquidity needs, such as future capital expenditures and payment of our indebtedness. As a result of the possibility or occurrence of any such result,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Pursuant to such remedial measures, we currently expect to seek protection from our creditors under Chapter 11 of the Bankruptcy Code, which could occur imminently and would subject us to additional risks and uncertainties that could adversely affect our business prospects and ability to continue as a going concern, as further described herein. We would, in that event, also be subject to risks and uncertainties caused by the actions of creditors and other third parties with interests that may be inconsistent with our plans.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Part II, Item 1A of the First Quarter 2022 Form 10-Q and Part II, Item 1A of this report,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1,507,196</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592,019</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283,552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200,484</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 (NOTE 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2,714,586</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396,712</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3,197,011</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2,133,955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8,767,415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749,873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836,898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legal settlement accrual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580,994</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200,342</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1,629,962</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8,048,980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LEGAL SETTLEMENT ACCRUAL, LESS CURRENT PORTION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277,104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Euro deferred shares, $0.01 par value; 4,000,000 shares authorized and issued at both June 30, 2022 and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5"/>
        </w:trPr>
        <w:tc>
          <w:tcPr>
            <w:tcW w:w="8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Ordinary shares, $0.0001 par value; 1,000,000,000 shares authorized; 235,139,243 and 233,690,816 shares issued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June 30, 2022 and December 31, 2021, respectively</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8,959,662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(11,938,916)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(3,198,072)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8,767,415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1,431,749</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623,773</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364,793</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59,408</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275,894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156"/>
        </w:trPr>
        <w:tc>
          <w:tcPr>
            <w:tcW w:w="54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INCOME FROM CONTINUING OPERATIONS BEFORE</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(1,940,847)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48,699</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 (NOTE 3)</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PER SHARE—DILUTED: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231,941</w:t>
            </w:r>
          </w:p>
        </w:tc>
        <w:tc>
          <w:tcPr>
            <w:tcW w:w="0" w:type="dxa"/>
            <w:vAlign w:val="bottom"/>
          </w:tcPr>
          <w:p>
            <w:pPr>
              <w:spacing w:after="0"/>
              <w:rPr>
                <w:sz w:val="1"/>
                <w:szCs w:val="1"/>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237,043</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(loss) gain on foreign currency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23"/>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420" w:type="dxa"/>
            <w:vAlign w:val="bottom"/>
            <w:gridSpan w:val="7"/>
          </w:tcPr>
          <w:p>
            <w:pPr>
              <w:ind w:left="29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729"/>
        </w:trPr>
        <w:tc>
          <w:tcPr>
            <w:tcW w:w="54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26,024</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237,703</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loss on sale of business and 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which provided (used) cash: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52,283</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20,406</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w:t>
            </w:r>
          </w:p>
        </w:tc>
      </w:tr>
      <w:tr>
        <w:trPr>
          <w:trHeight w:val="23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taxes payable/receivable,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54,162</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398,816</w:t>
            </w:r>
          </w:p>
        </w:tc>
      </w:tr>
      <w:tr>
        <w:trPr>
          <w:trHeight w:val="21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excluding capitalized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(41,345)</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interest payments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U.S. Government Agreement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including in-process research and development, net of cash and restricted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acquisition costs and license fees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 and other assets,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(45,050)</w:t>
            </w:r>
          </w:p>
        </w:tc>
      </w:tr>
      <w:tr>
        <w:trPr>
          <w:trHeight w:val="723"/>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8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notes, net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1,279,978</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term loans, net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(3,300,475)</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other indebtedness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debt issuance and extinguishment costs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tax withholding for restricted shares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(196,950)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(65,747)</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156"/>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288,730</w:t>
            </w:r>
          </w:p>
        </w:tc>
      </w:tr>
      <w:tr>
        <w:trPr>
          <w:trHeight w:val="156"/>
        </w:trPr>
        <w:tc>
          <w:tcPr>
            <w:tcW w:w="8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1,631,310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1,385,000</w:t>
            </w:r>
          </w:p>
        </w:tc>
      </w:tr>
      <w:tr>
        <w:trPr>
          <w:trHeight w:val="156"/>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 END OF</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1,673,730</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June 30, 2022 and the results of its operations and its cash flows for the periods presented. Operating results for the three and six months ended June 30, 2022 are not necessarily indicative of the results that may be expected for the year ending December 31, 2022. The year-end Condensed Consolidated Balance Sheet data as of December 31, 2021 was derived from audited financial statements but does not include all disclosures required by U.S. GAAP.</w:t>
      </w:r>
    </w:p>
    <w:p>
      <w:pPr>
        <w:spacing w:after="0" w:line="8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 reclassification adjustments primarily relate to changes to the presentation of certain costs and expenses in our Condensed Consolidated Statements of Operations. Specifically, effective with the First Quarter 2022 Form 10-Q, the Company has added a new financial statement line item labeled Acquired in-process research and development. Any prior period amounts of acquired in-process research and development charges presented in this report have been reclassified to this line item from the existing financial statement line item labeled Research and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As previously disclosed, as a result of the possibility or occurrence of an unfavorable outcome with respect to any legal proceeding,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Some of these actions could take significant time to implement and others may require judicial or other third-party approval. As further described below, thousands of governmental and private plaintiffs have filed suit against us and/or certain of our subsidiaries alleging opioid-related claims. We have not been able to settle most of the opioid claims made against us and, as a result, we are exploring a wide array of potential actions as part of our contingency planning.</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our contingency planning process continued to advance. For example, we have been working with our external advisors to explore a range of options and have been engaging in dialogue with certain financial creditors and litigation claimants, together with their advisors. While continuing these discussions and our evaluation of strategic alternatives, we elected, for certain of our senior notes, to not make certain interest payments as they became due beginning on June 30, 2022. Under each of the indentures governing these notes, we have a 30-day grace period from the respective due dates to make these interest payments before such non-payments constitute events of default with respect to such notes. As of the date of this report, these interest payments either: (i) had been paid before the end of any applicable grace periods or (ii) remained unpaid but were still within applicable grace periods. However, we remain in constructive negotiations with an ad hoc group of first lien creditors, among other parties, and, in light of the progress to date, we currently expect that these negotiations will likely result in a pre-arranged filing under Chapter 11 of the U.S. Bankruptcy Code by Endo International plc and substantially all of its subsidiaries, which could occur imminently. There can be no assurance of such an outcome. Despite a likely Chapter 11 filing, we retain substantial liquidity, with approximately $1.19 billion of unrestricted cash on our Condensed Consolidated Balance Sheets as of June 30, 2022, and we continue to meet our obligations to customers, vendors, counterparties and employees in the ordinary course of business.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As we continue discussions with certain of our creditors and/or consider further actions in connection with our evaluation of strategic alternatives, we cannot predict with certainty whether the remaining unpaid interest payments referenced above will be made by the end of any applicable grace periods or whether they and/or any of our future interest payments will be made timely, or at all. If one or more events of default were to occur under any of the agreements relating to our outstanding indebtedness, including without limitation as a result of us not making interest payments by the end of any applicable grace periods and/or us issuing audited financial statements containing an audit opinion with going concern or similar qualifications or exceptions, the holders of the defaulted debt could cause all amounts outstanding with respect to that debt to become due and payable immediately, terminate all commitments to extend further credit, foreclose against assets comprising the collateral securing or otherwise supporting the debt and pursue other legal remedies. Additionally, the instruments governing our debt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one or more events of default. Refer to the “Covenants and Events of Default” section of Note 13. Debt for further discussion.</w:t>
      </w:r>
    </w:p>
    <w:p>
      <w:pPr>
        <w:spacing w:after="0" w:line="8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Any of the circumstances above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counterparties;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w:t>
      </w:r>
    </w:p>
    <w:p>
      <w:pPr>
        <w:spacing w:after="0" w:line="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Taken together, we believe the conditions and events described above raise substantial doubt about our ability to continue as a going concern within one year after the date of issuance of these unaudited Condensed Consolidated Financial Statements. While the accompanying unaudited Condensed Consolidated Financial Statements have been prepared under the going concern basis of accounting, we continue to evaluate plans to resolve our risks to continue to operate as a going concern. These plans, however, have not yet been finalized and are not fully within our control. As a result, management has concluded that its plans at this stage do not alleviate substantial doubt about Endo’s ability to continue as a going concern.</w:t>
      </w:r>
    </w:p>
    <w:p>
      <w:pPr>
        <w:spacing w:after="0" w:line="75"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material adjustments related to the recoverability and classification of recorded asset amounts and classification of liabilities that might result from the outcome of this uncertainty. See Note 18. Income Taxes for discussion regarding the impact of our going concern assessment on the valuation allowance related to our net deferred tax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Furthermore, as further discussed in Note 1. Basis of Presentation, as a result of the possibility or occurrence of an unfavorable outcome with respect to any legal proceeding,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Any such action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Added or Updated since December 31, 2021</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since December 31, 2021. For additional discussion of the Company’s significant accounting policies, see Note 2. Summary of Significant Accounting Policies in the Consolidated Financial Statements included in Part IV, Item 15 of the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 AND HELD FOR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21" w:lineRule="exact"/>
        <w:rPr>
          <w:sz w:val="20"/>
          <w:szCs w:val="20"/>
          <w:color w:val="auto"/>
        </w:rPr>
      </w:pPr>
    </w:p>
    <w:p>
      <w:pPr>
        <w:jc w:val="both"/>
        <w:ind w:right="240" w:firstLine="486"/>
        <w:spacing w:after="0" w:line="263"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six months ended June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from discontinued operations before income taxes includes mesh-related legal defense costs and certain other items.</w:t>
      </w:r>
    </w:p>
    <w:p>
      <w:pPr>
        <w:spacing w:after="0" w:line="11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$11.2 million and $10.9 million for the six months ended June 30, 2022 and 2021,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Assets and Liabilities of Endo’s Retail Generics Business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November 2020, we announced the initiation of several strategic actions to further optimize the Company’s operations and increase overall efficiency, which are collectively referred to as the 2020 Restructuring Initiative and are further discussed in Note 4. Restructuring. These actions include an initiative to exit certain of our manufacturing and other sites to optimize our retail generics business cost structure. As part of this initiative, certain of these sites were sold in 2021 as further discussed in the Annual Report. Additionally, during the second quarter of 2022, we entered into a definitive agreement to sell certain additional assets located in Chestnut Ridge, New York that supported our retail generics business to Ram Ridge Partners BH LLC (Ram Ridge Partners). As of June 30, 2022, the sale has not yet closed; it is expected to close in the third quarter of 2022.</w:t>
      </w:r>
    </w:p>
    <w:p>
      <w:pPr>
        <w:spacing w:after="0" w:line="7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During the second quarter of 2022, these assets, which include property, plant and equipment with a carrying amount of approximately $11 million as of June 30, 2022, met the criteria to be classified as held for sale in the Condensed Consolidated Balance Sheets. Depreciation expense is not recorded on assets held for sale. These assets, which primarily related to the Company’s Generic Pharmaceuticals segment, did not meet the requirements for treatment as a discontinued operation.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November 5, 2020, the Company announced the initiation of several strategic actions to further optimize the Company’s operations and increase overall efficiency (the 2020 Restructuring Initiative). These actions were initiated with the expectation of generating significant cost savings to be reinvested, among other things, to support the Company’s key strategic priority to expand and enhance its product portfolio. These actions, which we have been progressing, include the following:</w:t>
      </w:r>
    </w:p>
    <w:p>
      <w:pPr>
        <w:spacing w:after="0" w:line="3" w:lineRule="exact"/>
        <w:rPr>
          <w:sz w:val="20"/>
          <w:szCs w:val="20"/>
          <w:color w:val="auto"/>
        </w:rPr>
      </w:pPr>
    </w:p>
    <w:p>
      <w:pPr>
        <w:ind w:left="900" w:right="140" w:hanging="244"/>
        <w:spacing w:after="0" w:line="25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retail generics business cost structure by exiting manufacturing and other sites in Irvine, California and Chestnut Ridge, New York, as well as certain sites in India. Certain of the sites have already been exited and certain products historically manufactured at these sites have been transferred to other internal and external sites within the Company’s manufacturing network.</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As a result of the 2020 Restructuring Initiative, the Company’s global workforce is ultimately expected to be reduced by up to approximately 500 net full-time positions. The Company expects to realize annualized pre-tax cash savings (without giving effect to the costs described below) of approximately $85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2020 Restructuring Initiative, the Company expects to incur total pre-tax restructuring-related expenses of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to $185 million, of which approximately $140 million to $155 million relates to the Generic Pharmaceuticals segment, with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relating to our other segments and certain corporate unallocated costs. The estimated expenses consist of accelerated depreciation charges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$50 million to $55 million, asset impairment charges of approximately $50 million, employee separation, continuity and other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of approximately $55 million to $60 million and certain other restructuring costs of approximately $15 million to $20 million. Cash outlays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the 2020 Restructuring Initiative are expected to be approximately $75 million and consist primarily of employee separation, continuity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benefit-related costs and certain other restructuring costs. By the end of 2022, the Company expects that substantially all of these costs will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and substantially all related cash payments will have been made.</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six months ended June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9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 reversals) charges related to:</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31,898</w:t>
            </w:r>
          </w:p>
        </w:tc>
      </w:tr>
      <w:tr>
        <w:trPr>
          <w:trHeight w:val="21"/>
        </w:trPr>
        <w:tc>
          <w:tcPr>
            <w:tcW w:w="5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Generic Pharmaceuticals segment, which incurred $0.1 million and $5.1 million of pre-tax net charges during the three and six months ended June 30, 2022, respectively, and $7.6 million and $22.5 million of pre-tax net charges during the three and six months ended June 30, 2021, respectively. The remaining amounts related to our other segments and certain corporate unallocated costs.</w:t>
      </w:r>
    </w:p>
    <w:p>
      <w:pPr>
        <w:spacing w:after="0" w:line="6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of June 30, 2022, cumulative amounts incurred to date include charges related to accelerated depreciation of approximately $51.0 million, asset impairments related to certain identifiable intangible assets, operating lease assets and disposal groups totaling approximately $49.5 million, inventory adjustments of approximately $11.1 million, employee separation, continuity and other benefit-related costs, net of approximately $54.4 million and certain other restructuring costs of approximately $3.4 million. Of these amounts, approximately $133.9 million was attributable to the Generic Pharmaceuticals segment, with the remaining amounts relating to our other segments and certain corporate unallocated costs.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six months ended June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9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 reversals) charges included in:</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r>
      <w:tr>
        <w:trPr>
          <w:trHeight w:val="230"/>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5480" w:type="dxa"/>
            <w:vAlign w:val="bottom"/>
          </w:tcPr>
          <w:p>
            <w:pPr>
              <w:spacing w:after="0"/>
              <w:rPr>
                <w:sz w:val="24"/>
                <w:szCs w:val="24"/>
                <w:color w:val="auto"/>
              </w:rPr>
            </w:pPr>
          </w:p>
        </w:tc>
        <w:tc>
          <w:tcPr>
            <w:tcW w:w="8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to the liability for the 2020 Restructuring Initiative during the six months ended June 30,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18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Of the liability at June 30, 2022, approximately $2.5 million is classified as current and is included in Accounts payable and accrued expenses in the Condensed Consolidated Balance Sheets, with the remaining amount classified as noncurrent and included in Other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Initiative</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On April 28, 2022, the Company communicated the initiation of actions to streamline and simplify certain functions, including its commercial organization, to increase its overall organizational effectiveness and better align with current and future needs (the 2022 Restructuring Initiative). These actions were initiated with the expectation of generating cost savings, with a portion to be reinvested to support the Company’s key strategic priority to expand and enhance its product portfolio.</w:t>
      </w:r>
    </w:p>
    <w:p>
      <w:pPr>
        <w:spacing w:after="0" w:line="7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Company’s global workforce is ultimately expected to be reduced by up to approximately 125 net full-time positions. The Company expects to realize annualized pre-tax cash savings (without giving effect to the costs described below) of approximately $55 million to $65 million by the second quarter of 2023, primarily related to reductions in Selling, general and administrative expenses.</w:t>
      </w:r>
    </w:p>
    <w:p>
      <w:pPr>
        <w:spacing w:after="0" w:line="68"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 expects to incur total pre-tax restructuring-related expenses of approximately $40 million to $55 million, the majority of which relates to the Branded Pharmaceuticals segment, with the remaining amounts relating to our other segments and certain corporate unallocated costs. These estimates consist of employee separation, continuity and other benefit-related costs of approximately $25 million to $35 million and certain other restructuring costs of approximately $15 million to $20 million. Cash outlays associated with the 2022 Restructuring Initiative are expected to be approximately $30 million and consist primarily of employee separation, continuity and other benefit-related costs. The Company anticipates these actions will be substantially completed by the second quarter of 2023, with substantially all cash payments made by then.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six months ended June 30,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1"/>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related to:</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48"/>
        </w:trPr>
        <w:tc>
          <w:tcPr>
            <w:tcW w:w="8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Branded Pharmaceuticals segment, which incurred $0.6 million and $17.0 million of pre-tax net charges during the three and six months ended June 30, 2022, respectively. The remaining amounts related to our Generic Pharmaceuticals segment and certain corporate unallocated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six months ended June 30,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9"/>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included in: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r>
      <w:tr>
        <w:trPr>
          <w:trHeight w:val="22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48"/>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to the liability for the 2022 Restructuring Initiative during the six months ended June 30, 2022 were as follows (in thousands):</w:t>
      </w:r>
    </w:p>
    <w:p>
      <w:pPr>
        <w:spacing w:after="0" w:line="3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Employee</w:t>
      </w:r>
    </w:p>
    <w:p>
      <w:pPr>
        <w:ind w:left="8740"/>
        <w:spacing w:after="0" w:line="221" w:lineRule="auto"/>
        <w:rPr>
          <w:sz w:val="20"/>
          <w:szCs w:val="20"/>
          <w:color w:val="auto"/>
        </w:rPr>
      </w:pPr>
      <w:r>
        <w:rPr>
          <w:rFonts w:ascii="Times New Roman" w:cs="Times New Roman" w:eastAsia="Times New Roman" w:hAnsi="Times New Roman"/>
          <w:sz w:val="14"/>
          <w:szCs w:val="14"/>
          <w:b w:val="1"/>
          <w:bCs w:val="1"/>
          <w:color w:val="auto"/>
        </w:rPr>
        <w:t>Separation,</w:t>
      </w:r>
    </w:p>
    <w:tbl>
      <w:tblPr>
        <w:tblLayout w:type="fixed"/>
        <w:tblInd w:w="0" w:type="dxa"/>
        <w:tblCellMar>
          <w:top w:w="0" w:type="dxa"/>
          <w:left w:w="0" w:type="dxa"/>
          <w:bottom w:w="0" w:type="dxa"/>
          <w:right w:w="0" w:type="dxa"/>
        </w:tblCellMar>
      </w:tblPr>
      <w:tr>
        <w:trPr>
          <w:trHeight w:val="131"/>
        </w:trPr>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Of the liability at June 30, 2022, approximately $7.3 million is classified as current and is included in Accounts payable and accrued expenses in the Condensed Consolidated Balance Sheets, with the remaining amount classified as noncurrent and included in Other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RESULTS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2" w:lineRule="exact"/>
        <w:rPr>
          <w:sz w:val="20"/>
          <w:szCs w:val="20"/>
          <w:color w:val="auto"/>
        </w:rPr>
      </w:pPr>
    </w:p>
    <w:p>
      <w:pPr>
        <w:ind w:right="20" w:firstLine="486"/>
        <w:spacing w:after="0" w:line="273" w:lineRule="auto"/>
        <w:rPr>
          <w:sz w:val="20"/>
          <w:szCs w:val="20"/>
          <w:color w:val="auto"/>
        </w:rPr>
      </w:pPr>
      <w:r>
        <w:rPr>
          <w:rFonts w:ascii="Times New Roman" w:cs="Times New Roman" w:eastAsia="Times New Roman" w:hAnsi="Times New Roman"/>
          <w:sz w:val="17"/>
          <w:szCs w:val="17"/>
          <w:color w:val="auto"/>
        </w:rPr>
        <w:t>We evaluate segment performance based on Segment adjusted income from continuing operations before income tax, which we define as (Loss) income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w:t>
      </w:r>
    </w:p>
    <w:p>
      <w:pPr>
        <w:spacing w:after="0" w:line="63"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21"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products in the areas of urology, orthopedics, endocrinology, medical aesthetics and bariatrics, among others. The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21" w:lineRule="exact"/>
        <w:rPr>
          <w:sz w:val="20"/>
          <w:szCs w:val="20"/>
          <w:color w:val="auto"/>
        </w:rPr>
      </w:pPr>
    </w:p>
    <w:p>
      <w:pPr>
        <w:jc w:val="both"/>
        <w:ind w:right="200" w:firstLine="486"/>
        <w:spacing w:after="0" w:line="226"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(Merck)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ephedrine sulfate injection, among others.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Our Generic Pharmaceuticals segment consists of a product portfolio including solid oral extended-release, solid oral immediate-release, liquids, semi-solids, patches, powders, ophthalmics and sprays and includes products that treat and manage a wide variety of medical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68" w:lineRule="exact"/>
        <w:rPr>
          <w:sz w:val="20"/>
          <w:szCs w:val="20"/>
          <w:color w:val="auto"/>
        </w:rPr>
      </w:pPr>
    </w:p>
    <w:p>
      <w:pPr>
        <w:ind w:right="20" w:firstLine="486"/>
        <w:spacing w:after="0" w:line="270"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and six months ended June 30, 2022 and 2021 (in thousands):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603,345</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348,145</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569,114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1,431,749</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income from continuing operations before income tax:</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195,428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469,622</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segment adjusted income from continuing operations before income</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248,819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359,666</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588,502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737,649</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3"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income from continuing operations before income tax, which is determined in accordance with U.S. GAAP, to our Total segment adjusted income from continuing operations before income tax for the three and six months ended June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Total consolidated (loss) income from continuing operations before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(1,873,732)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48,699</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275,894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75,974</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189,200</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76"/>
        </w:trPr>
        <w:tc>
          <w:tcPr>
            <w:tcW w:w="54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review initiatives (2)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legal costs (4)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175"/>
        </w:trPr>
        <w:tc>
          <w:tcPr>
            <w:tcW w:w="54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Foreign currency impact related to the remeasurement of intercompany</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instruments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156"/>
        </w:trPr>
        <w:tc>
          <w:tcPr>
            <w:tcW w:w="54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segment adjusted income from continuing operations before</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248,819</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359,666</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588,502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737,649</w:t>
            </w:r>
          </w:p>
        </w:tc>
        <w:tc>
          <w:tcPr>
            <w:tcW w:w="0" w:type="dxa"/>
            <w:vAlign w:val="bottom"/>
          </w:tcPr>
          <w:p>
            <w:pPr>
              <w:spacing w:after="0"/>
              <w:rPr>
                <w:sz w:val="1"/>
                <w:szCs w:val="1"/>
                <w:color w:val="auto"/>
              </w:rPr>
            </w:pPr>
          </w:p>
        </w:tc>
      </w:tr>
      <w:tr>
        <w:trPr>
          <w:trHeight w:val="221"/>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1" w:lineRule="exact"/>
        <w:rPr>
          <w:rFonts w:ascii="Times New Roman" w:cs="Times New Roman" w:eastAsia="Times New Roman" w:hAnsi="Times New Roman"/>
          <w:sz w:val="14"/>
          <w:szCs w:val="14"/>
          <w:color w:val="auto"/>
        </w:rPr>
      </w:pPr>
    </w:p>
    <w:p>
      <w:pPr>
        <w:ind w:left="580" w:right="60" w:hanging="329"/>
        <w:spacing w:after="0" w:line="259"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June 30, 2022 include net employee separation, continuity and other benefit-related charges of $11.7 million, accelerated depreciation charges of $0.1 million and other net charges, including those related to strategic review initiatives, of $25.5 million. Amounts for the six months ended June 30, 2022 include net employee separation, continuity and other benefit-related charges of $44.1 million, accelerated depreciation charges of $3.8 million and other net charges, including those related to strategic review initiatives, of $47.1 million. Amounts for the three months ended June 30, 2021 include net employee separation, continuity and other benefit-related charges of $1.6 million, accelerated depreciation charges of $9.1 million and other net charges, including those related to strategic review initiatives, of $4.4 million. Amounts for the six months ended June 30, 2021 include net employee separation, continuity and other benefit-related charges of $10.1 million, accelerated depreciation charges of $16.0 million and other net charges, including those related to strategic review initiatives, of $12.7 million. These amounts relate primarily to our restructuring activities as further described in Note 4. Restructuring, certain continuity and transitional compensation arrangements, certain other cost reduction initiatives and certain strategic review initiatives.</w:t>
      </w:r>
    </w:p>
    <w:p>
      <w:pPr>
        <w:ind w:left="580" w:right="160" w:hanging="329"/>
        <w:spacing w:after="0" w:line="251"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Our material legal proceedings and other contingent matters are described in more detail in Note 14. Commitments and Contingencies.</w:t>
      </w: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 The amount during the second quarter of 2022 reflects the recovery of certain previously-incurred opioid-related legal expenses.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For additional information, refer to Note 9. Goodwill and Other Intangibles.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4" w:lineRule="exact"/>
        <w:rPr>
          <w:rFonts w:ascii="Times New Roman" w:cs="Times New Roman" w:eastAsia="Times New Roman" w:hAnsi="Times New Roman"/>
          <w:sz w:val="14"/>
          <w:szCs w:val="14"/>
          <w:color w:val="auto"/>
        </w:rPr>
      </w:pPr>
    </w:p>
    <w:p>
      <w:pPr>
        <w:jc w:val="both"/>
        <w:ind w:left="580" w:right="140" w:hanging="329"/>
        <w:spacing w:after="0" w:line="262" w:lineRule="auto"/>
        <w:tabs>
          <w:tab w:leader="none" w:pos="57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six months ended June 30, 2021 primarily relate to $3.9 million of third-party fees incurred in connection with the March 2021 Refinancing Transactions, which were accounted for as debt modification costs. Refer to Note 13. Debt for additional information. Other amounts in this row relate to gains and losses on sales of businesses and other assets and certain other items.</w:t>
      </w:r>
    </w:p>
    <w:p>
      <w:pPr>
        <w:spacing w:after="0" w:line="8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3"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XIAFLEX®</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206,757</w:t>
            </w: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SUPPRELIN® LA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55,596</w:t>
            </w:r>
          </w:p>
        </w:tc>
      </w:tr>
      <w:tr>
        <w:trPr>
          <w:trHeight w:val="230"/>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Specialty (1)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48,068</w:t>
            </w:r>
          </w:p>
        </w:tc>
      </w:tr>
      <w:tr>
        <w:trPr>
          <w:trHeight w:val="22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Specialty Products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310,421</w:t>
            </w: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PERCOCET®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51,781</w:t>
            </w:r>
          </w:p>
        </w:tc>
      </w:tr>
      <w:tr>
        <w:trPr>
          <w:trHeight w:val="229"/>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TESTOPEL®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w:t>
            </w:r>
          </w:p>
        </w:tc>
      </w:tr>
      <w:tr>
        <w:trPr>
          <w:trHeight w:val="230"/>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Established (2)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51,845</w:t>
            </w:r>
          </w:p>
        </w:tc>
      </w:tr>
      <w:tr>
        <w:trPr>
          <w:trHeight w:val="22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124,254</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434,675</w:t>
            </w:r>
          </w:p>
        </w:tc>
      </w:tr>
      <w:tr>
        <w:trPr>
          <w:trHeight w:val="20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VASOSTRICT®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421,067</w:t>
            </w:r>
          </w:p>
        </w:tc>
      </w:tr>
      <w:tr>
        <w:trPr>
          <w:trHeight w:val="229"/>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ADRENALIN®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59,414</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122,864</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603,345</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348,145</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45,584</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1,431,749</w:t>
            </w: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580" w:right="400" w:hanging="329"/>
        <w:spacing w:after="0" w:line="261"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six months ended June 30, 2022 and/or any product having revenues in excess of $25 million during any completed quarterly period in 2022 or 2021.</w:t>
      </w:r>
    </w:p>
    <w:p>
      <w:pPr>
        <w:ind w:left="560" w:hanging="309"/>
        <w:spacing w:after="0" w:line="191" w:lineRule="auto"/>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others.</w:t>
      </w:r>
    </w:p>
    <w:p>
      <w:pPr>
        <w:ind w:left="580" w:right="40" w:hanging="329"/>
        <w:spacing w:after="0" w:line="243"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six months ended June 30, 2022, varenicline tablets (our generic version of Pfizer Inc.’s Chantix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September 2021, made up 13% and 12%, respectively, of consolidated total revenues. No other individual product within this segment has exceeded 5% of consolidated total revenues for the periods presented.</w:t>
      </w:r>
    </w:p>
    <w:p>
      <w:pPr>
        <w:ind w:left="580" w:right="720" w:hanging="329"/>
        <w:spacing w:after="0" w:line="263"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right="660" w:hanging="244"/>
        <w:spacing w:after="0" w:line="260"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21" w:lineRule="exact"/>
        <w:rPr>
          <w:sz w:val="20"/>
          <w:szCs w:val="20"/>
          <w:color w:val="auto"/>
        </w:rPr>
      </w:pPr>
    </w:p>
    <w:p>
      <w:pPr>
        <w:ind w:right="5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June 30, 2022 and December 31, 2021 (in thousands):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equivalents—current (1)</w:t>
            </w: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equivalents—noncurrent (2)</w:t>
            </w: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3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00" w:hanging="329"/>
        <w:spacing w:after="0" w:line="241"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June 30, 2022 and December 31, 2021 include: (i) restricted cash and cash equivalents associated with litigation-related matters, including $68.2 million and $78.4 million, respectively, held in Qualified Settlement Funds (QSFs) for mesh- and/or opioid-related matters, and (ii) approximately $45.0 million of restricted cash and cash equivalents at both June 30, 2022 and December 31, 2021 related to certain insurance-related matters. In July 2022, the amount of restricted cash and cash equivalents associated with insurance-related matters increased by approximately $40 million to approximately $85 million, which resulted in a corresponding decrease to unrestricted cash and cash equivalents. See Note 14. Commitments and Contingencies for further information about litigation-related matters.</w:t>
      </w:r>
    </w:p>
    <w:p>
      <w:pPr>
        <w:spacing w:after="0" w:line="1" w:lineRule="exact"/>
        <w:rPr>
          <w:rFonts w:ascii="Times New Roman" w:cs="Times New Roman" w:eastAsia="Times New Roman" w:hAnsi="Times New Roman"/>
          <w:sz w:val="14"/>
          <w:szCs w:val="14"/>
          <w:color w:val="auto"/>
        </w:rPr>
      </w:pPr>
    </w:p>
    <w:p>
      <w:pPr>
        <w:ind w:left="580" w:right="240" w:hanging="329"/>
        <w:spacing w:after="0" w:line="278"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at June 30, 2022 relates to the TLC Agreement (as defined below). See Note 10. License, Collaboration and Asset Acquisition Agreements for further information about this amount.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June 30, 2022 and December 31, 2021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2022 using:</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w:t>
            </w:r>
          </w:p>
        </w:tc>
      </w:tr>
      <w:tr>
        <w:trPr>
          <w:trHeight w:val="300"/>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9"/>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 using:</w:t>
            </w:r>
          </w:p>
        </w:tc>
        <w:tc>
          <w:tcPr>
            <w:tcW w:w="102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r>
      <w:tr>
        <w:trPr>
          <w:trHeight w:val="230"/>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30"/>
        </w:trPr>
        <w:tc>
          <w:tcPr>
            <w:tcW w:w="5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r>
    </w:tbl>
    <w:p>
      <w:pPr>
        <w:spacing w:after="0" w:line="18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At June 30, 2022 and December 31, 2021, money market funds include $13.5 million and $16.2 million, respectively, in QSFs to be disbursed to litigation claimants. Amounts in QSFs are considered restricted cash equivalents. See Note 14. Commitments and Contingencies for further discussion of our litigation. At June 30, 2022 and December 31, 2021, the differences between the amortized cost and the fair value of our money market funds were not material, individually or in the aggregate.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Using Significant Unobservable Inputs</w:t>
      </w:r>
    </w:p>
    <w:p>
      <w:pPr>
        <w:spacing w:after="0" w:line="121"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three and six months ended June 30, 2022 and 2021 (in thousands):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36,249</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At June 30, 2022, the fair value measurements of the contingent consideration obligations were determined using risk-adjusted discount rates ranging from 10.0% to 15.0% (weighted average rate of approximately 10.8%,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75" w:lineRule="exact"/>
        <w:rPr>
          <w:sz w:val="20"/>
          <w:szCs w:val="20"/>
          <w:color w:val="auto"/>
        </w:rPr>
      </w:pPr>
    </w:p>
    <w:p>
      <w:pPr>
        <w:ind w:right="24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six months ended June 30, 2022 by acquisition (in thousands):</w:t>
      </w:r>
    </w:p>
    <w:tbl>
      <w:tblPr>
        <w:tblLayout w:type="fixed"/>
        <w:tblInd w:w="0" w:type="dxa"/>
        <w:tblCellMar>
          <w:top w:w="0" w:type="dxa"/>
          <w:left w:w="0" w:type="dxa"/>
          <w:bottom w:w="0" w:type="dxa"/>
          <w:right w:w="0" w:type="dxa"/>
        </w:tblCellMar>
      </w:tblPr>
      <w:tr>
        <w:trPr>
          <w:trHeight w:val="147"/>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00" w:type="dxa"/>
            <w:vAlign w:val="bottom"/>
          </w:tcPr>
          <w:p>
            <w:pPr>
              <w:spacing w:after="0"/>
              <w:rPr>
                <w:sz w:val="12"/>
                <w:szCs w:val="12"/>
                <w:color w:val="auto"/>
              </w:rPr>
            </w:pPr>
          </w:p>
        </w:tc>
        <w:tc>
          <w:tcPr>
            <w:tcW w:w="12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Balance as of June</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Auxilium acquisition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w w:val="96"/>
              </w:rPr>
              <w:t>394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Lehigh Valley Technologies, Inc. acquisitions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718"/>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w w:val="96"/>
              </w:rPr>
              <w:t>338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w w:val="96"/>
              </w:rPr>
              <w:t>448</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six months ended June 30, 2022 were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6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during the Six Months Ended June 30,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Expense for the</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2022 (1) using:</w:t>
            </w: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100" w:type="dxa"/>
            <w:vAlign w:val="bottom"/>
          </w:tcPr>
          <w:p>
            <w:pPr>
              <w:spacing w:after="0"/>
              <w:rPr>
                <w:sz w:val="17"/>
                <w:szCs w:val="17"/>
                <w:color w:val="auto"/>
              </w:rPr>
            </w:pP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8"/>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excluding goodwill (2)(3)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property, plant and equipment</w:t>
            </w:r>
          </w:p>
        </w:tc>
        <w:tc>
          <w:tcPr>
            <w:tcW w:w="14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80" w:hanging="329"/>
        <w:spacing w:after="0" w:line="254" w:lineRule="auto"/>
        <w:tabs>
          <w:tab w:leader="none" w:pos="5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340" w:hanging="329"/>
        <w:spacing w:after="0" w:line="259" w:lineRule="auto"/>
        <w:tabs>
          <w:tab w:leader="none" w:pos="5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fair value measurements were determined using risk-adjusted discount rates ranging from 9.5% to 12.0% (weighted average rate of approximately 11.6%, weighted based on relative fair value).</w:t>
      </w:r>
    </w:p>
    <w:p>
      <w:pPr>
        <w:ind w:left="580" w:right="120" w:hanging="329"/>
        <w:spacing w:after="0" w:line="283" w:lineRule="auto"/>
        <w:tabs>
          <w:tab w:leader="none" w:pos="5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performed fair value measurements in connection with its goodwill impairment tests. Refer to Note 9. Goodwill and Other Intangibles for additional information on goodwill and other intangible asset impairment tests, including information about the valuation methodologies used.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consist of the following at June 30,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110,371</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287,756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283,552</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 for obsolescence.</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Inventory that is in excess of the amount expected to be sold within one year is classified as noncurrent inventory and is not included in the table above. At June 30, 2022 and December 31, 2021, $31.6 million and $10.7 million, respectively, of noncurrent inventory was included in Other assets in the Condensed Consolidated Balance Sheets. As of June 30, 2022 and December 31, 2021, the Company’s Condensed Consolidated Balance Sheets included approximately $10.4 million and $12.2 million, respectively, of capitalized pre-launch inventories related to products that were not yet available to be sold.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assets and lease liabilities at June 30, 2022 and December 31, 2021 (in thousands):</w:t>
      </w: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6"/>
                <w:szCs w:val="16"/>
                <w:color w:val="auto"/>
              </w:rPr>
            </w:pP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8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680" w:type="dxa"/>
            <w:vAlign w:val="bottom"/>
            <w:shd w:val="clear" w:color="auto" w:fill="CCEEFF"/>
          </w:tcPr>
          <w:p>
            <w:pPr>
              <w:spacing w:after="0"/>
              <w:rPr>
                <w:sz w:val="19"/>
                <w:szCs w:val="19"/>
                <w:color w:val="auto"/>
              </w:rPr>
            </w:pPr>
          </w:p>
        </w:tc>
        <w:tc>
          <w:tcPr>
            <w:tcW w:w="2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73,197</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80" w:type="dxa"/>
            <w:vAlign w:val="bottom"/>
          </w:tcPr>
          <w:p>
            <w:pPr>
              <w:spacing w:after="0"/>
              <w:rPr>
                <w:sz w:val="19"/>
                <w:szCs w:val="19"/>
                <w:color w:val="auto"/>
              </w:rPr>
            </w:pPr>
          </w:p>
        </w:tc>
        <w:tc>
          <w:tcPr>
            <w:tcW w:w="3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44,719</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lease liabilities:</w:t>
            </w:r>
          </w:p>
        </w:tc>
        <w:tc>
          <w:tcPr>
            <w:tcW w:w="1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1680" w:type="dxa"/>
            <w:vAlign w:val="bottom"/>
          </w:tcPr>
          <w:p>
            <w:pPr>
              <w:spacing w:after="0"/>
              <w:rPr>
                <w:sz w:val="19"/>
                <w:szCs w:val="19"/>
                <w:color w:val="auto"/>
              </w:rPr>
            </w:pPr>
          </w:p>
        </w:tc>
        <w:tc>
          <w:tcPr>
            <w:tcW w:w="34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16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0" w:type="dxa"/>
            <w:vAlign w:val="bottom"/>
          </w:tcPr>
          <w:p>
            <w:pPr>
              <w:spacing w:after="0"/>
              <w:rPr>
                <w:sz w:val="1"/>
                <w:szCs w:val="1"/>
                <w:color w:val="auto"/>
              </w:rPr>
            </w:pPr>
          </w:p>
        </w:tc>
      </w:tr>
      <w:tr>
        <w:trPr>
          <w:trHeight w:val="223"/>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0" w:type="dxa"/>
            <w:vAlign w:val="bottom"/>
          </w:tcPr>
          <w:p>
            <w:pPr>
              <w:spacing w:after="0"/>
              <w:rPr>
                <w:sz w:val="1"/>
                <w:szCs w:val="1"/>
                <w:color w:val="auto"/>
              </w:rPr>
            </w:pPr>
          </w:p>
        </w:tc>
      </w:tr>
      <w:tr>
        <w:trPr>
          <w:trHeight w:val="20"/>
        </w:trPr>
        <w:tc>
          <w:tcPr>
            <w:tcW w:w="544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1240" w:type="dxa"/>
            <w:vAlign w:val="bottom"/>
            <w:gridSpan w:val="18"/>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and six months ended June 30, 2022 and</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2021 (in thousands):</w:t>
            </w: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6"/>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Line Items</w:t>
            </w: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280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3,521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 Various (1)</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2,311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29"/>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costs (2)</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3,042</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Finance lease right-of-use asset</w:t>
            </w:r>
          </w:p>
        </w:tc>
        <w:tc>
          <w:tcPr>
            <w:tcW w:w="1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Pr>
          <w:p>
            <w:pPr>
              <w:spacing w:after="0"/>
              <w:rPr>
                <w:sz w:val="20"/>
                <w:szCs w:val="20"/>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520" w:hanging="329"/>
        <w:spacing w:after="0" w:line="280"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Condensed Consolidated Statements of Operations based on the function that the underlying leased asset supports. The following table presents the components of such aggregate amounts for the three and six months ended June 30, 2022 and 2021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5"/>
              </w:rPr>
              <w:t>2,986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6,044</w:t>
            </w: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w:t>
            </w:r>
          </w:p>
        </w:tc>
        <w:tc>
          <w:tcPr>
            <w:tcW w:w="80" w:type="dxa"/>
            <w:vAlign w:val="bottom"/>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5"/>
              </w:rPr>
              <w:t>4,887</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9,911</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r>
    </w:tbl>
    <w:p>
      <w:pPr>
        <w:spacing w:after="0" w:line="58" w:lineRule="exact"/>
        <w:rPr>
          <w:sz w:val="20"/>
          <w:szCs w:val="20"/>
          <w:color w:val="auto"/>
        </w:rPr>
      </w:pPr>
    </w:p>
    <w:p>
      <w:pPr>
        <w:ind w:left="580" w:right="200" w:hanging="329"/>
        <w:spacing w:after="0" w:line="302" w:lineRule="auto"/>
        <w:tabs>
          <w:tab w:leader="none" w:pos="5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six months ended June 30,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34"/>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carrying amounts of our goodwill for the six months ended June 30, 2022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3"/>
                <w:szCs w:val="13"/>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7"/>
              </w:rPr>
              <w:t>3,197,011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(1,748,000)</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June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7"/>
              </w:rPr>
              <w:t>1,449,011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June 30, 2022 and December 31, 2021 are net of the following accumulated impairments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4,911,822</w:t>
            </w: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as of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540,339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6,649,806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amounts of other intangible assets for the six months ended June 30, 2022 are set forth in the table below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0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00" w:type="dxa"/>
            <w:vAlign w:val="bottom"/>
          </w:tcPr>
          <w:p>
            <w:pPr>
              <w:spacing w:after="0"/>
              <w:rPr>
                <w:sz w:val="13"/>
                <w:szCs w:val="13"/>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 as of June</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7"/>
                <w:szCs w:val="17"/>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Developed technology (weighted average life of 12</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(49,953)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6,171,486</w:t>
            </w:r>
          </w:p>
        </w:tc>
        <w:tc>
          <w:tcPr>
            <w:tcW w:w="0" w:type="dxa"/>
            <w:vAlign w:val="bottom"/>
          </w:tcPr>
          <w:p>
            <w:pPr>
              <w:spacing w:after="0"/>
              <w:rPr>
                <w:sz w:val="1"/>
                <w:szCs w:val="1"/>
                <w:color w:val="auto"/>
              </w:rPr>
            </w:pPr>
          </w:p>
        </w:tc>
      </w:tr>
      <w:tr>
        <w:trPr>
          <w:trHeight w:val="155"/>
        </w:trPr>
        <w:tc>
          <w:tcPr>
            <w:tcW w:w="40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other intangibles (weighted average life of 12</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years)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6,674,655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(49,953)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6,620,002</w:t>
            </w:r>
          </w:p>
        </w:tc>
        <w:tc>
          <w:tcPr>
            <w:tcW w:w="0" w:type="dxa"/>
            <w:vAlign w:val="bottom"/>
          </w:tcPr>
          <w:p>
            <w:pPr>
              <w:spacing w:after="0"/>
              <w:rPr>
                <w:sz w:val="1"/>
                <w:szCs w:val="1"/>
                <w:color w:val="auto"/>
              </w:rPr>
            </w:pPr>
          </w:p>
        </w:tc>
      </w:tr>
      <w:tr>
        <w:trPr>
          <w:trHeight w:val="17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00" w:type="dxa"/>
            <w:vAlign w:val="bottom"/>
          </w:tcPr>
          <w:p>
            <w:pPr>
              <w:spacing w:after="0"/>
              <w:rPr>
                <w:sz w:val="14"/>
                <w:szCs w:val="14"/>
                <w:color w:val="auto"/>
              </w:rPr>
            </w:pP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 as of June</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7"/>
                <w:szCs w:val="17"/>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(422,220)</w:t>
            </w: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(4,057,418)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(4,311,832)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(4,486,047)</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2,133,955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six months ended June 30, 2022 totaled $87.6 million and $177.8 million, respectively. Amortization expense for the three and six months ended June 30, 2021 totaled $94.1 million and $189.2 million, respectively. Amortization expense is included in Cost of revenues in the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and when events or changes in circumstances indicate that the asset might be impaired. Our annual assessment is performed as of October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discounted cash flow models are dependent upon our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have been unable to reach a broad-based resolution of outstanding claims and (ii) speculation surrounding the possibility of a future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8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have not materially changed since our annual goodwill impairment tests performed on October 1, 2021. However, when analyzing our aggregated estimated internal valuation of our reporting units as of June 30, 2022 compared to our market capitalization, we also considered the increased level of investor and analyst uncertainty described above, coupled with our belief that investors and analysts are unlikely to modify their projections or valuation models unless or until we can demonstrate significant progression on the resolution of outstanding litigation matters and/or demonstrate that the risks of potential future strategic alternatives, including the possibility of a future bankruptcy filing, are no longer applicable. After performing this analysis, we made certain adjustments to incorporate these factors into the valuations of our reporting units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8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With respect to other intangible assets, we recorded asset impairment charges of $30.0 million and $50.0 million during the three and six months ended June 30, 2022, respectively, and $4.9 million and $7.8 million during the three and six months ended June 30, 2021, respectively. These pre-tax non-cash asset impairment charges related primarily to certain developed technology intangible assets that were tested for impairment following changes in market conditions and certain other factors impacting recoverability.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LICENSE, COLLABORATION AND ASSET ACQUISITION AGREEMENTS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certain license, collaboration and discovery agreements with third parties for product development. Generally speaking, these agreements require us to share in the development costs of such product candidates with third parties who in turn grant us marketing rights for such product candidates. Under these agreements we are generally required to: (i) make upfront payments and/or other payments upon successful completion of regulatory, sales and/or other milestones and/or (ii) pay royalties on sales of the products arising from these agreements. We have also, from time to time, entered into agreements to directly acquire certain assets from third parties.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Nevakar Agreement</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May 2022, we announced that our Endo Ventures Limited subsidiary had entered into an agreement to acquire six development-stage ready-to-use injectable product candidates from Nevakar Injectables, Inc., a subsidiary of Nevakar, Inc., for an upfront cash payment of $35.0 million (the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Condensed Consolidated Statements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TLC Agreement</w:t>
      </w:r>
    </w:p>
    <w:p>
      <w:pPr>
        <w:spacing w:after="0" w:line="121" w:lineRule="exact"/>
        <w:rPr>
          <w:sz w:val="20"/>
          <w:szCs w:val="20"/>
          <w:color w:val="auto"/>
        </w:rPr>
      </w:pPr>
    </w:p>
    <w:p>
      <w:pPr>
        <w:ind w:right="40" w:firstLine="486"/>
        <w:spacing w:after="0" w:line="277" w:lineRule="auto"/>
        <w:rPr>
          <w:sz w:val="20"/>
          <w:szCs w:val="20"/>
          <w:color w:val="auto"/>
        </w:rPr>
      </w:pPr>
      <w:r>
        <w:rPr>
          <w:rFonts w:ascii="Times New Roman" w:cs="Times New Roman" w:eastAsia="Times New Roman" w:hAnsi="Times New Roman"/>
          <w:sz w:val="17"/>
          <w:szCs w:val="17"/>
          <w:color w:val="auto"/>
        </w:rPr>
        <w:t>In June 2022, we announced that our Endo Ventures Limited subsidiary had entered into an agreement with Taiwan Liposome Company, Ltd. (TLC) to commercialize TLC599 (the TLC Agreement). We are accounting for the agreement as an asset acquisition. TLC599 is an injectable compound in Phase 3 development for the treatment of osteoarthritis knee pain. The TLC Agreement provides us the opportunity to commercialize this differentiated nonsurgical product candidate to complement our Branded Pharmaceuticals segment’s current on-market and in-development orthopedic-focused opportunities. We currently expect to launch TLC599 in the U.S. in 2025; however, there can be no assurance this will occur within this timeframe or at all.</w:t>
      </w:r>
    </w:p>
    <w:p>
      <w:pPr>
        <w:spacing w:after="0" w:line="6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Under the terms of the TLC Agreement, TLC will primarily be responsible for the development of the product and we will primarily be responsible for obtaining regulatory approval and for commercialization of the product in the U.S. Upon receipt of regulatory approval, we will have exclusive rights to manufacture, market, sell and distribute the product in the U.S.</w:t>
      </w:r>
    </w:p>
    <w:p>
      <w:pPr>
        <w:spacing w:after="0" w:line="68"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we made an upfront payment of $30.0 million to TLC and recorded a corresponding charge to Acquired in-process research and development in the Condensed Consolidated Statements of Operations. TLC is also eligible to receive: (i) payments of up to an additional $110.0 million based on the achievement of certain development, regulatory and manufacturing milestones related to the initial indication for the treatment of osteoarthritis knee pain; (ii) payments of up to an additional $30.0 million based on the achievement of certain development and regulatory milestones related to certain potential future indications; (iii) payments of up to an additional $500.0 million based on the achievement of certain commercial milestones; and (iv) tiered royalties based on net sales of TLC599 in the U.S. Unless terminated earlier or extended, the term of the TLC Agreement generally extends until the 20-year anniversary of the first commercial sale of TLC599.</w:t>
      </w:r>
    </w:p>
    <w:p>
      <w:pPr>
        <w:spacing w:after="0" w:line="8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Pursuant to the terms of the TLC Agreement, we have deposited approximately $85.0 million of cash into a bank account which may be used to fund certain future obligations under the TLC Agreement, or returned to us upon satisfaction of certain conditions. As further described in Note 6. Fair Value Measurements, this amount is considered restricted cash as of June 30, 2022 and is included in our Condensed Consolidated Balance Sheets at June 30, 2022 as Other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CONTRACT ASSETS AND LIABILITIES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June 30, 2022,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68" w:lineRule="exact"/>
        <w:rPr>
          <w:sz w:val="20"/>
          <w:szCs w:val="20"/>
          <w:color w:val="auto"/>
        </w:rPr>
      </w:pPr>
    </w:p>
    <w:p>
      <w:pPr>
        <w:jc w:val="both"/>
        <w:ind w:right="4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20"/>
                <w:szCs w:val="20"/>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40" w:hanging="329"/>
        <w:spacing w:after="0" w:line="260"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2022 and December 31, 2021, approximately $2.2 million and $2.8 million, respectively, of these contract asset amounts are classified as current and are included in Prepaid expenses and other current assets in the Company’s Condensed Consolidated Balance Sheets. The remaining amounts are classified as noncurrent and are included in Other assets. The decrease in contract assets during the six months ended June 30, 2022 primarily relates to: (i) reclassifications of certain amounts to receivables as a result of rights to consideration becoming unconditional and (ii) changes in estimates with respect to amounts of consideration expected to be received from sales of certain intellectual property rights.</w:t>
      </w:r>
    </w:p>
    <w:p>
      <w:pPr>
        <w:spacing w:after="0" w:line="1" w:lineRule="exact"/>
        <w:rPr>
          <w:rFonts w:ascii="Times New Roman" w:cs="Times New Roman" w:eastAsia="Times New Roman" w:hAnsi="Times New Roman"/>
          <w:sz w:val="14"/>
          <w:szCs w:val="14"/>
          <w:color w:val="auto"/>
        </w:rPr>
      </w:pPr>
    </w:p>
    <w:p>
      <w:pPr>
        <w:ind w:left="580" w:right="140" w:hanging="329"/>
        <w:spacing w:after="0" w:line="262"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June 30, 2022 and December 31, 2021, approximately $0.6 million and $0.6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During the six months ended June 30, 2022, approximately $0.3 million of revenue was recognized that was included in the contract liability balance at December 31,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we recognized revenue of $1.9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 the following at June 30,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123,129</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150,039</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deductions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106,735</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90,029</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114,563</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836,898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June 30, 2022 and December 31, 2021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0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 Senior Notes due 2022</w:t>
            </w: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5.75% Senior Notes due 2022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297,928</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1,999,173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1,997,777</w:t>
            </w:r>
          </w:p>
        </w:tc>
        <w:tc>
          <w:tcPr>
            <w:tcW w:w="0" w:type="dxa"/>
            <w:vAlign w:val="bottom"/>
          </w:tcPr>
          <w:p>
            <w:pPr>
              <w:spacing w:after="0"/>
              <w:rPr>
                <w:sz w:val="1"/>
                <w:szCs w:val="1"/>
                <w:color w:val="auto"/>
              </w:rPr>
            </w:pPr>
          </w:p>
        </w:tc>
      </w:tr>
      <w:tr>
        <w:trPr>
          <w:trHeight w:val="175"/>
        </w:trPr>
        <w:tc>
          <w:tcPr>
            <w:tcW w:w="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9.50%</w:t>
            </w:r>
          </w:p>
        </w:tc>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Second Lien Notes due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933,330</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1,252,667</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6.125% Senior Secured Notes due 2029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1,278,718</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1,947,633</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(1)</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8,065,297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8,249,322</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40" w:hanging="329"/>
        <w:spacing w:after="0" w:line="268"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2022, $26.1 million of the carrying amount of the Company’s long-term debt is classified as a current liability and is included in the Current portion of long-term debt line in the Condensed Consolidated Balance Sheets. As of December 31, 2021, $200.3 million of the carrying amount of the Company’s long-term debt is classified as a current liability and is included in the Current portion of long-term debt line in the Condensed Consolidated Balance Sheets. Any long-term debt not classified as a current liability is included in the Long-term debt, less current portion, net line in the Condensed Consolidated Balance Sheets.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its subsidiaries, with certain customary exceptions, guarantee or serve as issuers or borrowers of the debt instruments representing substantially all of the Company’s indebtedness at June 30, 2022. The obligations under (i) the 5.875% Senior Secured Notes due 2024, (ii) the 7.50% Senior Secured Notes due 2027, (iii) the 6.125% Senior Secured Notes due 2029 and (iv) the Credit Agreement (as defined below) and related loan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8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$4.9 billion and $8.0 billion at June 30, 2022 and December 31, 2021, respectively. Based on this valuation methodology, we determined these debt instruments represent Level 2 measurements within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right="160" w:firstLine="486"/>
        <w:spacing w:after="0" w:line="253" w:lineRule="auto"/>
        <w:rPr>
          <w:sz w:val="20"/>
          <w:szCs w:val="20"/>
          <w:color w:val="auto"/>
        </w:rPr>
      </w:pPr>
      <w:r>
        <w:rPr>
          <w:rFonts w:ascii="Times New Roman" w:cs="Times New Roman" w:eastAsia="Times New Roman" w:hAnsi="Times New Roman"/>
          <w:sz w:val="18"/>
          <w:szCs w:val="18"/>
          <w:color w:val="auto"/>
        </w:rPr>
        <w:t>The Company and certain of its subsidiaries are party to the Credit Agreement, which, immediately following the March 2021 Refinancing Transactions (as defined and further described below) provided for (i) a $1,000.0 million senior secured revolving credit facility (the Revolving Credit Facility) and (ii) a $2,000.0 million senior secured term loan facility (the Term Loan Facility and, together with the Revolving Credit Facility, the Credit Facilities). Current amounts outstanding as of June 30, 2022 under the Credit Facilities are set forth in the table above. As of June 30, 2022, $76.0 million of commitments under the Revolving Credit Facility have matured and $924.0 million of commitments remain outstanding under the Revolving Credit Facility. After giving effect to net borrowings under the Revolving Credit Facility and issued and outstanding letters of credit, approximately</w:t>
      </w:r>
    </w:p>
    <w:p>
      <w:pPr>
        <w:spacing w:after="0" w:line="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$640.1 million of remaining credit is available under the Revolving Credit Facility as of June 30, 2022. Additionally, the Company’s outstanding debt agreements contain a number of restrictive covenants, including certain limitations on the Company’s ability to incur additional indebtedness.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Events of Default</w:t>
      </w:r>
    </w:p>
    <w:p>
      <w:pPr>
        <w:spacing w:after="0" w:line="12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As further described below and in the Annual Report, the agreements relating to our outstanding indebtedness contain certain covenants and events of default. The events of default are subject to certain grace periods, may require the administrative agent, trustee, lenders and/or holders, as applicable, to take certain action to accelerate our indebtedness and may be waived or amended in a number of circumstances.</w:t>
      </w:r>
    </w:p>
    <w:p>
      <w:pPr>
        <w:spacing w:after="0" w:line="68"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we were in compliance with all covenants contained in the Credit Agreement and the indentures governing our various senior notes and senior secured notes.</w:t>
      </w:r>
    </w:p>
    <w:p>
      <w:pPr>
        <w:spacing w:after="0" w:line="5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Beginning during the second quarter of 2022, we elected to not make the following interest payments on or prior to their scheduled due dates: (i) approximately $38 million that was due on June 30, 2022 with respect to our outstanding 6.00% Senior Notes due 2028; (ii) approximately $2 million that was due on July 15, 2022 with respect to our outstanding 5.375% Senior Notes due 2023 and 6.00% Senior Notes due 2023; (iii) approximately $45 million that was due on July 31, 2022 with respect to our outstanding 9.50% Senior Secured Second Lien Notes due 2027; and (iv) approximately $1 million that was due on August 1, 2022 with respect to our outstanding 6.00% Senior Notes due 2025. Under each of the indentures governing these notes, we have a 30-day grace period from the respective due dates to make these interest payments before such non-payments constitute events of default with respect to such notes. We chose to enter these grace periods while continuing discussions with certain creditors in connection with our evaluation of strategic alternatives. Our decision to enter these grace periods was not driven by liquidity constraints, as we had approximately $1.19 billion in cash as of June 30, 2022. Accordingly, our day-to-day operations are not impacted by the decision at this time. We made the $38 million interest payment that became due on June 30, 2022 with respect to our outstanding 6.00% Senior Notes due 2028 on July 28, 2022, which was prior to the end of the applicable grace period.</w:t>
      </w:r>
    </w:p>
    <w:p>
      <w:pPr>
        <w:spacing w:after="0" w:line="86"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Additionally, as further described in Note 1. Basis of Presentation, we believe there is substantial doubt about our ability to continue as a going concern. Pursuant to the terms of the Credit Agreement, in the event we issue audited financial statements in the future that contain an audit opinion with going concern or similar qualifications or exceptions, it could result in, among other things, an event of default with respect to our Credit Facilities.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one or more events of default were to occur under any of the agreements relating to our outstanding indebtedness, including without limitation as a result of us not making interest payments by the end of any applicable grace periods and/or us issuing audited financial statements containing an audit opinion with going concern or similar qualifications or exceptions, the holders of the defaulted debt could cause all amounts outstanding with respect to that debt to become due and payable immediately, terminate all commitments to extend further credit, foreclose against assets comprising the collateral securing or otherwise supporting the debt and pursue other legal remedies. Additionally, the instruments governing our debt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one or more events of default. We may need to conduct asset sales or pursue other alternatives, including proceedings under applicable insolvency laws relating to some or all of our business.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Set forth below are certain disclosures relating to debt financing transactions that occurred during the six months ended June 30, 2022 or the year ended December 31, 2021. For additional disclosures relating to debt financing transactions that occurred during the year ended December 31, 2021, refer to Note 15. Debt in the Consolidated Financial Statements included in Part IV, Item 15 of the Annual Report.</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March 2021 Refinancing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2021, the Company executed certain transactions (the March 2021 Refinancing Transactions) that included:</w:t>
      </w:r>
    </w:p>
    <w:p>
      <w:pPr>
        <w:spacing w:after="0" w:line="27" w:lineRule="exact"/>
        <w:rPr>
          <w:sz w:val="20"/>
          <w:szCs w:val="20"/>
          <w:color w:val="auto"/>
        </w:rPr>
      </w:pPr>
    </w:p>
    <w:p>
      <w:pPr>
        <w:ind w:left="900" w:right="220" w:hanging="244"/>
        <w:spacing w:after="0" w:line="25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other modifications to the credit agreement that was in effect immediately prior to the March 2021 Refinancing Transactions (the Prior Credit Agreement).</w:t>
      </w:r>
    </w:p>
    <w:p>
      <w:pPr>
        <w:spacing w:after="0" w:line="7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is included in the Loss on extinguishment of debt line item in the Condensed Consolidated Statements of Operations. The Company also incurred an additional $56.7 million of new costs and fees, of which: (i) $29.2 million and $17.6 million have been deferred to be amortized as interest expense over the terms of the Term Loan Facility and the newly issued 6.125% Senior Secured Notes due 2029, respectively; (ii) $6.0 million was considered debt extinguishment costs and was charged to expense in the first quarter of 2021 and is included in the Loss on extinguishment of debt line item in the Condensed Consolidated Statements of Operations; and (iii) $3.9 million was considered debt modification costs and was charged to expense in the first quarter of 2021 and is included in the Selling, general and administrative expense line item in the Condensed Consolidated Statements of Operations.</w:t>
      </w:r>
    </w:p>
    <w:p>
      <w:pPr>
        <w:spacing w:after="0" w:line="8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October 2021 Revolving Credit Facility Repayment and January 2022 Senior Notes Repayments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the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79"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As a result of the possibility or occurrence of an unfavorable outcome with respect to any legal proceeding,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Some of these actions could take significant time to implement and others may require judicial or other third-party approval. As further described below, thousands of governmental and private plaintiffs have filed suit against us and/or certain of our subsidiaries alleging opioid-related claims. We have not been able to settle most of the opioid claims made against us and, as a result, we are exploring a wide array of potential actions as part of our contingency planning. We have been working with our external advisors to explore a range of options and have been engaging in dialogue with certain financial creditors and litigation claimants, together with their advisors. We remain in constructive negotiations with an ad hoc group of first lien creditors, among other parties, and, in light of the progress to date, we currently expect that these negotiations will likely result in a pre-arranged filing under Chapter 11 of the U.S. Bankruptcy Code by Endo International plc and substantially all of its subsidiaries, which could occur imminently. There can be no assurance of such an outcome. Any of the circumstances above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counterparties;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 We would, in that event, also be subject to risks and uncertainties caused by the actions of creditors and other third parties with interests that may be inconsistent with our plans. Certain of these risks and uncertainties could also occur if our suppliers or other third parties believe that we may pursue one or more significant corporate transactions or other remedial measures.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June 30, 2022, our accrual for loss contingencies totaled $395.8 million, the most significant components of which relate to: (i) product liability and related matters associated with transvaginal surgical mesh products, which we have not sold since March 2016 and (ii) various opioid-related matters as further described herein. Although we believe there is a possibility that a loss in excess of the amount recognized exists, we are unable to estimate the possible loss or range of loss in excess of the amount recognized at this time. As of June 30, 2022, $390.8 million of our accrual for loss contingencies is classified in the Current portion of legal settlement accrual in the Condensed Consolidated Balance Sheets, with the remainder classified as Long-term legal settlement accrual, less current portion. The timing of the resolution of certain of these matters remains uncertain.</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Various Master Settlement Agreements (MSAs) and other agreements have resolved approximately 71,000 filed and unfiled U.S. mesh claims as of June 30, 2022.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6" w:lineRule="exact"/>
        <w:rPr>
          <w:sz w:val="20"/>
          <w:szCs w:val="20"/>
          <w:color w:val="auto"/>
        </w:rPr>
      </w:pPr>
    </w:p>
    <w:p>
      <w:pPr>
        <w:ind w:right="4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changes in the mesh-related QSFs and liability accrual balances during the six months ended June 30, 2022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Mesh Qualified</w:t>
            </w:r>
          </w:p>
        </w:tc>
        <w:tc>
          <w:tcPr>
            <w:tcW w:w="160" w:type="dxa"/>
            <w:vAlign w:val="bottom"/>
          </w:tcPr>
          <w:p>
            <w:pPr>
              <w:spacing w:after="0"/>
              <w:rPr>
                <w:sz w:val="12"/>
                <w:szCs w:val="12"/>
                <w:color w:val="auto"/>
              </w:rPr>
            </w:pPr>
          </w:p>
        </w:tc>
        <w:tc>
          <w:tcPr>
            <w:tcW w:w="120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95"/>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 Funds</w:t>
            </w:r>
          </w:p>
        </w:tc>
        <w:tc>
          <w:tcPr>
            <w:tcW w:w="16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Accrual</w:t>
            </w: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for reversionary interests, net of cash contributions to Qualified Settlement Funds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cash distributions to settle disputes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240,957</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jc w:val="both"/>
        <w:ind w:left="580" w:right="20" w:hanging="329"/>
        <w:spacing w:after="0" w:line="270" w:lineRule="auto"/>
        <w:tabs>
          <w:tab w:leader="none" w:pos="57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may earn interest, which is generally used to pay administrative costs of the funds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0"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June 30, 2022, the Company has made total cumulative mesh liability payments of approximately $3.6 billion, $67.5 million of which remains in the QSFs as of June 30, 2022. We currently expect to fund all of the remaining payments under all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 addition, we may pay cash distributions to settle disputes separate from the QSFs, which will also decrease the liability accrual and decrease cash and cash equivalents.</w:t>
      </w:r>
    </w:p>
    <w:p>
      <w:pPr>
        <w:spacing w:after="0" w:line="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will continue to vigorously defend any unresolved claims and to explore other options as appropriate in our best interests. The next trial is currently scheduled to begin in September 2022. Trials may occur earlier or later than currently scheduled, as timing remains uncertain due to the impact of COVID-19 and other factors.</w:t>
      </w:r>
    </w:p>
    <w:p>
      <w:pPr>
        <w:spacing w:after="0" w:line="6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54"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the defendants’ alleged sales, marketing and/or distribution practices with respect to prescription opioid medications, including certain of our products. As of August 1, 2022,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have been filed as putative class actions; to date, however, no court has certified a litigation class. The Canadian cases include an action filed by British Columbia on behalf of a proposed class of all federal, provincial and territorial governments and agencies in Canada that paid healthcare, pharmaceutical and treatment costs related to opioids; an action filed in Alberta by the City of Grand Prairie, Alberta, and The Corporation of the City of Brantford, Ontario, on behalf of a proposed class of all local or municipal governments in Canada; an action filed in Saskatchewan by the Peter Ballantyne Cree Nation and the Lac La Ronge Indian Band, on behalf of a proposed class of all First Nations communities and local or municipal governments in Canada; and five additional putative class actions, filed in British Columbia, Manitoba, Ontario and Quebec, seeking relief on behalf of Canadian residents who were prescribed and/or consumed opioid medications.</w:t>
      </w:r>
    </w:p>
    <w:p>
      <w:pPr>
        <w:spacing w:after="0" w:line="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1"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A case in Superior Court in Orange County, California, </w:t>
      </w:r>
      <w:r>
        <w:rPr>
          <w:rFonts w:ascii="Times New Roman" w:cs="Times New Roman" w:eastAsia="Times New Roman" w:hAnsi="Times New Roman"/>
          <w:sz w:val="18"/>
          <w:szCs w:val="18"/>
          <w:i w:val="1"/>
          <w:iCs w:val="1"/>
          <w:color w:val="auto"/>
        </w:rPr>
        <w:t>People of the State of California v. Purdue Pharma L.P., et al.</w:t>
      </w:r>
      <w:r>
        <w:rPr>
          <w:rFonts w:ascii="Times New Roman" w:cs="Times New Roman" w:eastAsia="Times New Roman" w:hAnsi="Times New Roman"/>
          <w:sz w:val="18"/>
          <w:szCs w:val="18"/>
          <w:color w:val="auto"/>
        </w:rPr>
        <w:t>, has been tried to verdict. The plaintiffs in the case, Orange, Santa Clara and Los Angeles Counties and the City of Oakland, asserted claims against EPI and EHSI, among others, for public nuisance, alleged violations of California’s Unfair Competition Law and alleged violations of California’s False Advertising Law. Following a bench trial on liability, the court issued a final decision in defendants’ favor on all counts in December 2021. The plaintiffs filed a notice of appeal in February 2022. Other opioid-related cases are at various stages in the litigation process. Certain cases have been stayed pending settlement discussions; excluding such cases the next trial is currently set to begin in early 2023. Trials may occur earlier or later than currently scheduled, as timing remains uncertain due to the impact of COVID-19 and other factors.</w:t>
      </w:r>
    </w:p>
    <w:p>
      <w:pPr>
        <w:spacing w:after="0" w:line="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February 2022, the court in </w:t>
      </w:r>
      <w:r>
        <w:rPr>
          <w:rFonts w:ascii="Times New Roman" w:cs="Times New Roman" w:eastAsia="Times New Roman" w:hAnsi="Times New Roman"/>
          <w:sz w:val="18"/>
          <w:szCs w:val="18"/>
          <w:i w:val="1"/>
          <w:iCs w:val="1"/>
          <w:color w:val="auto"/>
        </w:rPr>
        <w:t>Dunaway, et al. v. Purdue Pharma, L.P., et al.</w:t>
      </w:r>
      <w:r>
        <w:rPr>
          <w:rFonts w:ascii="Times New Roman" w:cs="Times New Roman" w:eastAsia="Times New Roman" w:hAnsi="Times New Roman"/>
          <w:sz w:val="18"/>
          <w:szCs w:val="18"/>
          <w:color w:val="auto"/>
        </w:rPr>
        <w:t xml:space="preserve"> (now known as </w:t>
      </w:r>
      <w:r>
        <w:rPr>
          <w:rFonts w:ascii="Times New Roman" w:cs="Times New Roman" w:eastAsia="Times New Roman" w:hAnsi="Times New Roman"/>
          <w:sz w:val="18"/>
          <w:szCs w:val="18"/>
          <w:i w:val="1"/>
          <w:iCs w:val="1"/>
          <w:color w:val="auto"/>
        </w:rPr>
        <w:t>Bedford County, et al. v. AmerisourceBergen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 et al.</w:t>
      </w:r>
      <w:r>
        <w:rPr>
          <w:rFonts w:ascii="Times New Roman" w:cs="Times New Roman" w:eastAsia="Times New Roman" w:hAnsi="Times New Roman"/>
          <w:sz w:val="18"/>
          <w:szCs w:val="18"/>
          <w:color w:val="auto"/>
        </w:rPr>
        <w:t>), a case pending in the Circuit Court for Cumberland County, Tennessee, entered an order imposing certain sanctions, including a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judgment on liability, against EPI and EHSI based on alleged discovery improprieties in a different case which EPI and EHSI had settled in August 2021. Because discovery in the earlier case had also been provided to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plaintiffs,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court deemed the alleged discovery improprieties to have occurred in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as well. The sanctions order also severed EPI and EHSI from the remaining defendants and set a damages trial to begin in April 2023. In a separate order, the </w:t>
      </w:r>
      <w:r>
        <w:rPr>
          <w:rFonts w:ascii="Times New Roman" w:cs="Times New Roman" w:eastAsia="Times New Roman" w:hAnsi="Times New Roman"/>
          <w:sz w:val="18"/>
          <w:szCs w:val="18"/>
          <w:i w:val="1"/>
          <w:iCs w:val="1"/>
          <w:color w:val="auto"/>
        </w:rPr>
        <w:t>Dunaway</w:t>
      </w:r>
      <w:r>
        <w:rPr>
          <w:rFonts w:ascii="Times New Roman" w:cs="Times New Roman" w:eastAsia="Times New Roman" w:hAnsi="Times New Roman"/>
          <w:sz w:val="18"/>
          <w:szCs w:val="18"/>
          <w:color w:val="auto"/>
        </w:rPr>
        <w:t xml:space="preserve"> court denied a motion by EPI and EHSI to disqualify the judge based on, among other things, statements he made about the lawsuit to the press and on Facebook. In March 2022, EPI and EHSI appealed both orders. In April 2022, the Tennessee Court of Appeals, ruling on the appeal of the disqualification order, reversed the trial court’s order denying disqualification, vacated the sanctions order and remanded the case for reassignment to a different judge. It also denied the separate appeal of the sanctions order as moot.</w:t>
      </w:r>
    </w:p>
    <w:p>
      <w:pPr>
        <w:spacing w:after="0" w:line="8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Since 2019, the Company and/or certain of its subsidiaries have executed a number of settlement agreements to resolve governmental opioid claims brought by certain states, counties, cities and/or other governmental entities. Certain related developments include but are not limited to the following:</w:t>
      </w:r>
    </w:p>
    <w:p>
      <w:pPr>
        <w:ind w:left="900" w:hanging="244"/>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EPI, EHSI, PPI and PPCI executed a settlement agreement with two Ohio counties providing for payments totaling</w:t>
      </w:r>
    </w:p>
    <w:p>
      <w:pPr>
        <w:spacing w:after="0" w:line="9" w:lineRule="exact"/>
        <w:rPr>
          <w:rFonts w:ascii="Times New Roman" w:cs="Times New Roman" w:eastAsia="Times New Roman" w:hAnsi="Times New Roman"/>
          <w:sz w:val="18"/>
          <w:szCs w:val="18"/>
          <w:color w:val="auto"/>
        </w:rPr>
      </w:pPr>
    </w:p>
    <w:p>
      <w:pPr>
        <w:ind w:left="900" w:right="140"/>
        <w:spacing w:after="0" w:line="2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up to $1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settlement amount was paid during the third quarter of 2019 and there is no remaining liability accrual for this matter as of June 30, 2022.</w:t>
      </w:r>
    </w:p>
    <w:p>
      <w:pPr>
        <w:spacing w:after="0" w:line="1" w:lineRule="exact"/>
        <w:rPr>
          <w:rFonts w:ascii="Times New Roman" w:cs="Times New Roman" w:eastAsia="Times New Roman" w:hAnsi="Times New Roman"/>
          <w:sz w:val="18"/>
          <w:szCs w:val="18"/>
          <w:color w:val="auto"/>
        </w:rPr>
      </w:pPr>
    </w:p>
    <w:p>
      <w:pPr>
        <w:jc w:val="both"/>
        <w:ind w:left="900" w:right="44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$8.75 million. The settlement amount was paid during the first quarter of 2020 and there is no remaining liability accrual for this matter as of June 30, 2022.</w:t>
      </w:r>
    </w:p>
    <w:p>
      <w:pPr>
        <w:ind w:left="900" w:right="8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 and there is no remaining liability accrual for this matter as of June 30, 2022.</w:t>
      </w:r>
    </w:p>
    <w:p>
      <w:pPr>
        <w:spacing w:after="0" w:line="1"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Endo International plc, EPI, EHSI, PPI and PPCI executed a settlement agreement with the state of New York and two of its counties providing for a payment of $50 million. The settlement amount was paid during the third quarter of 2021 and there is no remaining liability accrual for this matter as of June 30, 2022.</w:t>
      </w:r>
    </w:p>
    <w:p>
      <w:pPr>
        <w:spacing w:after="0" w:line="1"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has not yet been paid; the parties dispute whether the required participation thresholds have been satisfied. In July 2022, the Alabama Attorney General filed a motion to compel payment in the Circuit Court for Montgomery County, Alabama, which the court granted before EPI and EHSI filed a response. EPI and EHSI have filed a motion to reconsider and stay enforcement of the court’s order, which remains pending, as does a motion by the Alabama Attorney General to convert the court’s order into a final judgment. The full settlement amount is included in our liability accrual as of June 30, 2022.</w:t>
      </w:r>
    </w:p>
    <w:p>
      <w:pPr>
        <w:spacing w:after="0" w:line="2"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 and, as of June 30, 2022, there is no remaining liability accrual for this matter.</w:t>
      </w:r>
    </w:p>
    <w:p>
      <w:pPr>
        <w:spacing w:after="0" w:line="1"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 and, as of June 30, 2022, the remaining liability accrual for this matter was not material.</w:t>
      </w:r>
    </w:p>
    <w:p>
      <w:pPr>
        <w:spacing w:after="0" w:line="1" w:lineRule="exact"/>
        <w:rPr>
          <w:rFonts w:ascii="Times New Roman" w:cs="Times New Roman" w:eastAsia="Times New Roman" w:hAnsi="Times New Roman"/>
          <w:sz w:val="18"/>
          <w:szCs w:val="18"/>
          <w:color w:val="auto"/>
        </w:rPr>
      </w:pPr>
    </w:p>
    <w:p>
      <w:pPr>
        <w:jc w:val="both"/>
        <w:ind w:left="900" w:right="280" w:hanging="244"/>
        <w:spacing w:after="0" w:line="250"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has not yet been paid; certain conditions for payment remain outstanding. The full settlement amount is included in our liability accrual as of June 30, 2022</w:t>
      </w:r>
    </w:p>
    <w:p>
      <w:pPr>
        <w:spacing w:after="0" w:line="1" w:lineRule="exact"/>
        <w:rPr>
          <w:rFonts w:ascii="Times New Roman" w:cs="Times New Roman" w:eastAsia="Times New Roman" w:hAnsi="Times New Roman"/>
          <w:sz w:val="18"/>
          <w:szCs w:val="18"/>
          <w:color w:val="auto"/>
        </w:rPr>
      </w:pPr>
    </w:p>
    <w:p>
      <w:pPr>
        <w:ind w:left="900" w:right="280" w:hanging="244"/>
        <w:spacing w:after="0" w:line="253"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has not yet been paid; certain conditions for payment remain outstanding. The full settlement amount is included in our liability accrual as of June 30, 2022.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hanging="244"/>
        <w:spacing w:after="0" w:line="254"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the MDL common benefit fund order discussed below, the settlement amount was paid during the third quarter of 2022. The full settlement amount is included in our liability accrual as of June 30, 2022.</w:t>
      </w:r>
    </w:p>
    <w:p>
      <w:pPr>
        <w:spacing w:after="0" w:line="3"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is not yet due and has not been paid. The full settlement amount is included in our liability accrual as of June 30, 2022.</w:t>
      </w:r>
    </w:p>
    <w:p>
      <w:pPr>
        <w:spacing w:after="0" w:line="1" w:lineRule="exact"/>
        <w:rPr>
          <w:rFonts w:ascii="Times New Roman" w:cs="Times New Roman" w:eastAsia="Times New Roman" w:hAnsi="Times New Roman"/>
          <w:sz w:val="18"/>
          <w:szCs w:val="18"/>
          <w:color w:val="auto"/>
        </w:rPr>
      </w:pPr>
    </w:p>
    <w:p>
      <w:pPr>
        <w:ind w:left="900" w:hanging="244"/>
        <w:spacing w:after="0" w:line="255"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is not yet due and has not been paid. The full settlement amount is included in our liability accrual as of June 30, 2022.</w:t>
      </w:r>
    </w:p>
    <w:p>
      <w:pPr>
        <w:spacing w:after="0" w:line="78"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agreements provide for injunctive relief. Some agreements provide for additional payments in the event certain conditions, such as a comprehensive resolution of government-related opioid claims, are met; Florida may also be entitled to additional payments in the event we enter into a settlement with the attorney general of a state with a smaller population than Florida for an amount greater than $65 million prior to November 15, 2022.</w:t>
      </w:r>
    </w:p>
    <w:p>
      <w:pPr>
        <w:spacing w:after="0" w:line="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Some settlement agreements may be subject to a May 2022 order of the MDL court generally requiring that a percentage of certain settlement amounts be held back from payment to plaintiffs and paid into an MDL common-benefit fund. Certain plaintiffs have filed motions with the MDL court or taken other procedural steps to vacate aspects of the order, seek clarification that the order does not apply to their settlements and/or request relief from the order. Such plaintiffs do not seek an increase of any settlement amount but rather in certain instances dispute that a portion of the total amount should be held back for the MDL common-benefit fund and argue that this portion should instead be paid to the settling plaintiffs.</w:t>
      </w:r>
    </w:p>
    <w:p>
      <w:pPr>
        <w:spacing w:after="0" w:line="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some states, certain governmental entities have declined to participate in the settlements and/or actively taken steps to try to challenge the release of their claims. For example:</w:t>
      </w:r>
    </w:p>
    <w:p>
      <w:pPr>
        <w:ind w:left="900" w:right="200" w:hanging="244"/>
        <w:spacing w:after="0" w:line="250"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plaintiffs in </w:t>
      </w:r>
      <w:r>
        <w:rPr>
          <w:rFonts w:ascii="Times New Roman" w:cs="Times New Roman" w:eastAsia="Times New Roman" w:hAnsi="Times New Roman"/>
          <w:sz w:val="18"/>
          <w:szCs w:val="18"/>
          <w:i w:val="1"/>
          <w:iCs w:val="1"/>
          <w:color w:val="auto"/>
        </w:rPr>
        <w:t>Mobile County Board of Health, et al. v. Richard Sackler, et al</w:t>
      </w:r>
      <w:r>
        <w:rPr>
          <w:rFonts w:ascii="Times New Roman" w:cs="Times New Roman" w:eastAsia="Times New Roman" w:hAnsi="Times New Roman"/>
          <w:sz w:val="18"/>
          <w:szCs w:val="18"/>
          <w:color w:val="auto"/>
        </w:rPr>
        <w:t xml:space="preserve">., a case pending in the Circuit Court of Mobile County, Alabama, initially refused to dismiss their claims against our subsidiaries. In April 2022, EPI and EHSI filed a motion in </w:t>
      </w:r>
      <w:r>
        <w:rPr>
          <w:rFonts w:ascii="Times New Roman" w:cs="Times New Roman" w:eastAsia="Times New Roman" w:hAnsi="Times New Roman"/>
          <w:sz w:val="18"/>
          <w:szCs w:val="18"/>
          <w:i w:val="1"/>
          <w:iCs w:val="1"/>
          <w:color w:val="auto"/>
        </w:rPr>
        <w:t>State of Alabama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Endo Health Solutions Inc., et al.</w:t>
      </w:r>
      <w:r>
        <w:rPr>
          <w:rFonts w:ascii="Times New Roman" w:cs="Times New Roman" w:eastAsia="Times New Roman" w:hAnsi="Times New Roman"/>
          <w:sz w:val="18"/>
          <w:szCs w:val="18"/>
          <w:color w:val="auto"/>
        </w:rPr>
        <w:t>, filed in the Circuit Court of Montgomery County, Alabama, seeking an order enjoining the</w:t>
      </w:r>
      <w:r>
        <w:rPr>
          <w:rFonts w:ascii="Times New Roman" w:cs="Times New Roman" w:eastAsia="Times New Roman" w:hAnsi="Times New Roman"/>
          <w:sz w:val="18"/>
          <w:szCs w:val="18"/>
          <w:i w:val="1"/>
          <w:iCs w:val="1"/>
          <w:color w:val="auto"/>
        </w:rPr>
        <w:t xml:space="preserve"> Mobile County Board of Health </w:t>
      </w:r>
      <w:r>
        <w:rPr>
          <w:rFonts w:ascii="Times New Roman" w:cs="Times New Roman" w:eastAsia="Times New Roman" w:hAnsi="Times New Roman"/>
          <w:sz w:val="18"/>
          <w:szCs w:val="18"/>
          <w:color w:val="auto"/>
        </w:rPr>
        <w:t>plaintiffs from continuing their case and directing their compliance with the Alabama settlement. The court granted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motion and the </w:t>
      </w:r>
      <w:r>
        <w:rPr>
          <w:rFonts w:ascii="Times New Roman" w:cs="Times New Roman" w:eastAsia="Times New Roman" w:hAnsi="Times New Roman"/>
          <w:sz w:val="18"/>
          <w:szCs w:val="18"/>
          <w:i w:val="1"/>
          <w:iCs w:val="1"/>
          <w:color w:val="auto"/>
        </w:rPr>
        <w:t>Mobile County Board of Health</w:t>
      </w:r>
      <w:r>
        <w:rPr>
          <w:rFonts w:ascii="Times New Roman" w:cs="Times New Roman" w:eastAsia="Times New Roman" w:hAnsi="Times New Roman"/>
          <w:sz w:val="18"/>
          <w:szCs w:val="18"/>
          <w:color w:val="auto"/>
        </w:rPr>
        <w:t xml:space="preserve"> plaintiffs dismissed their claims in June 2022.</w:t>
      </w:r>
    </w:p>
    <w:p>
      <w:pPr>
        <w:spacing w:after="0" w:line="1" w:lineRule="exact"/>
        <w:rPr>
          <w:rFonts w:ascii="Times New Roman" w:cs="Times New Roman" w:eastAsia="Times New Roman" w:hAnsi="Times New Roman"/>
          <w:sz w:val="18"/>
          <w:szCs w:val="18"/>
          <w:color w:val="auto"/>
        </w:rPr>
      </w:pPr>
    </w:p>
    <w:p>
      <w:pPr>
        <w:ind w:left="900" w:hanging="244"/>
        <w:spacing w:after="0" w:line="252" w:lineRule="auto"/>
        <w:tabs>
          <w:tab w:leader="none" w:pos="8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March 2022, two public hospitals in Florida filed an emergency motion to intervene in </w:t>
      </w:r>
      <w:r>
        <w:rPr>
          <w:rFonts w:ascii="Times New Roman" w:cs="Times New Roman" w:eastAsia="Times New Roman" w:hAnsi="Times New Roman"/>
          <w:sz w:val="18"/>
          <w:szCs w:val="18"/>
          <w:i w:val="1"/>
          <w:iCs w:val="1"/>
          <w:color w:val="auto"/>
        </w:rPr>
        <w:t>State of Florida v. Walgreen Co</w:t>
      </w:r>
      <w:r>
        <w:rPr>
          <w:rFonts w:ascii="Times New Roman" w:cs="Times New Roman" w:eastAsia="Times New Roman" w:hAnsi="Times New Roman"/>
          <w:sz w:val="18"/>
          <w:szCs w:val="18"/>
          <w:color w:val="auto"/>
        </w:rPr>
        <w:t>. to stay court approval of our subsidiaries’ settlement in Florida. In April 2022, the court denied the motion to intervene and entered a final consent judgment dismissing the state’s claims against EPI and EHSI with prejudice. Meanwhile, the Florida Attorney General commenced a separate declaratory judgment action against those same public hospitals, as well as additional public hospitals and a school board, in a different Florida state court, seeking a judicial declaration that their claims were released by the Florida Attorney General’s settlements with EPI, EHSI and other companies. The declaratory judgment action remains pending.</w:t>
      </w:r>
    </w:p>
    <w:p>
      <w:pPr>
        <w:spacing w:after="0" w:line="8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It is reasonably possible that other governmental persons or entities in states where we have reached settlements will bring similar challenges or otherwise continue to bring and/or litigate claims against us and our subsidiaries notwithstanding the settlements.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Certain settlement agreements provide for the creation of QSFs into which settlement funds have been or will be deposited and/or provide for the repayment of some or all of the settlement amount under certain conditions.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recorded total charges for opioid-related matters of $10.0 million during the six months ended June 30, 2022 and as of June 30, 2022 our corresponding accrual totaled $141.4 million. In addition to the developments described above, our accrual for opioid-related matters as of June 30, 2022 includes amounts relating to certain unresolved matters for which, based on the progress of ongoing settlement negotiations and/or certain other factors, the Company believes a loss is probable and can reasonably be estimated. As further described below, the Company may be exposed to additional losses in excess of the amounts currently accrued, which could be material.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including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6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7"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Zantac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generic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8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third-party payers pursuing class action claims, have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Certain MDL plaintiffs have appealed the July 2021 dismissal order and/or the November 2021 judgment.</w:t>
      </w:r>
    </w:p>
    <w:p>
      <w:pPr>
        <w:spacing w:after="0" w:line="8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In July 2022, claimants who alleged certain types of injuries were “exited” from the MDL census registry. Some of these claimants subsequently filed lawsuits in various courts.</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63"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and discovery is ongoing. In June 2022, the MDL court dismissed certain state attorney general claims for disgorgement.</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right="100" w:firstLine="486"/>
        <w:spacing w:after="0" w:line="239"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9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between EPI and Impax to settle certain patent infringement litigation and EPI’s introduction of reformulated OPANA® ER. Some cases were filed on behalf of putative classes of direct and indirect purchasers, while others were filed on behalf of individual retailers or health care benefit plans. The cases were consolidated and/or coordinated for pretrial proceedings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and remand from the U.S. Court of Appeals for the Seventh Circuit, the district court amended its class certification order to certify a narrower end-payer class. Trial on all plaintiffs’ claims began in June 2022. In July 2022, the jury returned a verdict in favor of defendants. Later that month, plaintiffs filed a motion for judgment as a matter of law or for a new trial, which remains pending.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In November 2019, PPI and PPCI entered into settlement agreements with all but one of the plaintiffs remaining in the MDL; a settlement with the remaining plaintiff was reached in April 2021. The settlement agreements were solely by way of compromise and settlement and were not in any way an admission of wrongdoing, fault or liability of any kind.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 The case is currently in discovery.</w:t>
      </w:r>
    </w:p>
    <w:p>
      <w:pPr>
        <w:spacing w:after="0" w:line="9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7"/>
          <w:szCs w:val="17"/>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The court has ordered that the cases be trial-ready by January 2023.</w:t>
      </w:r>
    </w:p>
    <w:p>
      <w:pPr>
        <w:spacing w:after="0" w:line="73"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In January 2021, the defendants filed motions to dismiss in the District of Delaware. In July 2022, the court dismissed certain claims asserted under state law but otherwise denied defendants’ motions to dismiss.</w:t>
      </w:r>
    </w:p>
    <w:p>
      <w:pPr>
        <w:spacing w:after="0" w:line="91"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Beginning in June 2020, multiple complaints were filed against Jazz Pharmaceuticals and other pharmaceutical companies, including PPI, alleging violations of state and/or federal antitrust laws in connection with the settlement of certain patent litigation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 case filed by Aetna Inc. in May 2022 is pending in California state court.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Discovery is ongoing. In July 2022, PPI, among others, filed a motion to quash the Aetna action for lack of personal jurisdiction; the defendants also filed a demurrer, motion to strike and motion to stay Aetna’s action.</w:t>
      </w:r>
    </w:p>
    <w:p>
      <w:pPr>
        <w:spacing w:after="0" w:line="92" w:lineRule="exact"/>
        <w:rPr>
          <w:sz w:val="20"/>
          <w:szCs w:val="20"/>
          <w:color w:val="auto"/>
        </w:rPr>
      </w:pPr>
    </w:p>
    <w:p>
      <w:pPr>
        <w:ind w:right="40" w:firstLine="486"/>
        <w:spacing w:after="0" w:line="232" w:lineRule="auto"/>
        <w:rPr>
          <w:sz w:val="20"/>
          <w:szCs w:val="20"/>
          <w:color w:val="auto"/>
        </w:rPr>
      </w:pPr>
      <w:r>
        <w:rPr>
          <w:rFonts w:ascii="Times New Roman" w:cs="Times New Roman" w:eastAsia="Times New Roman" w:hAnsi="Times New Roman"/>
          <w:sz w:val="18"/>
          <w:szCs w:val="18"/>
          <w:color w:val="auto"/>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(lubiprostone). The complaints allege that Takeda and PPI entered into a settlement agreement that delayed the entry of generic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 1 and Section 2 of the Sherman Act. Plaintiffs seek damages, treble damages and attorneys’ fees and costs. In September 2021, the plaintiffs voluntarily dismissed all claims against Endo International plc. In December 2021, PPI filed a motion to dismiss, which remains pending. Trial is currently scheduled to begin in February 2023.</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(colchicine). In particular, the complaint alleged, among other things, that a distribution agreement between Takeda and PPI with respect to an authorized generic was in effect an output restriction conspiracy; the plaintiff asserted claims under Section 1 and Section 2 of the Sherman Act and sought damages, treble damages and attorneys’ fees and costs. In December 2021, the court dismissed the complaint for failure to state a claim (the plaintiff had already voluntarily dismissed all claims against EPI in November 2021). In January 2022, the plaintiff filed an amended complaint. In February 2022, the defendants filed a motion to dismiss the amended complaint, which the court granted in part and denied in part in March 2022. The case is currently in discovery.</w:t>
      </w:r>
    </w:p>
    <w:p>
      <w:pPr>
        <w:spacing w:after="0" w:line="87"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2020, a putative class action entitled </w:t>
      </w:r>
      <w:r>
        <w:rPr>
          <w:rFonts w:ascii="Times New Roman" w:cs="Times New Roman" w:eastAsia="Times New Roman" w:hAnsi="Times New Roman"/>
          <w:sz w:val="18"/>
          <w:szCs w:val="18"/>
          <w:i w:val="1"/>
          <w:iCs w:val="1"/>
          <w:color w:val="auto"/>
        </w:rPr>
        <w:t>Benoit Albiges v. Endo International plc, Paul V. Campanelli, Blaise Coleman, and Mark T. Bradley</w:t>
      </w:r>
      <w:r>
        <w:rPr>
          <w:rFonts w:ascii="Times New Roman" w:cs="Times New Roman" w:eastAsia="Times New Roman" w:hAnsi="Times New Roman"/>
          <w:sz w:val="18"/>
          <w:szCs w:val="18"/>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w:t>
      </w:r>
    </w:p>
    <w:p>
      <w:pPr>
        <w:spacing w:after="0" w:line="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 and to explore other options as appropriate in our best interests. Similar matters may be brought by others or the foregoing matter may be expanded.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Government Investigations</w:t>
      </w:r>
    </w:p>
    <w:p>
      <w:pPr>
        <w:spacing w:after="0" w:line="119"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VANTAS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unapproved uses. We are cooperating with the investigation.</w:t>
      </w:r>
    </w:p>
    <w:p>
      <w:pPr>
        <w:spacing w:after="0" w:line="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 may be expanded or result in litigation.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Related Matters</w:t>
      </w:r>
    </w:p>
    <w:p>
      <w:pPr>
        <w:spacing w:after="0" w:line="63"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Beginning in April 2018, PSP LLC and PPI received notice letters from Eagle Pharmaceuticals, Inc. (Eagle) and other companies advising of the filing by such companies of Abbreviated New Drug Applications (ANDAs)/New Drug Applications (NDAs)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IV solution (infusion)) 20 units/ml and/or 200 units/10 ml. Beginning in May 2018, PSP LLC, PPI and Endo Par Innovation Company, LLC (EPIC) filed lawsuits against Eagle and other generic filers in the U.S. District Court for the District of Delaware or New Jersey within the 45-day deadline to invoke a 30-month stay of U.S. Food and Drug Administration (FDA) approval pursuant to the Hatch-Waxman statutory framework. We reached settlements and voluntarily dismissed the suits against many of these filers. The remaining Delaware cases against Eagle and Amneal Pharmaceuticals LLC were consolidated and a trial was held in July 2021. In August 2021, the court issued an opinion holding that Eagle’s proposed generic product will not infringe PPI’s asserted patent claims. The court made no finding regarding the validity of the patents. We appealed the ruling. The appellate argument was held in July 2022 before the Federal Circuit.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35" w:lineRule="auto"/>
        <w:rPr>
          <w:sz w:val="20"/>
          <w:szCs w:val="20"/>
          <w:color w:val="auto"/>
        </w:rPr>
      </w:pPr>
      <w:r>
        <w:rPr>
          <w:rFonts w:ascii="Times New Roman" w:cs="Times New Roman" w:eastAsia="Times New Roman" w:hAnsi="Times New Roman"/>
          <w:sz w:val="18"/>
          <w:szCs w:val="18"/>
          <w:color w:val="auto"/>
        </w:rPr>
        <w:t>In December 2020, we separately filed suit against Eagle, Amneal Pharmaceuticals LLC, Dr. Reddy’s Laboratories, Inc. and Aurobindo Pharma Limited in the U.S. District Court for the District of New Jersey in connection with a newly issued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genotyping patent. All of these cases have since been dismissed.</w:t>
      </w:r>
    </w:p>
    <w:p>
      <w:pPr>
        <w:spacing w:after="0" w:line="88" w:lineRule="exact"/>
        <w:rPr>
          <w:sz w:val="20"/>
          <w:szCs w:val="20"/>
          <w:color w:val="auto"/>
        </w:rPr>
      </w:pPr>
    </w:p>
    <w:p>
      <w:pPr>
        <w:ind w:right="180" w:firstLine="486"/>
        <w:spacing w:after="0" w:line="242" w:lineRule="auto"/>
        <w:rPr>
          <w:sz w:val="20"/>
          <w:szCs w:val="20"/>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20 units/ml were launched, beginning with Eagle’s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This competition could have a material adverse effect on our business, financial condition, results of operations and cash flows.</w:t>
      </w:r>
    </w:p>
    <w:p>
      <w:pPr>
        <w:spacing w:after="0" w:line="90" w:lineRule="exact"/>
        <w:rPr>
          <w:sz w:val="20"/>
          <w:szCs w:val="20"/>
          <w:color w:val="auto"/>
        </w:rPr>
      </w:pPr>
    </w:p>
    <w:p>
      <w:pPr>
        <w:jc w:val="both"/>
        <w:ind w:right="60" w:firstLine="486"/>
        <w:spacing w:after="0" w:line="239" w:lineRule="auto"/>
        <w:rPr>
          <w:sz w:val="20"/>
          <w:szCs w:val="20"/>
          <w:color w:val="auto"/>
        </w:rPr>
      </w:pPr>
      <w:r>
        <w:rPr>
          <w:rFonts w:ascii="Times New Roman" w:cs="Times New Roman" w:eastAsia="Times New Roman" w:hAnsi="Times New Roman"/>
          <w:sz w:val="18"/>
          <w:szCs w:val="18"/>
          <w:color w:val="auto"/>
        </w:rPr>
        <w:t>In March 2022, PSP LLC, PPI and EPIC received a notice letter from Cipla Limited (Cipla) advising of its filing of an ANDA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injection) for IV use 40 units/100 ml and 60 units/100 ml. In May 2022, PSP LLC and PPI filed a complaint against Cipla in the District Court of New Jersey within the 45-day statutory period to invoke a 30-month stay of FDA approval pursuant to the Hatch-Waxman statutory framework. The 30-month stay expires in September 2024.</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OTHER COMPREHENSIVE (LOSS) INCOME</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there were no tax effects allocated to any component of Other comprehensive (loss) income and there were no reclassifications out of Accumulated other comprehensive loss. Substantially all of the Company’s Accumulated other comprehensive loss balances at June 30, 2022 and December 31, 2021 consist of Foreign currency translation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SHAREHOLDERS’ DEFICIT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0"/>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(10,053,489)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(1,310,998)</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(11,938,916)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(3,198,072)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8,938,012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(9,368,270)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(647,939)</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8,943,764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(598,973)</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(617,042)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expense of $2.7 million and $7.7 million during the three and six months ended June 30, 2022, respectively, and $4.4 million and $14.4 million during the three and six months ended June 30, 2021, respectively. As of June 30, 2022, the total remaining unrecognized compensation cost related to non-vested share-based compensation awards amounted to $15.2 million.</w:t>
      </w:r>
    </w:p>
    <w:p>
      <w:pPr>
        <w:spacing w:after="0" w:line="68"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the weighted average remaining requisite service period for non-vested restricted stock units and performance share units was 1.4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OTHER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expense, net for the three and six months ended June 30, 2022 and 2021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 (2)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 (3)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 and certain other assets.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21" w:lineRule="exact"/>
        <w:rPr>
          <w:sz w:val="20"/>
          <w:szCs w:val="20"/>
          <w:color w:val="auto"/>
        </w:rPr>
      </w:pPr>
    </w:p>
    <w:p>
      <w:pPr>
        <w:ind w:right="3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(Loss) income from continuing operations before income tax, Income tax expense and Effective tax rate for the three and six months ended June 30, 2022 and 2021 (dollars in thousands):</w:t>
      </w: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(1,873,732)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(1,940,847)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48,699</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11,824</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r>
    </w:tbl>
    <w:p>
      <w:pPr>
        <w:spacing w:after="0" w:line="18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for the three and six months ended June 30, 2022 compared to the prior year period primarily relates to the 2021 discrete tax expense related to Canadian uncertain tax positions and changes in the geographic mix of pre-tax earnings.</w:t>
      </w:r>
    </w:p>
    <w:p>
      <w:pPr>
        <w:spacing w:after="0" w:line="54"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As discussed in Note 1. Basis of Presentation, in the second quarter of 2022, the Company concluded that there was substantial doubt about its ability to continue as a going concern within one year after the date of issuance of the Condensed Consolidated Financial Statements.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2"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June 30,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8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IRS’s examination of our 2015 Return, on December 31, 2020, the IRS issued a Technical Advice Memorandum (TAM) that we previously disclosed regarding the portion of our 2015 NOL that we believe qualifies as a specified product liability loss (SLL). The TAM concurred in part with our positions on the 2015 Return but disagreed with our position that the AMS worthless stock loss qualifies as an SLL. On April 23,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NET (LOSS) INCOME PER SHARE</w:t>
      </w:r>
    </w:p>
    <w:p>
      <w:pPr>
        <w:spacing w:after="0" w:line="121" w:lineRule="exact"/>
        <w:rPr>
          <w:sz w:val="20"/>
          <w:szCs w:val="20"/>
          <w:color w:val="auto"/>
        </w:rPr>
      </w:pPr>
    </w:p>
    <w:p>
      <w:pPr>
        <w:ind w:right="400"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income per share for the three and six months ended June 30, 2022 and 2021 (in thousands):</w:t>
      </w: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(1,880,883)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36,875</w:t>
            </w: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2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(1,957,401)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231,941</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22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235,117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237,043</w:t>
            </w:r>
          </w:p>
        </w:tc>
      </w:tr>
      <w:tr>
        <w:trPr>
          <w:trHeight w:val="21"/>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6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dilutive effect of ordinary share equivalents is measured using the treasury stock method. Any stock options and/or awards that have been issued but for which a grant date has not yet been established are not considered in the calculation of basic or diluted weighted average shares.</w:t>
      </w:r>
    </w:p>
    <w:p>
      <w:pPr>
        <w:spacing w:after="0" w:line="54" w:lineRule="exact"/>
        <w:rPr>
          <w:sz w:val="20"/>
          <w:szCs w:val="20"/>
          <w:color w:val="auto"/>
        </w:rPr>
      </w:pPr>
    </w:p>
    <w:p>
      <w:pPr>
        <w:ind w:right="140"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presents, for the three and six months ended June 30, 2022 and 2021, outstanding stock options and stock awards that could potentially dilute per share amounts in the future that were not included in the computation of diluted per share amounts for the periods presented because to do so would have been antidilutive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340" w:type="dxa"/>
            <w:vAlign w:val="bottom"/>
            <w:gridSpan w:val="2"/>
          </w:tcPr>
          <w:p>
            <w:pPr>
              <w:spacing w:after="0"/>
              <w:rPr>
                <w:sz w:val="2"/>
                <w:szCs w:val="2"/>
                <w:color w:val="auto"/>
              </w:rPr>
            </w:pPr>
          </w:p>
        </w:tc>
        <w:tc>
          <w:tcPr>
            <w:tcW w:w="14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5,397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6,591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5,493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9,541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r>
    </w:tbl>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strategic review initiatives; financing transactions; COVID-19;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2" w:lineRule="exact"/>
        <w:rPr>
          <w:sz w:val="20"/>
          <w:szCs w:val="20"/>
          <w:color w:val="auto"/>
        </w:rPr>
      </w:pPr>
    </w:p>
    <w:p>
      <w:pPr>
        <w:ind w:left="900" w:right="60" w:hanging="244"/>
        <w:spacing w:after="0" w:line="250" w:lineRule="auto"/>
        <w:tabs>
          <w:tab w:leader="none" w:pos="89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Since 2019, developments related to COVID-19 have continued to evolve rapidly and are likely to continue to do so. The duration and severity of the direct and indirect effects of COVID-19 on our results remain difficult to anticipate and, in many instances, outside of our control. As such, the impacts from COVID-19 on our consolidated results and the results of our business segments to date may not be directly comparable to any historical period and are not necessarily indicative of its impact on our results for any future periods, and the evolving nature of the COVID-19 pandemic could increase the degree to which our results, including the results of our business segments, fluctuate in the future. Additionally, the numerous uncertainties related to COVID-19 have impacted our ability to forecast our future operations; however, any future impact could be material.</w:t>
      </w:r>
    </w:p>
    <w:p>
      <w:pPr>
        <w:spacing w:after="0" w:line="2"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we announced the initiation of several strategic actions, collectively referred to as the 2020 Restructuring Initiative, to further optimize operations and increase overall efficiency. We have been progressing these actions. For example, during the second quarter of 2022, we entered into a definitive agreement to sell certain assets located in Chestnut Ridge, New York. We have recorded and expect to record certain charges to complete these activities in anticipation of realizing annualized cost savings. For further discussion of this initiative, including a discussion of amounts recognized and expected future charges, refer to Note 4. Restructuring of the Condensed Consolidated Financial Statements included in Part I, Item 1.</w:t>
      </w:r>
    </w:p>
    <w:p>
      <w:pPr>
        <w:spacing w:after="0" w:line="2" w:lineRule="exact"/>
        <w:rPr>
          <w:rFonts w:ascii="Times New Roman" w:cs="Times New Roman" w:eastAsia="Times New Roman" w:hAnsi="Times New Roman"/>
          <w:sz w:val="18"/>
          <w:szCs w:val="18"/>
          <w:color w:val="auto"/>
        </w:rPr>
      </w:pPr>
    </w:p>
    <w:p>
      <w:pPr>
        <w:ind w:left="900" w:right="240" w:hanging="244"/>
        <w:spacing w:after="0" w:line="250"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completed a series of financing transactions, collectively referred to herein as the March 2021 Refinancing Transactions, which are further discussed in Note 13. Debt of the Condensed Consolidated Financial Statements included in Part I, Item 1.</w:t>
      </w:r>
    </w:p>
    <w:p>
      <w:pPr>
        <w:ind w:left="900" w:right="240" w:hanging="244"/>
        <w:spacing w:after="0" w:line="229"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launched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(collagenase clostridium histolyticum-aaes) for the treatment of moderate to severe cellulite in the buttocks of adult women. We have been progressing and expect to continue to progress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example, during the second quarter of 2022, we launched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is designed to test different interventions to assess their potential impact on reduction of bruising, has been created with the flexibility to add cohorts in order to test additional interventions over time if desired.</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Refer to Note 16. Commitments and Contingencies in the Consolidated Financial Statements included in Part IV, Item 15 of the Annual Report for additional discussion of the terms of this agreement.</w:t>
      </w:r>
    </w:p>
    <w:p>
      <w:pPr>
        <w:spacing w:after="0" w:line="1" w:lineRule="exact"/>
        <w:rPr>
          <w:rFonts w:ascii="Times New Roman" w:cs="Times New Roman" w:eastAsia="Times New Roman" w:hAnsi="Times New Roman"/>
          <w:sz w:val="18"/>
          <w:szCs w:val="18"/>
          <w:color w:val="auto"/>
        </w:rPr>
      </w:pPr>
    </w:p>
    <w:p>
      <w:pPr>
        <w:ind w:left="900" w:hanging="244"/>
        <w:spacing w:after="0" w:line="220" w:lineRule="auto"/>
        <w:tabs>
          <w:tab w:leader="none" w:pos="89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experienced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resulted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w:t>
      </w:r>
    </w:p>
    <w:p>
      <w:pPr>
        <w:ind w:left="900" w:right="200" w:hanging="244"/>
        <w:spacing w:after="0" w:line="228"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in the preceding bullet point have had and could continue to have a material adverse effect on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900" w:right="80" w:hanging="244"/>
        <w:spacing w:after="0" w:line="253"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communicated the initiation of certain actions, collectively referred to as the 2022 Restructuring Initiative, to streamline and simplify certain functions, including our commercial organization, to increase our overall organizational effectiveness and better align with current and future needs. We have recorded and expect to record certain charges to complete these actions in anticipation of realizing annualized cost savings. For further discussion of this initiative, including a discussion of amounts recognized and expected future charges, refer to Note 4. Restructuring of the Condensed Consolidated Financial Statements included in Part I, Item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60" w:hanging="244"/>
        <w:spacing w:after="0" w:line="261" w:lineRule="auto"/>
        <w:tabs>
          <w:tab w:leader="none" w:pos="89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May 2022, we announced that our Endo Ventures Limited subsidiary had entered into an agreement to acquire six development-stage ready-to-use injectable product candidates from Nevakar Injectables, Inc., a subsidiary of Nevakar, Inc., for an upfront cash payment of</w:t>
      </w:r>
    </w:p>
    <w:p>
      <w:pPr>
        <w:jc w:val="both"/>
        <w:ind w:left="900" w:right="140"/>
        <w:spacing w:after="0" w:line="250"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$35.0 million, which was recorded as an Acquired in-process research and development charge in the Condensed Consolidated Statements of Operations in the second quarter of 2022. For further discussion of this agreement, see Note 10. License, Collaboration and Asset Acquisition Agreements of the Condensed Consolidated Financial Statements included in Part I, Item 1.</w:t>
      </w:r>
    </w:p>
    <w:p>
      <w:pPr>
        <w:spacing w:after="0" w:line="1" w:lineRule="exact"/>
        <w:rPr>
          <w:rFonts w:ascii="Times New Roman" w:cs="Times New Roman" w:eastAsia="Times New Roman" w:hAnsi="Times New Roman"/>
          <w:sz w:val="18"/>
          <w:szCs w:val="18"/>
          <w:b w:val="1"/>
          <w:bCs w:val="1"/>
          <w:i w:val="1"/>
          <w:iCs w:val="1"/>
          <w:color w:val="auto"/>
        </w:rPr>
      </w:pPr>
    </w:p>
    <w:p>
      <w:pPr>
        <w:ind w:left="900" w:right="20" w:hanging="244"/>
        <w:spacing w:after="0" w:line="250" w:lineRule="auto"/>
        <w:tabs>
          <w:tab w:leader="none" w:pos="89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June 2022, we announced that our Endo Ventures Limited subsidiary had entered into an agreement with TLC to commercialize TLC599, an injectable compound in Phase 3 development. During the second quarter of 2022, we made an upfront cash payment of $30.0 million to TLC, which was recorded as an Acquired in-process research and development charge in the Condensed Consolidated Statements of Operations in the second quarter of 2022. Pursuant to this agreement, we could become obligated to make significant additional milestone and/or royalty payments to TLC in the future. For further discussion of this agreement, see Note 10. License, Collaboration and Asset Acquisition Agreements of the Condensed Consolidated Financial Statements included in Part I, Item 1.</w:t>
      </w:r>
    </w:p>
    <w:p>
      <w:pPr>
        <w:spacing w:after="0" w:line="2" w:lineRule="exact"/>
        <w:rPr>
          <w:rFonts w:ascii="Times New Roman" w:cs="Times New Roman" w:eastAsia="Times New Roman" w:hAnsi="Times New Roman"/>
          <w:sz w:val="18"/>
          <w:szCs w:val="18"/>
          <w:b w:val="1"/>
          <w:bCs w:val="1"/>
          <w:i w:val="1"/>
          <w:iCs w:val="1"/>
          <w:color w:val="auto"/>
        </w:rPr>
      </w:pPr>
    </w:p>
    <w:p>
      <w:pPr>
        <w:ind w:left="900" w:right="100" w:hanging="244"/>
        <w:spacing w:after="0" w:line="250"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June 2022, we elected to enter certain 30-day grace periods related to senior notes interest payments that were originally due to be paid between June 30, 2022 and August 1, 2022. Under the related indentures governing these notes, we have a 30-day grace period from the respective due dates to make these interest payments before such non-payments constitute events of default with respect to such notes. As of the date of this report, these interest payments either: (i) had been paid before the end of any applicable grace periods or (ii) remained unpaid but were still within applicable grace periods. Refer to Note 1. Basis of Presentation and Note 13. Debt of the Condensed Consolidated Financial Statements included in Part I, Item 1 for further discussion.</w:t>
      </w:r>
    </w:p>
    <w:p>
      <w:pPr>
        <w:spacing w:after="0" w:line="2" w:lineRule="exact"/>
        <w:rPr>
          <w:rFonts w:ascii="Times New Roman" w:cs="Times New Roman" w:eastAsia="Times New Roman" w:hAnsi="Times New Roman"/>
          <w:sz w:val="18"/>
          <w:szCs w:val="18"/>
          <w:color w:val="auto"/>
        </w:rPr>
      </w:pPr>
    </w:p>
    <w:p>
      <w:pPr>
        <w:ind w:left="900" w:right="240" w:hanging="244"/>
        <w:spacing w:after="0" w:line="251"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opioid-related claims pending against us at various stages in the litigation process. It is possible that our legal proceedings, including those relating to opioid claims, could have a material adverse effect on our business, financial condition, results of operations and cash flows, including in the short term. The implications of these legal proceedings could result in a possible restructuring of our or our subsidiaries’ obligations through a bankruptcy filing which would subject us to additional risks and uncertainties that could adversely affect our business prospects and ability to continue as a going concern. For further discussion, refer to Note 1. Basis of Presentation and Note 14. Commitments and Contingencies of the Condensed Consolidated Financial Statements included in Part I, Item 1, as well as Part II, Item 1A. “Risk Factors” herein and Part I, Item 1A. “Risk Factors” in the Annual Report.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 and Other Key Trends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closely monitoring the ongoing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For example, we have continued to experience changes in customer demand as the COVID-19 pandemic continues to evolve, which are difficult to predict.</w:t>
      </w:r>
    </w:p>
    <w:p>
      <w:pPr>
        <w:spacing w:after="0" w:line="68" w:lineRule="exact"/>
        <w:rPr>
          <w:sz w:val="20"/>
          <w:szCs w:val="20"/>
          <w:color w:val="auto"/>
        </w:rPr>
      </w:pPr>
    </w:p>
    <w:p>
      <w:pPr>
        <w:ind w:right="40" w:firstLine="486"/>
        <w:spacing w:after="0" w:line="221" w:lineRule="auto"/>
        <w:rPr>
          <w:sz w:val="20"/>
          <w:szCs w:val="20"/>
          <w:color w:val="auto"/>
        </w:rPr>
      </w:pPr>
      <w:r>
        <w:rPr>
          <w:rFonts w:ascii="Times New Roman" w:cs="Times New Roman" w:eastAsia="Times New Roman" w:hAnsi="Times New Roman"/>
          <w:sz w:val="18"/>
          <w:szCs w:val="18"/>
          <w:color w:val="auto"/>
        </w:rPr>
        <w:t>When compared to pre-COVID-19 levels,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generally experienced increased sales volumes as a result of the COVID-19 pandemic based primarily on increased utilization levels associated with treating patients infected with COVID-19, including those with vasodilatory shock. However, COVID-19 has also contributed to significant fluctuations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from period to period based on both: (i) increases and decreases in utilization levels based on variability in the COVID-19 pandemic and (ii) channel inventory stocking and destocking patterns over time. Most recently,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has begun to experience significant revenue declines as a result of generic competition, which began in late January 2022, as well as changes in the COVID-19 pandemic. Specifically,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experienced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resulted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w:t>
      </w:r>
    </w:p>
    <w:p>
      <w:pPr>
        <w:spacing w:after="0" w:line="19"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18"/>
          <w:szCs w:val="18"/>
          <w:color w:val="auto"/>
        </w:rPr>
        <w:t>On the other hand,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have generally experienced decreased sales volumes during the COVID-19 pandemic due to reduced physician office activity and patient office visits because of the COVID-19 pandemic. While these products have generally been recovering since early 2020, they have at times continued to be impacted by COVID-19-related market conditions for specialty product office-based procedures, including medical and administrative staff shortages in physicians’ offices, reduced physician office activity and lower numbers of in-person patient office visits. While we have seen improving market conditions and a recovery in demand beginning in March 2022, these conditions have continued to contribute to variability in these products’ recoveries, as well as uncertainty about future revenues.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changes in the COVID-19 pandemic could further impact future revenues for these and/or other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closely monitor the evolving situation and implement plans intended to limit the impact of COVID-19 on our business so that we can continue to produce the critical care medicines that hospitals and healthcare providers need to treat patients, including those with COVID-19. For additional information about the impact of COVID-19 on our business, related risks and uncertainties and actions we have taken to date, refer to the discussion below, together with the discussion contained in the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and six months ended June 30, 2022 and 2021 (dollars in thousands):</w:t>
      </w: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27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569,114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713,830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1,221,373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1,431,749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263,786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318,480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537,001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623,773</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305,328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395,350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684,372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807,976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55.4 %</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56.4 %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180,830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177,619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407,991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364,793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29,788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29,669</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65,918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59,408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67,900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Litigation-related and other</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net</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35,195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35,832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1,781,063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4,929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1,801,016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Acquisition-related and integration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net</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139,784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141,553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274,733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275,894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(19,438)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(18,149)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7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(Loss) income from continuing</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(1,873,732)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(1,940,847)</w:t>
            </w:r>
          </w:p>
        </w:tc>
        <w:tc>
          <w:tcPr>
            <w:tcW w:w="12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48,699</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 before income tax</w:t>
            </w: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7" w:lineRule="exact"/>
        <w:rPr>
          <w:sz w:val="20"/>
          <w:szCs w:val="20"/>
          <w:color w:val="auto"/>
        </w:rPr>
      </w:pPr>
    </w:p>
    <w:p>
      <w:pPr>
        <w:jc w:val="both"/>
        <w:ind w:right="120" w:firstLine="486"/>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decreases in revenues for the three and six months ended June 30, 2022 were primarily due to revenue decreases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Established Products portfolio of our Branded Pharmaceuticals segment, partially offset by increased revenues from our Generic Pharmaceuticals segment. Our revenues are further disaggregated and described below under the heading “Business Segment Results Review.”</w:t>
      </w:r>
    </w:p>
    <w:p>
      <w:pPr>
        <w:spacing w:after="0" w:line="86" w:lineRule="exact"/>
        <w:rPr>
          <w:sz w:val="20"/>
          <w:szCs w:val="20"/>
          <w:color w:val="auto"/>
        </w:rPr>
      </w:pPr>
    </w:p>
    <w:p>
      <w:pPr>
        <w:ind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and six months ended June 30, 2022 and 2021, Cost of revenues includes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189,200</w:t>
            </w:r>
          </w:p>
        </w:tc>
      </w:tr>
      <w:tr>
        <w:trPr>
          <w:trHeight w:val="184"/>
        </w:trPr>
        <w:tc>
          <w:tcPr>
            <w:tcW w:w="5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review initiatives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00" w:right="20" w:hanging="330"/>
        <w:spacing w:after="0" w:line="257" w:lineRule="auto"/>
        <w:tabs>
          <w:tab w:leader="none" w:pos="4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six months ended June 30, 2022 were primarily driven by prior asset impairment charges and decreases in the rate of amortization expense for certain assets, partially offset by the impact of certain in-process research and development assets previously put into service.</w:t>
      </w:r>
    </w:p>
    <w:p>
      <w:pPr>
        <w:spacing w:after="0" w:line="2" w:lineRule="exact"/>
        <w:rPr>
          <w:rFonts w:ascii="Times New Roman" w:cs="Times New Roman" w:eastAsia="Times New Roman" w:hAnsi="Times New Roman"/>
          <w:sz w:val="14"/>
          <w:szCs w:val="14"/>
          <w:color w:val="auto"/>
        </w:rPr>
      </w:pPr>
    </w:p>
    <w:p>
      <w:pPr>
        <w:ind w:left="500" w:right="360" w:hanging="330"/>
        <w:spacing w:after="0" w:line="262" w:lineRule="auto"/>
        <w:tabs>
          <w:tab w:leader="none" w:pos="4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among other things, certain accelerated depreciation charges, inventory adjustments and employee separation, continuity and other benefit-related costs, including amounts related to restructurings. For further discussion of our restructuring initiatives, including a discussion of amounts recognized and expected future charges, refer to Note 4. Restructuring of the Condensed Consolidated Financial Statements included in Part I, Item 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20" w:firstLine="486"/>
        <w:spacing w:after="0" w:line="288" w:lineRule="auto"/>
        <w:rPr>
          <w:sz w:val="20"/>
          <w:szCs w:val="20"/>
          <w:color w:val="auto"/>
        </w:rPr>
      </w:pPr>
      <w:r>
        <w:rPr>
          <w:rFonts w:ascii="Times New Roman" w:cs="Times New Roman" w:eastAsia="Times New Roman" w:hAnsi="Times New Roman"/>
          <w:sz w:val="17"/>
          <w:szCs w:val="17"/>
          <w:color w:val="auto"/>
        </w:rPr>
        <w:t>The decreases in Cost of revenues for the three and six months ended June 30, 2022 were primarily due to decreased revenues and decreased amortization expense, partially offset by unfavorable changes in product mix resulting primarily from decreased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w:t>
      </w:r>
    </w:p>
    <w:p>
      <w:pPr>
        <w:spacing w:after="0" w:line="2" w:lineRule="exact"/>
        <w:rPr>
          <w:sz w:val="20"/>
          <w:szCs w:val="20"/>
          <w:color w:val="auto"/>
        </w:rPr>
      </w:pPr>
    </w:p>
    <w:p>
      <w:pPr>
        <w:ind w:right="260" w:firstLine="486"/>
        <w:spacing w:after="0" w:line="272" w:lineRule="auto"/>
        <w:rPr>
          <w:sz w:val="20"/>
          <w:szCs w:val="20"/>
          <w:color w:val="auto"/>
        </w:rPr>
      </w:pPr>
      <w:r>
        <w:rPr>
          <w:rFonts w:ascii="Times New Roman" w:cs="Times New Roman" w:eastAsia="Times New Roman" w:hAnsi="Times New Roman"/>
          <w:sz w:val="18"/>
          <w:szCs w:val="18"/>
          <w:color w:val="auto"/>
        </w:rPr>
        <w:t>The decreases in gross margin percentage for the three and six months ended June 30, 2022 were primarily due to unfavorable changes in product mix resulting primarily from decreased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partially offset by decreased amortization expense.</w:t>
      </w:r>
    </w:p>
    <w:p>
      <w:pPr>
        <w:spacing w:after="0" w:line="2" w:lineRule="exact"/>
        <w:rPr>
          <w:sz w:val="20"/>
          <w:szCs w:val="20"/>
          <w:color w:val="auto"/>
        </w:rPr>
      </w:pPr>
    </w:p>
    <w:p>
      <w:pPr>
        <w:ind w:right="260" w:firstLine="486"/>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The increases for the three and six months ended June 30, 2022 were primarily due to increased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certain strategic review initiatives, restructuring and other cost reduction initiatives and our investment in consumer marketing efforts supporting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partially offset by the recovery of certain previously-incurred opioid-related legal expenses during the second quarter of 2022. Additionally, during the six months ended June 30, 2022, Selling, general and administrative expenses increased as a result of increased costs associated with certain legal matters. Refer to Note 4. Restructuring of the Condensed Consolidated Financial Statements included in Part I, Item 1 for further discussion of certain restructuring initiatives, including a discussion of amounts recognized and expected future charges.</w:t>
      </w:r>
    </w:p>
    <w:p>
      <w:pPr>
        <w:spacing w:after="0" w:line="83" w:lineRule="exact"/>
        <w:rPr>
          <w:sz w:val="20"/>
          <w:szCs w:val="20"/>
          <w:color w:val="auto"/>
        </w:rPr>
      </w:pPr>
    </w:p>
    <w:p>
      <w:pPr>
        <w:ind w:right="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R&amp;D efforts are focused on the development of a diversified portfolio of innovative and clinically differentiated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The amount of R&amp;D expense we record in any period varies depending on the nature and stage of development of our R&amp;D programs, certain of which are further described below.</w:t>
      </w:r>
    </w:p>
    <w:p>
      <w:pPr>
        <w:spacing w:after="0" w:line="63" w:lineRule="exact"/>
        <w:rPr>
          <w:sz w:val="20"/>
          <w:szCs w:val="20"/>
          <w:color w:val="auto"/>
        </w:rPr>
      </w:pPr>
    </w:p>
    <w:p>
      <w:pPr>
        <w:ind w:right="20" w:firstLine="486"/>
        <w:spacing w:after="0" w:line="229" w:lineRule="auto"/>
        <w:rPr>
          <w:sz w:val="20"/>
          <w:szCs w:val="20"/>
          <w:color w:val="auto"/>
        </w:rPr>
      </w:pPr>
      <w:r>
        <w:rPr>
          <w:rFonts w:ascii="Times New Roman" w:cs="Times New Roman" w:eastAsia="Times New Roman" w:hAnsi="Times New Roman"/>
          <w:sz w:val="18"/>
          <w:szCs w:val="18"/>
          <w:color w:val="auto"/>
        </w:rPr>
        <w:t>We continue to invest in our Branded Pharmaceuticals segment.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for the treatment of plantar fibromatosis, for which we subsequently initiated a Phase 2 study in the fourth quarter of 2021, and adhesive capsulitis, for which we announced top-line results from our Phase 2 in the second quarter of 2022. While Phase 2 adhesive capsulitis study participants receiving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showed some improvement, the difference compared to those study participants receiving placebo was not statistically significant. We have also been progressing and expect to continue to progress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was launched in March 2021 for the treatment of moderate to severe cellulite in the buttocks of adult women. For example, during the second quarter of 2022, we launched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is designed to test different interventions to assess their potential impact on reduction of bruising, has been created with the flexibility to add cohorts in order to test additional interventions over time if desired. Additionally, during the second quarter of 2022, we entered into the TLC Agreement, which, as further described in Note 10. License, Collaboration and Asset Acquisition Agreements of the Condensed Consolidated Financial Statements included in Part I, Item 1, is intended to complement our Branded Pharmaceuticals segment’s current on-market and in-development orthopedic-focused opportunities.</w:t>
      </w:r>
    </w:p>
    <w:p>
      <w:pPr>
        <w:spacing w:after="0" w:line="9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also expect to continue to focus investments in ready-to-use and other product candidates in our Sterile Injectables segment, potentially including acquisitions and/or license and commercialization agreements such as the second-quarter 2022 Nevakar Agreement that is further described in Note 10. License, Collaboration and Asset Acquisition Agreements of the Condensed Consolidated Financial Statements included in Part I, Item 1.</w:t>
      </w:r>
    </w:p>
    <w:p>
      <w:pPr>
        <w:spacing w:after="0" w:line="64"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The increase in R&amp;D expense for the six months ended June 30, 2022 was primarily driven by increased costs associated with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as well as increased costs associated with certain restructuring and other cost reduction initiatives. Refer to Note 4. Restructuring of the Condensed Consolidated Financial Statements included in Part I, Item 1 for further discussion of certain restructuring initiatives, including a discussion of amounts recognized and expected future charges.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our development programs progress, it is possible that our R&amp;D expenses could increase.</w:t>
      </w:r>
    </w:p>
    <w:p>
      <w:pPr>
        <w:spacing w:after="0" w:line="11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in-process research and development. </w:t>
      </w:r>
      <w:r>
        <w:rPr>
          <w:rFonts w:ascii="Times New Roman" w:cs="Times New Roman" w:eastAsia="Times New Roman" w:hAnsi="Times New Roman"/>
          <w:sz w:val="18"/>
          <w:szCs w:val="18"/>
          <w:color w:val="auto"/>
        </w:rPr>
        <w:t>We recognize Acquired in-process research and development charges in periods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in-process research and development from third parties or incur (up to the point of regulatory approval) expenses related to upfront or milestone payments to third parties. The increases in Acquired in-process research and development charges for the three and six months ended June 30, 2022 were primarily driven by the incurrence, during the second quarter of 2022, of expenses related to upfront payments associated with the Nevakar Agreement and the TLC Agreement of $35.0 million and $30.0 million, respectively, which are further described in Note 10. License, Collaboration and Asset Acquisition Agreements of the Condensed Consolidated Financial Statements included in Part I, Item 1.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77" w:lineRule="exact"/>
        <w:rPr>
          <w:sz w:val="20"/>
          <w:szCs w:val="20"/>
          <w:color w:val="auto"/>
        </w:rPr>
      </w:pPr>
    </w:p>
    <w:p>
      <w:pPr>
        <w:ind w:right="2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settlement charges. Our material legal proceedings and other contingent matters are described in more detail in Note 14. Commitments and Contingencies of the Condensed Consolidated Financial Statements included in Part I, Item 1. As further described therein, adjustments to the corresponding liability accruals may be required in the future, including in the short term. This could have a material adverse effect on our business, financial condition, results of operations and cash flows.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and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1,781,063</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1,801,016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w:t>
            </w:r>
          </w:p>
        </w:tc>
      </w:tr>
      <w:tr>
        <w:trPr>
          <w:trHeight w:val="21"/>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Note 6. Fair Value Measurements and Note 9. Goodwill and Other Intangibles of the Condensed Consolidated Financial Statements included in Part I, Item 1, as well as the “CRITICAL ACCOUNTING ESTIMATES” section herein.</w:t>
      </w:r>
    </w:p>
    <w:p>
      <w:pPr>
        <w:spacing w:after="0" w:line="50"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primarily consist of the net expense (benefit)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71" w:lineRule="exact"/>
        <w:rPr>
          <w:sz w:val="20"/>
          <w:szCs w:val="20"/>
          <w:color w:val="auto"/>
        </w:rPr>
      </w:pPr>
    </w:p>
    <w:p>
      <w:pPr>
        <w:ind w:right="6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and six months ended June 30, 2022 and 2021 are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276,340</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48"/>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275,894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decreases in interest expense for the three and six months ended June 30, 2022 were primarily attributable to decreases to the principal amount of our indebtedness, which were primarily attributable to the partial repayment of the Revolving Credit Facility in October 2021 and the January 2022 Senior Notes Repayments, partially offset by increases in the weighted average interest rate applicable to our total indebtedness. Refer to Note 13.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7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50"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debt. </w:t>
      </w:r>
      <w:r>
        <w:rPr>
          <w:rFonts w:ascii="Times New Roman" w:cs="Times New Roman" w:eastAsia="Times New Roman" w:hAnsi="Times New Roman"/>
          <w:sz w:val="18"/>
          <w:szCs w:val="18"/>
          <w:color w:val="auto"/>
        </w:rPr>
        <w:t>The amount during the six months ended June 30, 2021 relates to the March 2021 Refinancing Transactions. Refer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Note 13. Debt of the Condensed Consolidated Financial Statements included in Part I, Item 1 for further discussion.</w:t>
      </w:r>
    </w:p>
    <w:p>
      <w:pPr>
        <w:spacing w:after="0" w:line="47" w:lineRule="exact"/>
        <w:rPr>
          <w:sz w:val="20"/>
          <w:szCs w:val="20"/>
          <w:color w:val="auto"/>
        </w:rPr>
      </w:pPr>
    </w:p>
    <w:p>
      <w:pPr>
        <w:ind w:right="3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components of Other (income) expense, net for the three and six months ended June 30, 2022 and 2021 are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components of Other (income) expense, net, refer to Note 17. Other (Income) Expense, Net of the Condensed Consolidated Financial Statements included in Part I, Item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following table displays our (Loss) income from continuing operations before income tax, Income tax expense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for the three and six months ended June 30, 2022 and 2021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(1,873,732)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(1,940,847)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48,699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11,824</w:t>
            </w: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1,211.8 %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r>
    </w:tbl>
    <w:p>
      <w:pPr>
        <w:spacing w:after="0" w:line="18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for the three and six months ended June 30, 2022 compared to the prior year period primarily relates to the 2021 discrete tax expense related to Canadian uncertain tax positions and changes in the geographic mix of pre-tax earnings.</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1. Basis of Presentation of the Condensed Consolidated Financial Statements included in Part I, Item 1, in the second quarter of 2022, the Company concluded that there was substantial doubt about its ability to continue as a going concern within one year after the date of issuance of the Condensed Consolidated Financial Statements.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5"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June 30,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18. Income Taxes of the Condensed Consolidated Financial Statements included in Part I, Item 1.</w:t>
      </w:r>
    </w:p>
    <w:p>
      <w:pPr>
        <w:spacing w:after="0" w:line="81"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75" w:lineRule="exact"/>
        <w:rPr>
          <w:sz w:val="20"/>
          <w:szCs w:val="20"/>
          <w:color w:val="auto"/>
        </w:rPr>
      </w:pPr>
    </w:p>
    <w:p>
      <w:pPr>
        <w:ind w:right="160" w:firstLine="486"/>
        <w:spacing w:after="0" w:line="28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Discontinued operations, net of tax. </w:t>
      </w:r>
      <w:r>
        <w:rPr>
          <w:rFonts w:ascii="Times New Roman" w:cs="Times New Roman" w:eastAsia="Times New Roman" w:hAnsi="Times New Roman"/>
          <w:sz w:val="17"/>
          <w:szCs w:val="17"/>
          <w:color w:val="auto"/>
        </w:rPr>
        <w:t>The operating results of the Company’s Astora business, which the Board resolved to wind down in 2016,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reported as Discontinued operations, net of tax in the Condensed Consolidated Statements of Operations for all periods presented. The following table provides the operating results of Astora Discontinued operations, net of tax, for the three and six months ended June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pre-tax amounts during the three and six months ended June 30, 2022 and 2021 were primarily related to mesh-related legal defense costs and certain other items. For additional discussion of mesh-related matters, refer to Note 14. Commitments and Contingencies of the Condensed Consolidated Financial Statements included in Part I, Item 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17" w:lineRule="exact"/>
        <w:rPr>
          <w:sz w:val="20"/>
          <w:szCs w:val="20"/>
          <w:color w:val="auto"/>
        </w:rPr>
      </w:pPr>
    </w:p>
    <w:p>
      <w:pPr>
        <w:ind w:right="1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and six months ended June 30, 2022 and 2021 (dollars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6"/>
                <w:szCs w:val="16"/>
                <w:color w:val="auto"/>
              </w:rPr>
            </w:pPr>
          </w:p>
        </w:tc>
        <w:tc>
          <w:tcPr>
            <w:tcW w:w="24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434,675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net revenues from external</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569,114</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713,830</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1,221,373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1,431,749</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09" w:lineRule="exact"/>
        <w:rPr>
          <w:sz w:val="20"/>
          <w:szCs w:val="20"/>
          <w:color w:val="auto"/>
        </w:rPr>
      </w:pPr>
    </w:p>
    <w:p>
      <w:pPr>
        <w:ind w:right="68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the three and six months ended June 30,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6"/>
                <w:szCs w:val="16"/>
                <w:color w:val="auto"/>
              </w:rPr>
            </w:pPr>
          </w:p>
        </w:tc>
        <w:tc>
          <w:tcPr>
            <w:tcW w:w="242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2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Specialty (1)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310,421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TESTOPEL</w:t>
            </w:r>
            <w:r>
              <w:rPr>
                <w:rFonts w:ascii="Times New Roman" w:cs="Times New Roman" w:eastAsia="Times New Roman" w:hAnsi="Times New Roman"/>
                <w:sz w:val="23"/>
                <w:szCs w:val="23"/>
                <w:color w:val="auto"/>
                <w:vertAlign w:val="superscript"/>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Established (2)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434,675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ind w:left="480" w:hanging="310"/>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NASCOBAL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Nasal Spray, AVEED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QWO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480" w:hanging="310"/>
        <w:spacing w:after="0" w:line="187" w:lineRule="auto"/>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500" w:right="60" w:hanging="330"/>
        <w:spacing w:after="0" w:line="278" w:lineRule="auto"/>
        <w:tabs>
          <w:tab w:leader="none" w:pos="4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six months ended June 30, 2022 and/or any product having revenues in excess of $25 million during any completed quarterly period in 2022 or 2021.</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6"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As noted above,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have generally experienced decreased sales volumes during the COVID-19 pandemic due to reduced physician office activity and patient office visits because of the COVID-19 pandemic. While these products have generally been recovering since early 2020, they have at times continued to be impacted by COVID-19-related market conditions for specialty product office-based procedures, including medical and administrative staff shortages in physicians’ offices, reduced physician office activity and lower numbers of in-person patient office visits. While we have seen improving market conditions and a recovery in demand beginning in March 2022, these conditions have continued to contribute to variability in these products’ recoveries, as well as uncertainty about future revenues. Further changes as a result the COVID-19 pandemic could have a material adverse effect on our business, financial condition, results of operations and cash flows.</w:t>
      </w:r>
    </w:p>
    <w:p>
      <w:pPr>
        <w:spacing w:after="0" w:line="82" w:lineRule="exact"/>
        <w:rPr>
          <w:sz w:val="20"/>
          <w:szCs w:val="20"/>
          <w:color w:val="auto"/>
        </w:rPr>
      </w:pPr>
    </w:p>
    <w:p>
      <w:pPr>
        <w:ind w:right="160" w:firstLine="486"/>
        <w:spacing w:after="0" w:line="230" w:lineRule="auto"/>
        <w:rPr>
          <w:sz w:val="20"/>
          <w:szCs w:val="20"/>
          <w:color w:val="auto"/>
        </w:rPr>
      </w:pPr>
      <w:r>
        <w:rPr>
          <w:rFonts w:ascii="Times New Roman" w:cs="Times New Roman" w:eastAsia="Times New Roman" w:hAnsi="Times New Roman"/>
          <w:sz w:val="18"/>
          <w:szCs w:val="18"/>
          <w:color w:val="auto"/>
        </w:rPr>
        <w:t>The increases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six months ended June 30, 2022 were primarily attributable to increased net price, partially offset by slightly lower volumes resulting primarily from COVID-19-related market conditions as noted above.</w:t>
      </w:r>
    </w:p>
    <w:p>
      <w:pPr>
        <w:spacing w:after="0" w:line="88" w:lineRule="exact"/>
        <w:rPr>
          <w:sz w:val="20"/>
          <w:szCs w:val="20"/>
          <w:color w:val="auto"/>
        </w:rPr>
      </w:pPr>
    </w:p>
    <w:p>
      <w:pPr>
        <w:ind w:right="280" w:firstLine="486"/>
        <w:spacing w:after="0" w:line="230" w:lineRule="auto"/>
        <w:rPr>
          <w:sz w:val="20"/>
          <w:szCs w:val="20"/>
          <w:color w:val="auto"/>
        </w:rPr>
      </w:pPr>
      <w:r>
        <w:rPr>
          <w:rFonts w:ascii="Times New Roman" w:cs="Times New Roman" w:eastAsia="Times New Roman" w:hAnsi="Times New Roman"/>
          <w:sz w:val="18"/>
          <w:szCs w:val="18"/>
          <w:color w:val="auto"/>
        </w:rPr>
        <w:t>The decreases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three and six months ended June 30, 2022 were primarily attributable to decreased net price, partially offset by increased volumes.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6" w:lineRule="exact"/>
        <w:rPr>
          <w:sz w:val="20"/>
          <w:szCs w:val="20"/>
          <w:color w:val="auto"/>
        </w:rPr>
      </w:pPr>
    </w:p>
    <w:p>
      <w:pPr>
        <w:ind w:right="80" w:firstLine="486"/>
        <w:spacing w:after="0" w:line="218" w:lineRule="auto"/>
        <w:rPr>
          <w:sz w:val="20"/>
          <w:szCs w:val="20"/>
          <w:color w:val="auto"/>
        </w:rPr>
      </w:pPr>
      <w:r>
        <w:rPr>
          <w:rFonts w:ascii="Times New Roman" w:cs="Times New Roman" w:eastAsia="Times New Roman" w:hAnsi="Times New Roman"/>
          <w:sz w:val="18"/>
          <w:szCs w:val="18"/>
          <w:color w:val="auto"/>
        </w:rPr>
        <w:t>The increase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June 30, 2022 was primarily attributable to increased net price, partially offset by lower volumes. The decrease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six months ended June 30, 2022 was primarily attributable to decreased volumes, partially offset by increased net price.</w:t>
      </w:r>
    </w:p>
    <w:p>
      <w:pPr>
        <w:spacing w:after="0" w:line="9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 decreases in Other Established Products revenues for the three and six months ended June 30, 2022 were primarily attributable to ongoing competitive pressures impacting this product portfolio and certain other factors.</w:t>
      </w:r>
    </w:p>
    <w:p>
      <w:pPr>
        <w:sectPr>
          <w:pgSz w:w="11900" w:h="16838" w:orient="portrait"/>
          <w:cols w:equalWidth="0" w:num="1">
            <w:col w:w="11240"/>
          </w:cols>
          <w:pgMar w:left="320" w:top="11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six months ended June 30,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6"/>
                <w:szCs w:val="16"/>
                <w:color w:val="auto"/>
              </w:rPr>
            </w:pPr>
          </w:p>
        </w:tc>
        <w:tc>
          <w:tcPr>
            <w:tcW w:w="24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29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others.</w:t>
      </w:r>
    </w:p>
    <w:p>
      <w:pPr>
        <w:spacing w:after="0" w:line="11" w:lineRule="exact"/>
        <w:rPr>
          <w:rFonts w:ascii="Times New Roman" w:cs="Times New Roman" w:eastAsia="Times New Roman" w:hAnsi="Times New Roman"/>
          <w:sz w:val="14"/>
          <w:szCs w:val="14"/>
          <w:color w:val="auto"/>
        </w:rPr>
      </w:pPr>
    </w:p>
    <w:p>
      <w:pPr>
        <w:ind w:left="500" w:right="220" w:hanging="330"/>
        <w:spacing w:after="0" w:line="283" w:lineRule="auto"/>
        <w:tabs>
          <w:tab w:leader="none" w:pos="4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either the three or six months ended June 30, 2022 and/or any product having revenues in excess of $25 million during any completed quarterly period in 2022 or 2021.</w:t>
      </w:r>
    </w:p>
    <w:p>
      <w:pPr>
        <w:spacing w:after="0" w:line="68" w:lineRule="exact"/>
        <w:rPr>
          <w:sz w:val="20"/>
          <w:szCs w:val="20"/>
          <w:color w:val="auto"/>
        </w:rPr>
      </w:pPr>
    </w:p>
    <w:p>
      <w:pPr>
        <w:ind w:firstLine="486"/>
        <w:spacing w:after="0" w:line="229" w:lineRule="auto"/>
        <w:rPr>
          <w:sz w:val="20"/>
          <w:szCs w:val="20"/>
          <w:color w:val="auto"/>
        </w:rPr>
      </w:pPr>
      <w:r>
        <w:rPr>
          <w:rFonts w:ascii="Times New Roman" w:cs="Times New Roman" w:eastAsia="Times New Roman" w:hAnsi="Times New Roman"/>
          <w:sz w:val="18"/>
          <w:szCs w:val="18"/>
          <w:color w:val="auto"/>
        </w:rPr>
        <w:t>The decreases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six months ended June 30, 2022 were primarily driven by decreases to both net price and volume, which were primarily attributable to the impact of generic competition as well as lower overall market demand as COVID-19-related hospital utilization levels declined.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experienced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during the second quarter of 2022, which resulted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this period. 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above have had and could continue to have a material adverse effect on our business, financial condition, results of operations and cash flows. For additional information, refer to Note 14. Commitments and Contingencies of the Condensed Consolidated Financial Statements included in Part I, Item 1 under the heading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Related Matters.”</w:t>
      </w:r>
    </w:p>
    <w:p>
      <w:pPr>
        <w:spacing w:after="0" w:line="1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7"/>
          <w:szCs w:val="17"/>
          <w:color w:val="auto"/>
        </w:rPr>
        <w:t>The decrease in ADRENALIN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 for the three months ended June 30, 2022 was primarily attributable to decreased volume. The increase in ADRENALIN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 for the six months ended June 30, 2022 was primarily attributable to increased net price, partially offset by decreased volume.</w:t>
      </w:r>
    </w:p>
    <w:p>
      <w:pPr>
        <w:spacing w:after="0" w:line="6"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decreases in Other Sterile Injectables revenues for the three and six months ended June 30, 2022 were primarily attributable to competitive pressures across multiple products within the product portfolio.</w:t>
      </w:r>
    </w:p>
    <w:p>
      <w:pPr>
        <w:spacing w:after="0" w:line="52" w:lineRule="exact"/>
        <w:rPr>
          <w:sz w:val="20"/>
          <w:szCs w:val="20"/>
          <w:color w:val="auto"/>
        </w:rPr>
      </w:pPr>
    </w:p>
    <w:p>
      <w:pPr>
        <w:ind w:right="340" w:firstLine="486"/>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increases in Generic Pharmaceuticals revenues for the three and six months ended June 30, 2022 were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revenues from varenicline tablets (our generic version of Pfizer Inc.’s Chantix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launched in September 2021, partially offset by competitive pressures on certain generic products. The timing and extent to which we could face competition on varenicline tablets cannot be predicted with certainty; however, competition could occur at any time, including in the near term, which could have a material adverse effect on our business, financial condition, results of operations and cash flows.</w:t>
      </w:r>
    </w:p>
    <w:p>
      <w:pPr>
        <w:spacing w:after="0" w:line="84" w:lineRule="exact"/>
        <w:rPr>
          <w:sz w:val="20"/>
          <w:szCs w:val="20"/>
          <w:color w:val="auto"/>
        </w:rPr>
      </w:pPr>
    </w:p>
    <w:p>
      <w:pPr>
        <w:ind w:right="16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from continuing operations before income tax. </w:t>
      </w:r>
      <w:r>
        <w:rPr>
          <w:rFonts w:ascii="Times New Roman" w:cs="Times New Roman" w:eastAsia="Times New Roman" w:hAnsi="Times New Roman"/>
          <w:sz w:val="18"/>
          <w:szCs w:val="18"/>
          <w:color w:val="auto"/>
        </w:rPr>
        <w:t>The following table displays our Segment adjusted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before income tax (the measure we use to evaluate segment performance) by reportable segment for the three and six months ended June 30, 2022 and 2021 (dollars in thousands):</w:t>
      </w: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6"/>
                <w:szCs w:val="16"/>
                <w:color w:val="auto"/>
              </w:rPr>
            </w:pPr>
          </w:p>
        </w:tc>
        <w:tc>
          <w:tcPr>
            <w:tcW w:w="25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9" w:lineRule="exact"/>
        <w:rPr>
          <w:sz w:val="20"/>
          <w:szCs w:val="20"/>
          <w:color w:val="auto"/>
        </w:rPr>
      </w:pPr>
    </w:p>
    <w:p>
      <w:pPr>
        <w:jc w:val="both"/>
        <w:ind w:right="26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decreases in Segment adjusted income from continuing operations before income tax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were primarily attributable to increased costs associated with our investment in consumer marketing efforts supporting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legal matters.</w:t>
      </w:r>
    </w:p>
    <w:p>
      <w:pPr>
        <w:spacing w:after="0" w:line="89"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Sterile Injectables</w:t>
      </w:r>
      <w:r>
        <w:rPr>
          <w:rFonts w:ascii="Times New Roman" w:cs="Times New Roman" w:eastAsia="Times New Roman" w:hAnsi="Times New Roman"/>
          <w:sz w:val="18"/>
          <w:szCs w:val="18"/>
          <w:color w:val="auto"/>
        </w:rPr>
        <w:t>. The decreases in Segment adjusted income from continuing operations before income tax for the three and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were primarily attributable to the gross margin effect of the decreased revenues further described above.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3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increases in Segment adjusted income from continuing operations before income tax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were primarily attributable to the gross margin effects of the increased revenues further described above and favorable changes in product mix.</w:t>
      </w:r>
    </w:p>
    <w:p>
      <w:pPr>
        <w:spacing w:after="0" w:line="65" w:lineRule="exact"/>
        <w:rPr>
          <w:sz w:val="20"/>
          <w:szCs w:val="20"/>
          <w:color w:val="auto"/>
        </w:rPr>
      </w:pPr>
    </w:p>
    <w:p>
      <w:pPr>
        <w:ind w:right="5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decreases in Segment adjusted income from continuing operations before income tax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were primarily attributable to changes in product mix.</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Our principal liquidity requirements are primarily for working capital for operations, licenses, capital expenditures, mergers and acquisitions (including upfront and milestone payments to third parties), contingent liabilities, debt service payments, income taxes and litigation-related matters. The Company’s working capital was $1,018.2 million at June 30, 2022 compared to working capital of $1,084.6 million at December 31, 2021. The amounts at June 30, 2022 and December 31, 2021 include restricted cash and cash equivalents associated with litigation-related matters, including $68.2 million and $78.4 million, respectively, held in QSFs for mesh- and/or opioid-related matters. Although these amounts in QSFs are included in working capital, they are required to be used for legal settlements.</w:t>
      </w:r>
    </w:p>
    <w:p>
      <w:pPr>
        <w:spacing w:after="0" w:line="79"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which primarily consisted of bank deposits and money market accounts, totaled $1,191.6 million at June 30, 2022 compared to $1,507.2 million at December 31, 2021.</w:t>
      </w:r>
    </w:p>
    <w:p>
      <w:pPr>
        <w:spacing w:after="0" w:line="54"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business is exposed to a variety of material risks as further described herein and in the Annual Report. For example, we may face decreased revenues as a result of COVID-19 and, to the extent COVID-19 has resulted in any increase to our Cash and cash equivalents, including as a result of any increase in revenues, such increase could be temporary. We may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As a result of the possibility or occurrence of an unfavorable outcome with respect to any legal proceeding,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Pursuant to such remedial measures, we currently expect to seek protection from our creditors under Chapter 11 of the Bankruptcy Code, which could occur imminently and would subject us to additional risks and uncertainties that could adversely affect our business prospects and ability to continue as a going concern, as further described herein and in Part I, Item 1A. “Risk Factors” in the Annual Report. Additionally, the agreements relating to our outstanding indebtedness contain certain covenants and events of default. As further discussed in Note</w:t>
      </w:r>
    </w:p>
    <w:p>
      <w:pPr>
        <w:spacing w:after="0" w:line="4" w:lineRule="exact"/>
        <w:rPr>
          <w:sz w:val="20"/>
          <w:szCs w:val="20"/>
          <w:color w:val="auto"/>
        </w:rPr>
      </w:pPr>
    </w:p>
    <w:p>
      <w:pPr>
        <w:ind w:right="60" w:firstLine="8"/>
        <w:spacing w:after="0" w:line="251"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the Condensed Consolidated Financial Statements included in Part I, Item 1, if one or more events of default were to occur under any of the agreements relating to our outstanding indebtedness, including without limitation as a result of us not making interest payments by the end of any applicable grace periods and/or us issuing audited financial statements containing an audit opinion with going concern or similar qualifications or exceptions, the holders of the defaulted debt could cause all amounts outstanding with respect to that debt to become due and payable immediately, terminate all commitments to extend further credit, foreclose against assets comprising the collateral securing or otherwise supporting the debt and pursue other legal remedies, and our assets and cash flows may be insufficient to fully repay borrowings under our outstanding debt instruments if this were to occur.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As further discussed in Note 1. Basis of Presentation of the Condensed Consolidated Financial Statements included in Part I, Item 1,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any of the factors described above or other factors.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may also, from time to time, seek to enter into certain transactions to reduce our leverage and/or interest expense and/or to extend the maturities of our outstanding indebtedness or obtain greater covenant flexibility.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including requiring us to take charges. Further, the terms of any such transactions, including the amount of any exchange consideration and terms of any refinanced debt, could also be less favorable than we have been able to obtain in the past.</w:t>
      </w:r>
    </w:p>
    <w:p>
      <w:pPr>
        <w:spacing w:after="0" w:line="81"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77" w:lineRule="exact"/>
        <w:rPr>
          <w:sz w:val="20"/>
          <w:szCs w:val="20"/>
          <w:color w:val="auto"/>
        </w:rPr>
      </w:pPr>
    </w:p>
    <w:p>
      <w:pPr>
        <w:ind w:right="20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governing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As of June 30, 2022, approximately $2.0 billion was outstanding under the Term Loan Facility, approximately $0.3 billion was outstanding under the Revolving Credit Facility and approximately $5.9 billion was outstanding under the senior secured and senior unsecured notes.</w:t>
      </w:r>
    </w:p>
    <w:p>
      <w:pPr>
        <w:spacing w:after="0" w:line="72"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After giving effect to net borrowings under the Revolving Credit Facility and issued and outstanding letters of credit, approximately $0.6 billion of remaining credit was available under the Revolving Credit Facility at June 30, 2022. Additionally, the Company’s outstanding debt agreements contain a number of restrictive covenants, including certain limitations on the Company’s ability to incur additional indebtedness.</w:t>
      </w:r>
    </w:p>
    <w:p>
      <w:pPr>
        <w:spacing w:after="0" w:line="6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Refer to Note 13. Debt of the Condensed Consolidated Financial Statements included in Part I, Item 1 of this report and Note 15. Debt in the Consolidated Financial Statements included in Part IV, Item 15 of the Annual Report for additional information about our indebtedness, including our debt financing transactions and information about maturities, interest rates, security, priority, events of default and our compliance with covenants.</w:t>
      </w:r>
    </w:p>
    <w:p>
      <w:pPr>
        <w:spacing w:after="0" w:line="64" w:lineRule="exact"/>
        <w:rPr>
          <w:sz w:val="20"/>
          <w:szCs w:val="20"/>
          <w:color w:val="auto"/>
        </w:rPr>
      </w:pPr>
    </w:p>
    <w:p>
      <w:pPr>
        <w:ind w:right="6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The Company’s corporate credit ratings assigned by Moody’s Investors Service and Standard &amp; Poor’s are Caa3 with a stable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outlook and CC, respectively. No report of any rating agency is being incorporated by reference herein.</w:t>
      </w:r>
    </w:p>
    <w:p>
      <w:pPr>
        <w:spacing w:after="0" w:line="47" w:lineRule="exact"/>
        <w:rPr>
          <w:sz w:val="20"/>
          <w:szCs w:val="20"/>
          <w:color w:val="auto"/>
        </w:rPr>
      </w:pPr>
    </w:p>
    <w:p>
      <w:pPr>
        <w:ind w:right="88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June 30, 2022 and December 31, 2021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2,714,586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1,181,672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1,629,962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Net working capital decreased by $66.4 million from December 31, 2021 to June 30, 2022. During this period, working capital benefited from the favorable impacts to net current assets resulting from revenues and gross margins, which are further described above. This benefit was more than offset by, among other things, the following current period activity: (i) Capital expenditures, excluding capitalized interest, net of Proceeds from the U.S. Government Agreement, of $40.2 million; (ii) a $20.4 million decrease to working capital resulting from certain net charges related to litigation-related and other contingencies, which are further described in Note 14. Commitments and Contingencies of the Condensed Consolidated Financial Statements included in Part I, Item 1 of this report; (iii) Acquired in-process research and development charges of $67.9 million and (iv) certain expenses incurred for restructuring and other cost reduction initiatives.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six months ended June 30,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398,816</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(45,050)</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(65,747)</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288,730</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75"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The $330.9 million decrease in Net cash provided by operating activities during the six months ended June 30, 2022 compared to the prior year period was primarily due to reduced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and increased payments for opioid-related matters, partially offset by the fact that, during the second quarter of 2022, we elected to enter a 30-day grace period related to an interest payment of approximately $38 million that was originally due to be paid on June 30, 2022, but, as further described in Note 13. Debt of the Condensed Consolidated Financial Statements included in Part I, Item 1, was not actually paid until July 2022. It is possible that operating cash flows could decline in the future as a result of, among other things, cash outflows for litigation-related matters and further reductions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spacing w:after="0" w:line="15" w:lineRule="exact"/>
        <w:rPr>
          <w:sz w:val="20"/>
          <w:szCs w:val="20"/>
          <w:color w:val="auto"/>
        </w:rPr>
      </w:pPr>
    </w:p>
    <w:p>
      <w:pPr>
        <w:ind w:right="10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$66.7 million increase in Net cash used in investing activities during the six months ended June 30, 2022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period was primarily attributable to: (i) an increase in Acquisitions, including in-process research and development, net of cash and restricted cash acquired of $89.5 million and (ii) an increase in Capital expenditures, excluding capitalized interest of $6.2 million. The changes were partially offset by: (i) an increase in Proceeds from sale of business and other assets, net of $19.8 million and (ii) an increase in Proceeds from the U.S. Government Agreement of $7.3 million.</w:t>
      </w:r>
    </w:p>
    <w:p>
      <w:pPr>
        <w:spacing w:after="0" w:line="71"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six months ended June 30, 2022, Net cash used in financing activities primarily related to: (i) Repayments of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$180.3 million and (ii) Repayments of term loans of $10.0 million.</w:t>
      </w:r>
    </w:p>
    <w:p>
      <w:pPr>
        <w:spacing w:after="0" w:line="5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Net cash used in financing activities primarily related to the March 2021 Refinancing Transactions, including the payment of approximately $42.6 million of associated costs and fees. The remaining amount primarily related to Payments of tax withholding for restricted shares of $14.1 million and Repayments of term loans subsequent to the March 2021 Refinancing Transactions of $5.0 million.</w:t>
      </w:r>
    </w:p>
    <w:p>
      <w:pPr>
        <w:spacing w:after="0" w:line="64"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for Contractual and Other Obligations. </w:t>
      </w:r>
      <w:r>
        <w:rPr>
          <w:rFonts w:ascii="Times New Roman" w:cs="Times New Roman" w:eastAsia="Times New Roman" w:hAnsi="Times New Roman"/>
          <w:sz w:val="18"/>
          <w:szCs w:val="18"/>
          <w:color w:val="auto"/>
        </w:rPr>
        <w:t>As of June 30, 2022, there were no material changes in our cash requirements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and other obligations from those disclosed in the Annual Report except for those related to: (i) our indebtedness as further described in Note 13. Debt of the Condensed Consolidated Financial Statements included in Part I, Item 1 and (ii) the transactions that are further described in Note 10. License, Collaboration and Asset Acquisition Agreements of the Condensed Consolidated Financial Statements included in Part I, Item 1.</w:t>
      </w:r>
    </w:p>
    <w:p>
      <w:pPr>
        <w:spacing w:after="0" w:line="68"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As further discussed above, our quarterly results have fluctuated in the past and may continue to fluctuate. Additionally,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63"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We do not believe that inflation had a material adverse effect on our financial statements for the periods presented. However, materials,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Updates to our critical accounting estimates since December 31, 2021 are detailed below. For additional discussion of the Company’s critical accounting estimates, see “Critical Accounting Estimates” in Item 7 of the Annual Report.</w:t>
      </w:r>
    </w:p>
    <w:p>
      <w:pPr>
        <w:spacing w:after="0" w:line="5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values of our reporting units.</w:t>
      </w:r>
    </w:p>
    <w:p>
      <w:pPr>
        <w:spacing w:after="0" w:line="7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further described in Note 9. Goodwill and Other Intangibles of the Condensed Consolidated Financial Statements included in Part I, Item 1, we performed certain goodwill impairment tests during the second quarter of 2022. The discount rates used in these tests were 13.5% and 18.5% for the Branded Pharmaceuticals and Sterile Injectables reporting units, respectively, compared to 14.5% and 11.0%, respectively, used in the October 1, 2021 goodwill tests. We believe the discount rates and other inputs and assumptions are consistent with those that a market participant would use. As a result of the June 30, 2022 tests, we recorded a pre-tax non-cash goodwill impairment charge of $1,748.0 million for our Sterile Injectables reporting unit and determined there was no impairment of goodwill for our Branded Pharmaceuticals reporting unit, for which the estimated fair value exceeded the carrying amount by more than 10%. A 50 basis point increase in the assumed discount rate utilized in the Branded Pharmaceuticals test would not have changed the outcome of that test; however, a 50 basis point increase in the assumed discount rate utilized in the Sterile Injectables test would have increased the goodwill impairment charge for this reporting unit by approximately $50 million.</w:t>
      </w:r>
    </w:p>
    <w:p>
      <w:pPr>
        <w:spacing w:after="0" w:line="80"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our Branded Pharmaceuticals and Sterile Injectables reporting units had remaining goodwill of approximately $0.8 billion and $0.6 billion, respectively, and the carrying amount of our other intangible assets totaled approximately $2.1 billion. As a result, if the assumptions used in our impairment tests change, it is possible that additional impairment charges could be recorded in future periods and that these charges could be material.</w:t>
      </w:r>
    </w:p>
    <w:p>
      <w:pPr>
        <w:spacing w:after="0" w:line="68" w:lineRule="exact"/>
        <w:rPr>
          <w:sz w:val="20"/>
          <w:szCs w:val="20"/>
          <w:color w:val="auto"/>
        </w:rPr>
      </w:pPr>
    </w:p>
    <w:p>
      <w:pPr>
        <w:ind w:firstLine="486"/>
        <w:spacing w:after="0" w:line="233" w:lineRule="auto"/>
        <w:rPr>
          <w:sz w:val="20"/>
          <w:szCs w:val="20"/>
          <w:color w:val="auto"/>
        </w:rPr>
      </w:pPr>
      <w:r>
        <w:rPr>
          <w:rFonts w:ascii="Times New Roman" w:cs="Times New Roman" w:eastAsia="Times New Roman" w:hAnsi="Times New Roman"/>
          <w:sz w:val="18"/>
          <w:szCs w:val="18"/>
          <w:color w:val="auto"/>
        </w:rPr>
        <w:t>Each of our segments is subject to risks and uncertainties related to future competition. For example, our Sterile Injectables segment has experienced significant revenue declines resulting from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that were introduced beginning in late January 2022 and may continue to be introduced. If actual results for our segments differ from our expectations, as a result of competition or otherwise, and/or if we make changes to our assumptions for these segments relating to competition or any other risks or uncertainties, the estimated future revenues and cash flows could be significantly reduced, which could ultimately result in asset impairment charges that may be material. For example, the discounted cash flows used in the most recent goodwill impairment test for our Sterile Injectables reporting unit reflected assumptions related to: (i) the overall market size for both branded and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including anticipated changes in demand driven in part by changes in COVID-19-related hospital utilization; (ii) the timing and extent of potential competitive impacts on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(iii) the extent and speed of any conversion of the market for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the RTU pre-mix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bottle we launched in February 2022; and (iv) various assumptions regarding our pipeline Sterile Injectables products, including probability of success, launch timing and the competitive landscape at the time of planned launch, among other factors. Future performance is subject to many factors that are outside of our control and subject to significant uncertainty and are therefore inherently difficult to predict. Actual results going forward could differ significantly from our expectations and, if unfavorable, could result in interim impairment tests and additional impairment charges which could be material. Similarly, market-based factors such as rising interest rates could continue to impact our determination of fair value in the future, which could also result in or increase future impairment charges.</w:t>
      </w:r>
    </w:p>
    <w:p>
      <w:pPr>
        <w:spacing w:after="0" w:line="95" w:lineRule="exact"/>
        <w:rPr>
          <w:sz w:val="20"/>
          <w:szCs w:val="20"/>
          <w:color w:val="auto"/>
        </w:rPr>
      </w:pPr>
    </w:p>
    <w:p>
      <w:pPr>
        <w:ind w:right="40" w:firstLine="486"/>
        <w:spacing w:after="0" w:line="312" w:lineRule="auto"/>
        <w:rPr>
          <w:sz w:val="20"/>
          <w:szCs w:val="20"/>
          <w:color w:val="auto"/>
        </w:rPr>
      </w:pPr>
      <w:r>
        <w:rPr>
          <w:rFonts w:ascii="Times New Roman" w:cs="Times New Roman" w:eastAsia="Times New Roman" w:hAnsi="Times New Roman"/>
          <w:sz w:val="17"/>
          <w:szCs w:val="17"/>
          <w:color w:val="auto"/>
        </w:rPr>
        <w:t>Additionally, we are continuing to closely monitor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Furthermore, as further discussed in Note 1. Basis of Presentation of the Condensed Consolidated Financial Statements included in Part I, Item 1, as a result of the possibility or occurrence of an unfavorable outcome with respect to any legal proceeding, we have engaged in and, at any given time, may further engage in strategic reviews of all or a portion of our business. Any such review or contingency planning may ultimately result in our pursuing one or more significant corporate transactions or other remedial measures, including on a preventative or proactive basis. Any such action could ultimately result in, among other things, asset impairment charges that may be 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of the Condensed Consolidated Financial Statements included in Part I, Item 1, as applicable.</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Credit Facilities. At June 30, 2022 and December 31, 2021, the aggregate principal amounts of such variable-rate indebtedness were $2,252.2 million and $2,262.2 million, respectively. Borrowings under the Credit Facilities may from time to time bear interest at variable rates, in certain cases subject to a floor. At June 30, 2022 and December 31, 2021, a hypothetical 1% increase in the applicable rate over the floor would have resulted in $22.5 million and $22.6 million, respectively, of incremental interest expense (representing the annual rate of expense) related to our variable-rate debt borrowings.</w:t>
      </w:r>
    </w:p>
    <w:p>
      <w:pPr>
        <w:spacing w:after="0" w:line="75"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and December 31, 2021, we had no other assets or liabilities with significant interest rate sensitivity.</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320" w:firstLine="486"/>
        <w:spacing w:after="0" w:line="255"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Condensed Consolidated Statements of Operations. Refer to Note 17. Other (Income) Expense, Net of the Condensed Consolidated Financial Statements included in Part I, Item 1 for the amounts of Foreign currency (gain) loss, net.</w:t>
      </w:r>
    </w:p>
    <w:p>
      <w:pPr>
        <w:spacing w:after="0" w:line="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June 30, 2022 and December 31, 2021. A 10% change at June 30, 2022 and December 31, 2021 would have resulted in approximately $11 million in incremental foreign currency losses on such dates.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June 30, 2022. Based on that evaluation, the Company’s Chief Executive Officer and Principal Financial Officer concluded that the Company’s disclosure controls and procedures were effective as of June 30, 2022.</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June 30, 2022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14. Commitments and Contingencies of the Condensed Consolidated Financial Statements included in Part I, Item 1 are incorporated into this Part II, Item 1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I, Item 1A. “Risk Factors” in the Annual Report and Part II, Item 1A. “Risk Factors” of our First Quarter 2022 Form 10-Q. There have been no material changes to our risk factors from those described therein except as set forth below.</w:t>
      </w:r>
    </w:p>
    <w:p>
      <w:pPr>
        <w:spacing w:after="0" w:line="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uncertainty surrounding, among other things, our ability to reach a resolution with certain of our financial creditors and opioid-related plaintiffs in connection with ongoing restructuring and settlement discussions has raised substantial doubt about our ability to continue as a going concern. We currently expect to seek protection from our creditors under Chapter 11 of the Bankruptcy Code or an involuntary petition for bankruptcy may be filed against us, either of which could have a material adverse effect on our business, financial condition, results of operations and cash flows and could place our shareholders at significant risk of losing all of their investment in our ordinary shares.</w:t>
      </w:r>
    </w:p>
    <w:p>
      <w:pPr>
        <w:spacing w:after="0" w:line="7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As we have previously disclosed, our business is exposed to a variety of material risks, including opioid-related claims, other lawsuits and significant existing indebtedness. As a result of these uncertainties, management has concluded that there is substantial doubt regarding our ability to continue as a going concern. We have been working with our external advisors to explore a range of options and have been engaging in dialogue with certain financial creditors and litigation claimants, together with their advisors. We remain in constructive negotiations with an ad hoc group of first lien creditors, among other parties, and, in light of the progress to date, we currently expect that these negotiations will likely result in a pre-arranged filing under Chapter 11 of the U.S. Bankruptcy Code by Endo International plc and substantially all of its subsidiaries, which could occur imminently. There can be no assurance of such an outcome. Any of the circumstances above would subject us to additional risks and uncertainties that could adversely affect our business prospects and ability to continue as a going concern, including, but not limited to, by causing increased difficulty obtaining and maintaining commercial relationships on competitive terms with customers, suppliers and other counterparties; increased difficulty retaining and motivating key employees, as well as attracting new employees; diversion of management’s time and attention to dealing with bankruptcy and restructuring activities rather than focusing exclusively on business operations; incurrence of substantial costs, fees and other expenses associated with bankruptcy proceedings; and loss of ability to maintain or obtain sufficient financing sources for operations or to fund any reorganization plan and meet future obligations.</w:t>
      </w:r>
    </w:p>
    <w:p>
      <w:pPr>
        <w:spacing w:after="0" w:line="8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would, in that event, also be subject to risks and uncertainties caused by the actions of creditors and other third parties with interests that may be inconsistent with our plans. For example, a bankruptcy filing could ultimately give rise to one or more events of default under the Credit Agreement governing our Credit Facilities and/or the indentures governing certain of our senior notes. Additionally, pursuant to the terms of the Credit Agreement, even if we do not ultimately declare bankruptcy, in the event we issue audited financial statements in the future that contain an audit opinion with going concern or similar qualifications or exceptions, it could result in, among other things, an event of default with respect to our Credit Facilities.</w:t>
      </w:r>
    </w:p>
    <w:p>
      <w:pPr>
        <w:spacing w:after="0" w:line="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one or more events of default were to occur under any of the agreements relating to our outstanding indebtedness, including without limitation as a result of us not making interest payments by the end of any applicable grace periods and/or us issuing audited financial statements containing an audit opinion with going concern or similar qualifications or exceptions, the holders of the defaulted debt could cause all amounts outstanding with respect to that debt to become due and payable immediately, terminate all commitments to extend further credit, foreclose against assets comprising the collateral securing or otherwise supporting the debt and pursue other legal remedies. Additionally, the instruments governing our debt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one or more events of default.</w:t>
      </w:r>
    </w:p>
    <w:p>
      <w:pPr>
        <w:spacing w:after="0" w:line="8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All of our indebtedness and litigation liabilities are senior to the existing ordinary shares in our capital structure. As a result, we believe that seeking bankruptcy court protection under a Chapter 11 proceeding could cause our ordinary shares to be canceled, resulting in no recovery for holders of our ordinary shares.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June 30, 2022.</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On August 9, 2022, the Company announced that it completed a calculation indicating that the net assets of Endo International plc, on an unconsolidated standalone basis and in accordance with the Companies Act 2014 and Financial Reporting Standard 102, the financial reporting standard applicable in the UK and Republic of Ireland, are half or less of the amount of its called-up share capital. Pursuant to Section 1111 of the Irish Companies Act 2014, where the net assets of a public limited company (PLC) are half or less of the amount of the PLC’s called-up share capital, the directors of the PLC shall, not later than 28 days after the earliest day on which that fact is known to a director of the PLC (the relevant day), duly convene an extraordinary general meeting of the PLC for the purpose of considering whether any, and if so what, measures should be taken to deal with the situation. In compliance with Section 1111, the Company will convene an extraordinary general meeting not later than 28 days after the relevant day for such purpose. The extraordinary general meeting will be convened for a date not later than 56 days after the relevant day.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11"/>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Section</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pursuant to 18 U.S.C. Section 1350, as adopted pursuant to Section</w:t>
            </w:r>
          </w:p>
        </w:tc>
        <w:tc>
          <w:tcPr>
            <w:tcW w:w="40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8"/>
                <w:szCs w:val="18"/>
                <w:color w:val="0000FF"/>
              </w:rPr>
              <w:t>906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64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Certification of the Chief Financial Officer of Endo pursuant to 18 U.S.C. </w:t>
            </w:r>
            <w:r>
              <w:rPr>
                <w:rFonts w:ascii="Times New Roman" w:cs="Times New Roman" w:eastAsia="Times New Roman" w:hAnsi="Times New Roman"/>
                <w:sz w:val="18"/>
                <w:szCs w:val="18"/>
                <w:color w:val="000000"/>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53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9"/>
                <w:szCs w:val="19"/>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0"/>
        </w:trPr>
        <w:tc>
          <w:tcPr>
            <w:tcW w:w="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Mark T. Bradley</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4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40"/>
          </w:cols>
          <w:pgMar w:left="320" w:top="114" w:right="5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9, 2022</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5" w:lineRule="exact"/>
        <w:rPr>
          <w:sz w:val="20"/>
          <w:szCs w:val="20"/>
          <w:color w:val="auto"/>
        </w:rPr>
      </w:pPr>
    </w:p>
    <w:p>
      <w:pPr>
        <w:ind w:left="420" w:right="460" w:firstLine="398"/>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0" w:lineRule="exact"/>
        <w:rPr>
          <w:sz w:val="20"/>
          <w:szCs w:val="20"/>
          <w:color w:val="auto"/>
        </w:rPr>
      </w:pPr>
    </w:p>
    <w:p>
      <w:pPr>
        <w:ind w:left="420" w:right="460" w:firstLine="398"/>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June 30,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T. BRADLEY</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4"/>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2"/>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2022-08-09T07:59:20Z</dcterms:created>
  <dcterms:modified xsi:type="dcterms:W3CDTF">2022-08-09T07:59:20Z</dcterms:modified>
</cp:coreProperties>
</file>