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ind w:left="4360"/>
        <w:spacing w:after="0" w:line="232" w:lineRule="auto"/>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jc w:val="center"/>
        <w:ind w:right="-19"/>
        <w:spacing w:after="0"/>
        <w:rPr>
          <w:sz w:val="20"/>
          <w:szCs w:val="20"/>
          <w:color w:val="auto"/>
        </w:rPr>
      </w:pPr>
      <w:r>
        <w:rPr>
          <w:rFonts w:ascii="Arial" w:cs="Arial" w:eastAsia="Arial" w:hAnsi="Arial"/>
          <w:sz w:val="23"/>
          <w:szCs w:val="23"/>
          <w:b w:val="1"/>
          <w:bCs w:val="1"/>
          <w:color w:val="auto"/>
        </w:rPr>
        <w:t>FORM 10-K</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(Mark One)</w:t>
      </w:r>
    </w:p>
    <w:p>
      <w:pPr>
        <w:spacing w:after="0" w:line="28" w:lineRule="exact"/>
        <w:rPr>
          <w:sz w:val="24"/>
          <w:szCs w:val="24"/>
          <w:color w:val="auto"/>
        </w:rPr>
      </w:pPr>
    </w:p>
    <w:p>
      <w:pPr>
        <w:ind w:left="4240" w:right="1920" w:hanging="2303"/>
        <w:spacing w:after="0" w:line="269" w:lineRule="auto"/>
        <w:tabs>
          <w:tab w:leader="none" w:pos="2239" w:val="left"/>
        </w:tabs>
        <w:numPr>
          <w:ilvl w:val="0"/>
          <w:numId w:val="1"/>
        </w:numPr>
        <w:rPr>
          <w:rFonts w:ascii="MS PGothic" w:cs="MS PGothic" w:eastAsia="MS PGothic" w:hAnsi="MS PGothic"/>
          <w:sz w:val="16"/>
          <w:szCs w:val="16"/>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2020</w:t>
      </w:r>
    </w:p>
    <w:p>
      <w:pPr>
        <w:spacing w:after="0" w:line="10" w:lineRule="exact"/>
        <w:rPr>
          <w:sz w:val="24"/>
          <w:szCs w:val="24"/>
          <w:color w:val="auto"/>
        </w:rPr>
      </w:pPr>
    </w:p>
    <w:p>
      <w:pPr>
        <w:jc w:val="center"/>
        <w:ind w:right="400"/>
        <w:spacing w:after="0"/>
        <w:rPr>
          <w:sz w:val="20"/>
          <w:szCs w:val="20"/>
          <w:color w:val="auto"/>
        </w:rPr>
      </w:pPr>
      <w:r>
        <w:rPr>
          <w:rFonts w:ascii="Arial" w:cs="Arial" w:eastAsia="Arial" w:hAnsi="Arial"/>
          <w:sz w:val="14"/>
          <w:szCs w:val="14"/>
          <w:b w:val="1"/>
          <w:bCs w:val="1"/>
          <w:color w:val="auto"/>
        </w:rPr>
        <w:t>or</w:t>
      </w:r>
    </w:p>
    <w:p>
      <w:pPr>
        <w:spacing w:after="0" w:line="94" w:lineRule="exact"/>
        <w:rPr>
          <w:sz w:val="24"/>
          <w:szCs w:val="24"/>
          <w:color w:val="auto"/>
        </w:rPr>
      </w:pPr>
    </w:p>
    <w:p>
      <w:pPr>
        <w:ind w:left="2120" w:hanging="345"/>
        <w:spacing w:after="0"/>
        <w:tabs>
          <w:tab w:leader="none" w:pos="2120" w:val="left"/>
        </w:tabs>
        <w:numPr>
          <w:ilvl w:val="0"/>
          <w:numId w:val="2"/>
        </w:numPr>
        <w:rPr>
          <w:rFonts w:ascii="MS PGothic" w:cs="MS PGothic" w:eastAsia="MS PGothic" w:hAnsi="MS PGothic"/>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5" w:lineRule="exact"/>
        <w:rPr>
          <w:sz w:val="24"/>
          <w:szCs w:val="24"/>
          <w:color w:val="auto"/>
        </w:rPr>
      </w:pPr>
    </w:p>
    <w:p>
      <w:pPr>
        <w:ind w:left="4480"/>
        <w:spacing w:after="0"/>
        <w:tabs>
          <w:tab w:leader="none" w:pos="66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Commission file number 001-36326</w:t>
      </w:r>
    </w:p>
    <w:p>
      <w:pPr>
        <w:spacing w:after="0" w:line="48" w:lineRule="exact"/>
        <w:rPr>
          <w:sz w:val="24"/>
          <w:szCs w:val="24"/>
          <w:color w:val="auto"/>
        </w:rPr>
      </w:pPr>
    </w:p>
    <w:p>
      <w:pPr>
        <w:ind w:left="436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Endo International plc</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00"/>
          </w:cols>
          <w:pgMar w:left="340" w:top="864" w:right="359" w:bottom="1440" w:gutter="0" w:footer="0" w:header="0"/>
        </w:sectPr>
      </w:pP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70"/>
        </w:trPr>
        <w:tc>
          <w:tcPr>
            <w:tcW w:w="16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0" w:type="dxa"/>
            <w:vAlign w:val="bottom"/>
            <w:gridSpan w:val="4"/>
          </w:tcPr>
          <w:p>
            <w:pPr>
              <w:jc w:val="right"/>
              <w:ind w:right="50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tc>
        <w:tc>
          <w:tcPr>
            <w:tcW w:w="360" w:type="dxa"/>
            <w:vAlign w:val="bottom"/>
          </w:tcPr>
          <w:p>
            <w:pPr>
              <w:spacing w:after="0"/>
              <w:rPr>
                <w:sz w:val="6"/>
                <w:szCs w:val="6"/>
                <w:color w:val="auto"/>
              </w:rPr>
            </w:pPr>
          </w:p>
        </w:tc>
        <w:tc>
          <w:tcPr>
            <w:tcW w:w="2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6"/>
        </w:trPr>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auto"/>
              </w:rPr>
              <w:t>Ireland</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3"/>
              </w:rPr>
              <w:t>68-0683755</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700" w:type="dxa"/>
            <w:vAlign w:val="bottom"/>
            <w:gridSpan w:val="8"/>
          </w:tcPr>
          <w:p>
            <w:pPr>
              <w:jc w:val="center"/>
              <w:ind w:right="1360"/>
              <w:spacing w:after="0"/>
              <w:rPr>
                <w:sz w:val="20"/>
                <w:szCs w:val="20"/>
                <w:color w:val="auto"/>
              </w:rPr>
            </w:pPr>
            <w:r>
              <w:rPr>
                <w:rFonts w:ascii="Arial" w:cs="Arial" w:eastAsia="Arial" w:hAnsi="Arial"/>
                <w:sz w:val="14"/>
                <w:szCs w:val="14"/>
                <w:color w:val="auto"/>
                <w:w w:val="94"/>
              </w:rPr>
              <w:t>State or other jurisdiction of incorporation or organization</w:t>
            </w:r>
          </w:p>
        </w:tc>
        <w:tc>
          <w:tcPr>
            <w:tcW w:w="2140" w:type="dxa"/>
            <w:vAlign w:val="bottom"/>
          </w:tcPr>
          <w:p>
            <w:pPr>
              <w:jc w:val="center"/>
              <w:spacing w:after="0"/>
              <w:rPr>
                <w:sz w:val="20"/>
                <w:szCs w:val="20"/>
                <w:color w:val="auto"/>
              </w:rPr>
            </w:pPr>
            <w:r>
              <w:rPr>
                <w:rFonts w:ascii="Arial" w:cs="Arial" w:eastAsia="Arial" w:hAnsi="Arial"/>
                <w:sz w:val="14"/>
                <w:szCs w:val="14"/>
                <w:color w:val="auto"/>
                <w:w w:val="96"/>
              </w:rPr>
              <w:t>(I.R.S. Employer Identification No.)</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6080" w:type="dxa"/>
            <w:vAlign w:val="bottom"/>
            <w:gridSpan w:val="7"/>
          </w:tcPr>
          <w:p>
            <w:pPr>
              <w:jc w:val="center"/>
              <w:ind w:right="3000"/>
              <w:spacing w:after="0"/>
              <w:rPr>
                <w:sz w:val="20"/>
                <w:szCs w:val="20"/>
                <w:color w:val="auto"/>
              </w:rPr>
            </w:pPr>
            <w:r>
              <w:rPr>
                <w:rFonts w:ascii="Arial" w:cs="Arial" w:eastAsia="Arial" w:hAnsi="Arial"/>
                <w:sz w:val="14"/>
                <w:szCs w:val="14"/>
                <w:b w:val="1"/>
                <w:bCs w:val="1"/>
                <w:color w:val="auto"/>
                <w:w w:val="93"/>
              </w:rPr>
              <w:t>First Floor, Minerva House, Simmonscourt Road</w:t>
            </w:r>
          </w:p>
        </w:tc>
        <w:tc>
          <w:tcPr>
            <w:tcW w:w="2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2120" w:type="dxa"/>
            <w:vAlign w:val="bottom"/>
            <w:gridSpan w:val="2"/>
          </w:tcPr>
          <w:p>
            <w:pPr>
              <w:ind w:left="180"/>
              <w:spacing w:after="0"/>
              <w:rPr>
                <w:sz w:val="20"/>
                <w:szCs w:val="20"/>
                <w:color w:val="auto"/>
              </w:rPr>
            </w:pPr>
            <w:r>
              <w:rPr>
                <w:rFonts w:ascii="Arial" w:cs="Arial" w:eastAsia="Arial" w:hAnsi="Arial"/>
                <w:sz w:val="14"/>
                <w:szCs w:val="14"/>
                <w:b w:val="1"/>
                <w:bCs w:val="1"/>
                <w:color w:val="auto"/>
                <w:w w:val="99"/>
              </w:rPr>
              <w:t>Ballsbridge, Dublin 4, Ireland</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3"/>
              </w:rPr>
              <w:t>Not Applicable</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6080" w:type="dxa"/>
            <w:vAlign w:val="bottom"/>
            <w:gridSpan w:val="7"/>
          </w:tcPr>
          <w:p>
            <w:pPr>
              <w:jc w:val="center"/>
              <w:ind w:right="3000"/>
              <w:spacing w:after="0"/>
              <w:rPr>
                <w:sz w:val="20"/>
                <w:szCs w:val="20"/>
                <w:color w:val="auto"/>
              </w:rPr>
            </w:pPr>
            <w:r>
              <w:rPr>
                <w:rFonts w:ascii="Arial" w:cs="Arial" w:eastAsia="Arial" w:hAnsi="Arial"/>
                <w:sz w:val="14"/>
                <w:szCs w:val="14"/>
                <w:color w:val="auto"/>
                <w:w w:val="95"/>
              </w:rPr>
              <w:t>(Address of principal executive offices)</w:t>
            </w:r>
          </w:p>
        </w:tc>
        <w:tc>
          <w:tcPr>
            <w:tcW w:w="2140" w:type="dxa"/>
            <w:vAlign w:val="bottom"/>
          </w:tcPr>
          <w:p>
            <w:pPr>
              <w:jc w:val="center"/>
              <w:spacing w:after="0"/>
              <w:rPr>
                <w:sz w:val="20"/>
                <w:szCs w:val="20"/>
                <w:color w:val="auto"/>
              </w:rPr>
            </w:pPr>
            <w:r>
              <w:rPr>
                <w:rFonts w:ascii="Arial" w:cs="Arial" w:eastAsia="Arial" w:hAnsi="Arial"/>
                <w:sz w:val="14"/>
                <w:szCs w:val="14"/>
                <w:color w:val="auto"/>
                <w:w w:val="96"/>
              </w:rPr>
              <w:t>(Zip Code)</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0" w:type="dxa"/>
            <w:vAlign w:val="bottom"/>
            <w:gridSpan w:val="4"/>
          </w:tcPr>
          <w:p>
            <w:pPr>
              <w:jc w:val="right"/>
              <w:ind w:right="1060"/>
              <w:spacing w:after="0"/>
              <w:rPr>
                <w:sz w:val="20"/>
                <w:szCs w:val="20"/>
                <w:color w:val="auto"/>
              </w:rPr>
            </w:pPr>
            <w:r>
              <w:rPr>
                <w:rFonts w:ascii="Arial" w:cs="Arial" w:eastAsia="Arial" w:hAnsi="Arial"/>
                <w:sz w:val="16"/>
                <w:szCs w:val="16"/>
                <w:b w:val="1"/>
                <w:bCs w:val="1"/>
                <w:color w:val="auto"/>
              </w:rPr>
              <w:t>011-353-1-268-2000</w:t>
            </w:r>
          </w:p>
        </w:tc>
        <w:tc>
          <w:tcPr>
            <w:tcW w:w="3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1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gridSpan w:val="4"/>
          </w:tcPr>
          <w:p>
            <w:pPr>
              <w:jc w:val="center"/>
              <w:ind w:right="360"/>
              <w:spacing w:after="0"/>
              <w:rPr>
                <w:sz w:val="20"/>
                <w:szCs w:val="20"/>
                <w:color w:val="auto"/>
              </w:rPr>
            </w:pPr>
            <w:r>
              <w:rPr>
                <w:rFonts w:ascii="Arial" w:cs="Arial" w:eastAsia="Arial" w:hAnsi="Arial"/>
                <w:sz w:val="14"/>
                <w:szCs w:val="14"/>
                <w:color w:val="auto"/>
                <w:w w:val="92"/>
              </w:rPr>
              <w:t>Registrant’s telephone number, including area code</w:t>
            </w:r>
          </w:p>
        </w:tc>
        <w:tc>
          <w:tcPr>
            <w:tcW w:w="2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9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1620" w:type="dxa"/>
            <w:vAlign w:val="bottom"/>
          </w:tcPr>
          <w:p>
            <w:pPr>
              <w:spacing w:after="0"/>
              <w:rPr>
                <w:sz w:val="23"/>
                <w:szCs w:val="23"/>
                <w:color w:val="auto"/>
              </w:rPr>
            </w:pPr>
          </w:p>
        </w:tc>
        <w:tc>
          <w:tcPr>
            <w:tcW w:w="2120" w:type="dxa"/>
            <w:vAlign w:val="bottom"/>
            <w:gridSpan w:val="2"/>
          </w:tcPr>
          <w:p>
            <w:pPr>
              <w:jc w:val="center"/>
              <w:ind w:right="968"/>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68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92"/>
              </w:rPr>
              <w:t>Trading Symbol(s)</w:t>
            </w:r>
          </w:p>
        </w:tc>
        <w:tc>
          <w:tcPr>
            <w:tcW w:w="28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740" w:type="dxa"/>
            <w:vAlign w:val="bottom"/>
            <w:gridSpan w:val="3"/>
          </w:tcPr>
          <w:p>
            <w:pPr>
              <w:jc w:val="center"/>
              <w:ind w:left="528"/>
              <w:spacing w:after="0"/>
              <w:rPr>
                <w:sz w:val="20"/>
                <w:szCs w:val="20"/>
                <w:color w:val="auto"/>
              </w:rPr>
            </w:pPr>
            <w:r>
              <w:rPr>
                <w:rFonts w:ascii="Arial" w:cs="Arial" w:eastAsia="Arial" w:hAnsi="Arial"/>
                <w:sz w:val="14"/>
                <w:szCs w:val="14"/>
                <w:color w:val="auto"/>
                <w:w w:val="91"/>
              </w:rPr>
              <w:t>Ordinary shares, nominal value $0.0001 per share</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gridSpan w:val="3"/>
          </w:tcPr>
          <w:p>
            <w:pPr>
              <w:jc w:val="center"/>
              <w:ind w:right="1540"/>
              <w:spacing w:after="0"/>
              <w:rPr>
                <w:sz w:val="20"/>
                <w:szCs w:val="20"/>
                <w:color w:val="auto"/>
              </w:rPr>
            </w:pPr>
            <w:r>
              <w:rPr>
                <w:rFonts w:ascii="Arial" w:cs="Arial" w:eastAsia="Arial" w:hAnsi="Arial"/>
                <w:sz w:val="14"/>
                <w:szCs w:val="14"/>
                <w:color w:val="auto"/>
                <w:w w:val="97"/>
              </w:rPr>
              <w:t>ENDP</w:t>
            </w:r>
          </w:p>
        </w:tc>
        <w:tc>
          <w:tcPr>
            <w:tcW w:w="2500" w:type="dxa"/>
            <w:vAlign w:val="bottom"/>
            <w:gridSpan w:val="2"/>
          </w:tcPr>
          <w:p>
            <w:pPr>
              <w:jc w:val="center"/>
              <w:ind w:left="108"/>
              <w:spacing w:after="0"/>
              <w:rPr>
                <w:sz w:val="20"/>
                <w:szCs w:val="20"/>
                <w:color w:val="auto"/>
              </w:rPr>
            </w:pPr>
            <w:r>
              <w:rPr>
                <w:rFonts w:ascii="Arial" w:cs="Arial" w:eastAsia="Arial" w:hAnsi="Arial"/>
                <w:sz w:val="14"/>
                <w:szCs w:val="14"/>
                <w:color w:val="auto"/>
                <w:w w:val="95"/>
              </w:rPr>
              <w:t>The NASDAQ Global Select Market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0"/>
              </w:rPr>
              <w:t>Securities registered pursuant to section 12(g) of the Act:</w:t>
            </w:r>
          </w:p>
        </w:tc>
        <w:tc>
          <w:tcPr>
            <w:tcW w:w="2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gridSpan w:val="2"/>
          </w:tcPr>
          <w:p>
            <w:pPr>
              <w:jc w:val="center"/>
              <w:ind w:right="1160"/>
              <w:spacing w:after="0"/>
              <w:rPr>
                <w:sz w:val="20"/>
                <w:szCs w:val="20"/>
                <w:color w:val="auto"/>
              </w:rPr>
            </w:pPr>
            <w:r>
              <w:rPr>
                <w:rFonts w:ascii="Arial" w:cs="Arial" w:eastAsia="Arial" w:hAnsi="Arial"/>
                <w:sz w:val="14"/>
                <w:szCs w:val="14"/>
                <w:color w:val="auto"/>
                <w:w w:val="95"/>
              </w:rPr>
              <w:t>None</w:t>
            </w:r>
          </w:p>
        </w:tc>
        <w:tc>
          <w:tcPr>
            <w:tcW w:w="3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7700" w:type="dxa"/>
            <w:vAlign w:val="bottom"/>
            <w:gridSpan w:val="8"/>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214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Yes</w:t>
            </w:r>
          </w:p>
        </w:tc>
        <w:tc>
          <w:tcPr>
            <w:tcW w:w="340" w:type="dxa"/>
            <w:vAlign w:val="bottom"/>
            <w:gridSpan w:val="2"/>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280" w:type="dxa"/>
            <w:vAlign w:val="bottom"/>
          </w:tcPr>
          <w:p>
            <w:pPr>
              <w:ind w:left="100"/>
              <w:spacing w:after="0"/>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243"/>
        </w:trPr>
        <w:tc>
          <w:tcPr>
            <w:tcW w:w="7700" w:type="dxa"/>
            <w:vAlign w:val="bottom"/>
            <w:gridSpan w:val="8"/>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tc>
        <w:tc>
          <w:tcPr>
            <w:tcW w:w="214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Yes</w:t>
            </w:r>
          </w:p>
        </w:tc>
        <w:tc>
          <w:tcPr>
            <w:tcW w:w="340" w:type="dxa"/>
            <w:vAlign w:val="bottom"/>
            <w:gridSpan w:val="2"/>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280" w:type="dxa"/>
            <w:vAlign w:val="bottom"/>
          </w:tcPr>
          <w:p>
            <w:pPr>
              <w:ind w:left="100"/>
              <w:spacing w:after="0"/>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178"/>
        </w:trPr>
        <w:tc>
          <w:tcPr>
            <w:tcW w:w="9840" w:type="dxa"/>
            <w:vAlign w:val="bottom"/>
            <w:gridSpan w:val="9"/>
          </w:tcPr>
          <w:p>
            <w:pPr>
              <w:spacing w:after="0"/>
              <w:rPr>
                <w:sz w:val="20"/>
                <w:szCs w:val="20"/>
                <w:color w:val="auto"/>
              </w:rPr>
            </w:pPr>
            <w:r>
              <w:rPr>
                <w:rFonts w:ascii="Arial" w:cs="Arial" w:eastAsia="Arial" w:hAnsi="Arial"/>
                <w:sz w:val="14"/>
                <w:szCs w:val="14"/>
                <w:color w:val="auto"/>
                <w:w w:val="98"/>
              </w:rPr>
              <w:t>Indicate by check mark whether the registrant (1) has filed all reports required to be filed by Section 13 or 15(d) of the Securities Exchange Act of 1934 during the</w:t>
            </w:r>
          </w:p>
        </w:tc>
        <w:tc>
          <w:tcPr>
            <w:tcW w:w="360" w:type="dxa"/>
            <w:vAlign w:val="bottom"/>
          </w:tcPr>
          <w:p>
            <w:pPr>
              <w:ind w:left="20"/>
              <w:spacing w:after="0"/>
              <w:rPr>
                <w:sz w:val="20"/>
                <w:szCs w:val="20"/>
                <w:color w:val="auto"/>
              </w:rPr>
            </w:pPr>
            <w:r>
              <w:rPr>
                <w:rFonts w:ascii="Arial" w:cs="Arial" w:eastAsia="Arial" w:hAnsi="Arial"/>
                <w:sz w:val="14"/>
                <w:szCs w:val="14"/>
                <w:color w:val="auto"/>
              </w:rPr>
              <w:t>Yes</w:t>
            </w:r>
          </w:p>
        </w:tc>
        <w:tc>
          <w:tcPr>
            <w:tcW w:w="340" w:type="dxa"/>
            <w:vAlign w:val="bottom"/>
            <w:gridSpan w:val="2"/>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280" w:type="dxa"/>
            <w:vAlign w:val="bottom"/>
          </w:tcPr>
          <w:p>
            <w:pPr>
              <w:ind w:left="100"/>
              <w:spacing w:after="0"/>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128"/>
        </w:trPr>
        <w:tc>
          <w:tcPr>
            <w:tcW w:w="9840" w:type="dxa"/>
            <w:vAlign w:val="bottom"/>
            <w:gridSpan w:val="9"/>
          </w:tcPr>
          <w:p>
            <w:pPr>
              <w:spacing w:after="0" w:line="129" w:lineRule="exact"/>
              <w:rPr>
                <w:sz w:val="20"/>
                <w:szCs w:val="20"/>
                <w:color w:val="auto"/>
              </w:rPr>
            </w:pPr>
            <w:r>
              <w:rPr>
                <w:rFonts w:ascii="Arial" w:cs="Arial" w:eastAsia="Arial" w:hAnsi="Arial"/>
                <w:sz w:val="14"/>
                <w:szCs w:val="14"/>
                <w:color w:val="auto"/>
                <w:w w:val="94"/>
              </w:rPr>
              <w:t>preceding 12 months (or for such shorter period that the registrant was required to file such reports), and (2) has been subject to such filing requirements for the past 90</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740" w:type="dxa"/>
            <w:vAlign w:val="bottom"/>
            <w:gridSpan w:val="3"/>
          </w:tcPr>
          <w:p>
            <w:pPr>
              <w:spacing w:after="0"/>
              <w:rPr>
                <w:sz w:val="20"/>
                <w:szCs w:val="20"/>
                <w:color w:val="auto"/>
              </w:rPr>
            </w:pPr>
            <w:r>
              <w:rPr>
                <w:rFonts w:ascii="Arial" w:cs="Arial" w:eastAsia="Arial" w:hAnsi="Arial"/>
                <w:sz w:val="14"/>
                <w:szCs w:val="14"/>
                <w:color w:val="auto"/>
              </w:rPr>
              <w:t>days.</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9840" w:type="dxa"/>
            <w:vAlign w:val="bottom"/>
            <w:gridSpan w:val="9"/>
            <w:vMerge w:val="restart"/>
          </w:tcPr>
          <w:p>
            <w:pPr>
              <w:spacing w:after="0"/>
              <w:rPr>
                <w:sz w:val="20"/>
                <w:szCs w:val="20"/>
                <w:color w:val="auto"/>
              </w:rPr>
            </w:pPr>
            <w:r>
              <w:rPr>
                <w:rFonts w:ascii="Arial" w:cs="Arial" w:eastAsia="Arial" w:hAnsi="Arial"/>
                <w:sz w:val="14"/>
                <w:szCs w:val="14"/>
                <w:color w:val="auto"/>
                <w:w w:val="95"/>
              </w:rPr>
              <w:t>Indicate by check mark whether the registrant has submitted electronically every Interactive Data File required to be submitted pursuant to Rule 405 of Regulation S-T</w:t>
            </w:r>
          </w:p>
        </w:tc>
        <w:tc>
          <w:tcPr>
            <w:tcW w:w="360" w:type="dxa"/>
            <w:vAlign w:val="bottom"/>
          </w:tcPr>
          <w:p>
            <w:pPr>
              <w:ind w:left="20"/>
              <w:spacing w:after="0"/>
              <w:rPr>
                <w:sz w:val="20"/>
                <w:szCs w:val="20"/>
                <w:color w:val="auto"/>
              </w:rPr>
            </w:pPr>
            <w:r>
              <w:rPr>
                <w:rFonts w:ascii="Arial" w:cs="Arial" w:eastAsia="Arial" w:hAnsi="Arial"/>
                <w:sz w:val="14"/>
                <w:szCs w:val="14"/>
                <w:color w:val="auto"/>
              </w:rPr>
              <w:t>Yes</w:t>
            </w:r>
          </w:p>
        </w:tc>
        <w:tc>
          <w:tcPr>
            <w:tcW w:w="340" w:type="dxa"/>
            <w:vAlign w:val="bottom"/>
            <w:gridSpan w:val="2"/>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280" w:type="dxa"/>
            <w:vAlign w:val="bottom"/>
          </w:tcPr>
          <w:p>
            <w:pPr>
              <w:ind w:left="100"/>
              <w:spacing w:after="0"/>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43"/>
        </w:trPr>
        <w:tc>
          <w:tcPr>
            <w:tcW w:w="9840" w:type="dxa"/>
            <w:vAlign w:val="bottom"/>
            <w:gridSpan w:val="9"/>
            <w:vMerge w:val="continue"/>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(§232.405 of this chapter) during the preceding 12 months (or for such shorter period that the registrant was required to submit such files).</w:t>
      </w:r>
    </w:p>
    <w:p>
      <w:pPr>
        <w:spacing w:after="0" w:line="246" w:lineRule="exact"/>
        <w:rPr>
          <w:sz w:val="24"/>
          <w:szCs w:val="24"/>
          <w:color w:val="auto"/>
        </w:rPr>
      </w:pPr>
    </w:p>
    <w:p>
      <w:pPr>
        <w:jc w:val="both"/>
        <w:ind w:right="20"/>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161" w:lineRule="exact"/>
        <w:tabs>
          <w:tab w:leader="none" w:pos="2560" w:val="left"/>
          <w:tab w:leader="none" w:pos="3740" w:val="left"/>
          <w:tab w:leader="none" w:pos="72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2"/>
          <w:szCs w:val="12"/>
          <w:color w:val="auto"/>
        </w:rPr>
        <w:t>☐</w:t>
      </w:r>
    </w:p>
    <w:p>
      <w:pPr>
        <w:spacing w:after="0" w:line="47" w:lineRule="exact"/>
        <w:rPr>
          <w:sz w:val="24"/>
          <w:szCs w:val="24"/>
          <w:color w:val="auto"/>
        </w:rPr>
      </w:pPr>
    </w:p>
    <w:p>
      <w:pPr>
        <w:spacing w:after="0" w:line="161" w:lineRule="exact"/>
        <w:tabs>
          <w:tab w:leader="none" w:pos="2560" w:val="left"/>
          <w:tab w:leader="none" w:pos="3740" w:val="left"/>
          <w:tab w:leader="none" w:pos="724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Emerging growth company</w:t>
      </w:r>
    </w:p>
    <w:p>
      <w:pPr>
        <w:spacing w:after="0" w:line="138" w:lineRule="exact"/>
        <w:rPr>
          <w:sz w:val="24"/>
          <w:szCs w:val="24"/>
          <w:color w:val="auto"/>
        </w:rPr>
      </w:pPr>
    </w:p>
    <w:p>
      <w:pPr>
        <w:ind w:right="1360"/>
        <w:spacing w:after="0" w:line="236"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61" w:lineRule="exact"/>
        <w:rPr>
          <w:sz w:val="24"/>
          <w:szCs w:val="24"/>
          <w:color w:val="auto"/>
        </w:rPr>
      </w:pPr>
    </w:p>
    <w:p>
      <w:pPr>
        <w:ind w:right="1140"/>
        <w:spacing w:after="0" w:line="269" w:lineRule="auto"/>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9" w:lineRule="exact"/>
        <w:rPr>
          <w:sz w:val="24"/>
          <w:szCs w:val="24"/>
          <w:color w:val="auto"/>
        </w:rPr>
      </w:pPr>
    </w:p>
    <w:p>
      <w:pPr>
        <w:spacing w:after="0" w:line="161" w:lineRule="exact"/>
        <w:tabs>
          <w:tab w:leader="none" w:pos="9840" w:val="left"/>
          <w:tab w:leader="none" w:pos="10300" w:val="left"/>
          <w:tab w:leader="none" w:pos="106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r>
      <w:r>
        <w:rPr>
          <w:sz w:val="20"/>
          <w:szCs w:val="20"/>
          <w:color w:val="auto"/>
        </w:rPr>
        <w:tab/>
      </w: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7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7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20" w:lineRule="exact"/>
        <w:rPr>
          <w:sz w:val="24"/>
          <w:szCs w:val="24"/>
          <w:color w:val="auto"/>
        </w:rPr>
      </w:pPr>
    </w:p>
    <w:p>
      <w:pPr>
        <w:sectPr>
          <w:pgSz w:w="11900" w:h="16838" w:orient="portrait"/>
          <w:cols w:equalWidth="0" w:num="2">
            <w:col w:w="10820" w:space="240"/>
            <w:col w:w="140"/>
          </w:cols>
          <w:pgMar w:left="340" w:top="864" w:right="359" w:bottom="1440" w:gutter="0" w:footer="0" w:header="0"/>
          <w:type w:val="continuous"/>
        </w:sectPr>
      </w:pPr>
    </w:p>
    <w:p>
      <w:pPr>
        <w:spacing w:after="0" w:line="58" w:lineRule="exact"/>
        <w:rPr>
          <w:sz w:val="24"/>
          <w:szCs w:val="24"/>
          <w:color w:val="auto"/>
        </w:rPr>
      </w:pPr>
    </w:p>
    <w:p>
      <w:pPr>
        <w:ind w:right="60"/>
        <w:spacing w:after="0" w:line="218" w:lineRule="auto"/>
        <w:rPr>
          <w:sz w:val="20"/>
          <w:szCs w:val="20"/>
          <w:color w:val="auto"/>
        </w:rPr>
      </w:pPr>
      <w:r>
        <w:rPr>
          <w:rFonts w:ascii="Arial" w:cs="Arial" w:eastAsia="Arial" w:hAnsi="Arial"/>
          <w:sz w:val="14"/>
          <w:szCs w:val="14"/>
          <w:color w:val="auto"/>
        </w:rPr>
        <w:t>The aggregate market value of the voting common equity (ordinary shares) held by non-affiliates as of June 30, 2020 (the last business day of the registrant’s most recently completed second fiscal quarter) was $778,542,515 based on a closing sale price of $3.43 per share as reported on The NASDAQ Global Select Market on that date. Ordinary shares held by each officer and director have been excluded since such persons and beneficial owners may be deemed to be affiliates. This determination of affiliate status is not necessarily a conclusive determination for other purposes. The registrant has no non-voting ordinary shares authorized or outstanding.</w:t>
      </w:r>
    </w:p>
    <w:p>
      <w:pPr>
        <w:spacing w:after="0" w:line="17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ordinary shares, nominal value $0.0001 per share outstanding as of February 18, 2021 was 230,500,639.</w:t>
      </w:r>
    </w:p>
    <w:p>
      <w:pPr>
        <w:spacing w:after="0" w:line="7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54" w:lineRule="exact"/>
        <w:rPr>
          <w:sz w:val="24"/>
          <w:szCs w:val="24"/>
          <w:color w:val="auto"/>
        </w:rPr>
      </w:pPr>
    </w:p>
    <w:p>
      <w:pPr>
        <w:ind w:right="100"/>
        <w:spacing w:after="0" w:line="224" w:lineRule="auto"/>
        <w:rPr>
          <w:sz w:val="20"/>
          <w:szCs w:val="20"/>
          <w:color w:val="auto"/>
        </w:rPr>
      </w:pPr>
      <w:r>
        <w:rPr>
          <w:rFonts w:ascii="Arial" w:cs="Arial" w:eastAsia="Arial" w:hAnsi="Arial"/>
          <w:sz w:val="14"/>
          <w:szCs w:val="14"/>
          <w:color w:val="auto"/>
        </w:rPr>
        <w:t>Portions of the registrant’s proxy statement pursuant to Regulation 14A relating to its 2021 Annual General Meeting, to be filed with the Securities and Exchange Commission subsequent to the date hereof, are incorporated by reference into Part III of this Form 10-K. Such proxy statement will be filed with the Securities and Exchange Commission no later than 120 days after the conclusion of the registrant’s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64"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19"/>
                <w:szCs w:val="19"/>
                <w:color w:val="auto"/>
              </w:rPr>
            </w:pPr>
          </w:p>
        </w:tc>
        <w:tc>
          <w:tcPr>
            <w:tcW w:w="10020" w:type="dxa"/>
            <w:vAlign w:val="bottom"/>
          </w:tcPr>
          <w:p>
            <w:pPr>
              <w:jc w:val="center"/>
              <w:ind w:right="350"/>
              <w:spacing w:after="0"/>
              <w:rPr>
                <w:sz w:val="20"/>
                <w:szCs w:val="20"/>
                <w:color w:val="auto"/>
              </w:rPr>
            </w:pPr>
            <w:r>
              <w:rPr>
                <w:rFonts w:ascii="Arial" w:cs="Arial" w:eastAsia="Arial" w:hAnsi="Arial"/>
                <w:sz w:val="18"/>
                <w:szCs w:val="18"/>
                <w:b w:val="1"/>
                <w:bCs w:val="1"/>
                <w:color w:val="auto"/>
              </w:rPr>
              <w:t>ENDO INTERNATIONAL PLC</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40" w:type="dxa"/>
            <w:vAlign w:val="bottom"/>
          </w:tcPr>
          <w:p>
            <w:pPr>
              <w:spacing w:after="0"/>
              <w:rPr>
                <w:sz w:val="19"/>
                <w:szCs w:val="19"/>
                <w:color w:val="auto"/>
              </w:rPr>
            </w:pPr>
          </w:p>
        </w:tc>
        <w:tc>
          <w:tcPr>
            <w:tcW w:w="10020" w:type="dxa"/>
            <w:vAlign w:val="bottom"/>
          </w:tcPr>
          <w:p>
            <w:pPr>
              <w:jc w:val="center"/>
              <w:ind w:right="350"/>
              <w:spacing w:after="0"/>
              <w:rPr>
                <w:sz w:val="20"/>
                <w:szCs w:val="20"/>
                <w:color w:val="auto"/>
              </w:rPr>
            </w:pPr>
            <w:r>
              <w:rPr>
                <w:rFonts w:ascii="Arial" w:cs="Arial" w:eastAsia="Arial" w:hAnsi="Arial"/>
                <w:sz w:val="18"/>
                <w:szCs w:val="18"/>
                <w:b w:val="1"/>
                <w:bCs w:val="1"/>
                <w:color w:val="auto"/>
              </w:rPr>
              <w:t>INDEX TO FORM 10-K</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840" w:type="dxa"/>
            <w:vAlign w:val="bottom"/>
          </w:tcPr>
          <w:p>
            <w:pPr>
              <w:spacing w:after="0"/>
              <w:rPr>
                <w:sz w:val="20"/>
                <w:szCs w:val="20"/>
                <w:color w:val="auto"/>
              </w:rPr>
            </w:pPr>
          </w:p>
        </w:tc>
        <w:tc>
          <w:tcPr>
            <w:tcW w:w="10020" w:type="dxa"/>
            <w:vAlign w:val="bottom"/>
          </w:tcPr>
          <w:p>
            <w:pPr>
              <w:jc w:val="center"/>
              <w:ind w:right="370"/>
              <w:spacing w:after="0"/>
              <w:rPr>
                <w:sz w:val="20"/>
                <w:szCs w:val="20"/>
                <w:color w:val="auto"/>
              </w:rPr>
            </w:pPr>
            <w:r>
              <w:rPr>
                <w:rFonts w:ascii="Arial" w:cs="Arial" w:eastAsia="Arial" w:hAnsi="Arial"/>
                <w:sz w:val="18"/>
                <w:szCs w:val="18"/>
                <w:b w:val="1"/>
                <w:bCs w:val="1"/>
                <w:color w:val="auto"/>
                <w:w w:val="98"/>
              </w:rPr>
              <w:t>FOR THE YEAR ENDED DECEMBER 31, 2020</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3"/>
        </w:trPr>
        <w:tc>
          <w:tcPr>
            <w:tcW w:w="840" w:type="dxa"/>
            <w:vAlign w:val="bottom"/>
          </w:tcPr>
          <w:p>
            <w:pPr>
              <w:spacing w:after="0"/>
              <w:rPr>
                <w:sz w:val="24"/>
                <w:szCs w:val="24"/>
                <w:color w:val="auto"/>
              </w:rPr>
            </w:pPr>
          </w:p>
        </w:tc>
        <w:tc>
          <w:tcPr>
            <w:tcW w:w="1002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r>
      <w:tr>
        <w:trPr>
          <w:trHeight w:val="20"/>
        </w:trPr>
        <w:tc>
          <w:tcPr>
            <w:tcW w:w="1086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860" w:type="dxa"/>
            <w:vAlign w:val="bottom"/>
            <w:gridSpan w:val="2"/>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Forward-Looking Statements</w:t>
              </w:r>
            </w:hyperlink>
          </w:p>
        </w:tc>
        <w:tc>
          <w:tcPr>
            <w:tcW w:w="380" w:type="dxa"/>
            <w:vAlign w:val="bottom"/>
            <w:gridSpan w:val="2"/>
          </w:tcPr>
          <w:p>
            <w:pPr>
              <w:jc w:val="right"/>
              <w:ind w:righ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w:t>
              </w:r>
            </w:hyperlink>
          </w:p>
        </w:tc>
      </w:tr>
      <w:tr>
        <w:trPr>
          <w:trHeight w:val="499"/>
        </w:trPr>
        <w:tc>
          <w:tcPr>
            <w:tcW w:w="840" w:type="dxa"/>
            <w:vAlign w:val="bottom"/>
          </w:tcPr>
          <w:p>
            <w:pPr>
              <w:spacing w:after="0"/>
              <w:rPr>
                <w:sz w:val="24"/>
                <w:szCs w:val="24"/>
                <w:color w:val="auto"/>
              </w:rPr>
            </w:pPr>
          </w:p>
        </w:tc>
        <w:tc>
          <w:tcPr>
            <w:tcW w:w="10020" w:type="dxa"/>
            <w:vAlign w:val="bottom"/>
          </w:tcPr>
          <w:p>
            <w:pPr>
              <w:jc w:val="center"/>
              <w:ind w:right="1950"/>
              <w:spacing w:after="0"/>
              <w:rPr>
                <w:rFonts w:ascii="Arial" w:cs="Arial" w:eastAsia="Arial" w:hAnsi="Arial"/>
                <w:sz w:val="18"/>
                <w:szCs w:val="18"/>
                <w:b w:val="1"/>
                <w:bCs w:val="1"/>
                <w:u w:val="single" w:color="auto"/>
                <w:color w:val="0000FF"/>
                <w:w w:val="98"/>
              </w:rPr>
            </w:pPr>
            <w:hyperlink w:anchor="page3">
              <w:r>
                <w:rPr>
                  <w:rFonts w:ascii="Arial" w:cs="Arial" w:eastAsia="Arial" w:hAnsi="Arial"/>
                  <w:sz w:val="18"/>
                  <w:szCs w:val="18"/>
                  <w:b w:val="1"/>
                  <w:bCs w:val="1"/>
                  <w:u w:val="single" w:color="auto"/>
                  <w:color w:val="0000FF"/>
                  <w:w w:val="98"/>
                </w:rPr>
                <w:t>PART I</w:t>
              </w:r>
            </w:hyperlink>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840" w:type="dxa"/>
            <w:vAlign w:val="bottom"/>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10020" w:type="dxa"/>
            <w:vAlign w:val="bottom"/>
          </w:tcPr>
          <w:p>
            <w:pPr>
              <w:ind w:left="1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Business</w:t>
              </w:r>
            </w:hyperlink>
          </w:p>
        </w:tc>
        <w:tc>
          <w:tcPr>
            <w:tcW w:w="36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w:t>
              </w:r>
            </w:hyperlink>
          </w:p>
        </w:tc>
        <w:tc>
          <w:tcPr>
            <w:tcW w:w="20" w:type="dxa"/>
            <w:vAlign w:val="bottom"/>
          </w:tcPr>
          <w:p>
            <w:pPr>
              <w:spacing w:after="0"/>
              <w:rPr>
                <w:sz w:val="19"/>
                <w:szCs w:val="19"/>
                <w:color w:val="auto"/>
              </w:rPr>
            </w:pPr>
          </w:p>
        </w:tc>
      </w:tr>
      <w:tr>
        <w:trPr>
          <w:trHeight w:val="230"/>
        </w:trPr>
        <w:tc>
          <w:tcPr>
            <w:tcW w:w="840" w:type="dxa"/>
            <w:vAlign w:val="bottom"/>
          </w:tcPr>
          <w:p>
            <w:pPr>
              <w:ind w:left="20"/>
              <w:spacing w:after="0"/>
              <w:rPr>
                <w:rFonts w:ascii="Arial" w:cs="Arial" w:eastAsia="Arial" w:hAnsi="Arial"/>
                <w:sz w:val="18"/>
                <w:szCs w:val="18"/>
                <w:color w:val="0000FF"/>
              </w:rPr>
            </w:pPr>
            <w:hyperlink w:anchor="page20">
              <w:r>
                <w:rPr>
                  <w:rFonts w:ascii="Arial" w:cs="Arial" w:eastAsia="Arial" w:hAnsi="Arial"/>
                  <w:sz w:val="18"/>
                  <w:szCs w:val="18"/>
                  <w:u w:val="single" w:color="auto"/>
                  <w:color w:val="0000FF"/>
                </w:rPr>
                <w:t>Item 1A</w:t>
              </w:r>
            </w:hyperlink>
            <w:r>
              <w:rPr>
                <w:rFonts w:ascii="Arial" w:cs="Arial" w:eastAsia="Arial" w:hAnsi="Arial"/>
                <w:sz w:val="18"/>
                <w:szCs w:val="18"/>
                <w:color w:val="000000"/>
              </w:rPr>
              <w:t>.</w:t>
            </w:r>
          </w:p>
        </w:tc>
        <w:tc>
          <w:tcPr>
            <w:tcW w:w="10020" w:type="dxa"/>
            <w:vAlign w:val="bottom"/>
          </w:tcPr>
          <w:p>
            <w:pPr>
              <w:ind w:left="12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Risk Factors</w:t>
              </w:r>
            </w:hyperlink>
          </w:p>
        </w:tc>
        <w:tc>
          <w:tcPr>
            <w:tcW w:w="360" w:type="dxa"/>
            <w:vAlign w:val="bottom"/>
          </w:tcPr>
          <w:p>
            <w:pPr>
              <w:jc w:val="right"/>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17</w:t>
              </w:r>
            </w:hyperlink>
          </w:p>
        </w:tc>
        <w:tc>
          <w:tcPr>
            <w:tcW w:w="20" w:type="dxa"/>
            <w:vAlign w:val="bottom"/>
          </w:tcPr>
          <w:p>
            <w:pPr>
              <w:spacing w:after="0"/>
              <w:rPr>
                <w:sz w:val="19"/>
                <w:szCs w:val="19"/>
                <w:color w:val="auto"/>
              </w:rPr>
            </w:pPr>
          </w:p>
        </w:tc>
      </w:tr>
      <w:tr>
        <w:trPr>
          <w:trHeight w:val="229"/>
        </w:trPr>
        <w:tc>
          <w:tcPr>
            <w:tcW w:w="840" w:type="dxa"/>
            <w:vAlign w:val="bottom"/>
          </w:tcPr>
          <w:p>
            <w:pPr>
              <w:ind w:left="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1B.</w:t>
              </w:r>
            </w:hyperlink>
          </w:p>
        </w:tc>
        <w:tc>
          <w:tcPr>
            <w:tcW w:w="10020" w:type="dxa"/>
            <w:vAlign w:val="bottom"/>
          </w:tcPr>
          <w:p>
            <w:pPr>
              <w:ind w:left="1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Unresolved Staff Comments</w:t>
              </w:r>
            </w:hyperlink>
          </w:p>
        </w:tc>
        <w:tc>
          <w:tcPr>
            <w:tcW w:w="36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48</w:t>
              </w:r>
            </w:hyperlink>
          </w:p>
        </w:tc>
        <w:tc>
          <w:tcPr>
            <w:tcW w:w="20" w:type="dxa"/>
            <w:vAlign w:val="bottom"/>
          </w:tcPr>
          <w:p>
            <w:pPr>
              <w:spacing w:after="0"/>
              <w:rPr>
                <w:sz w:val="19"/>
                <w:szCs w:val="19"/>
                <w:color w:val="auto"/>
              </w:rPr>
            </w:pPr>
          </w:p>
        </w:tc>
      </w:tr>
      <w:tr>
        <w:trPr>
          <w:trHeight w:val="230"/>
        </w:trPr>
        <w:tc>
          <w:tcPr>
            <w:tcW w:w="840" w:type="dxa"/>
            <w:vAlign w:val="bottom"/>
          </w:tcPr>
          <w:p>
            <w:pPr>
              <w:ind w:left="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2.</w:t>
              </w:r>
            </w:hyperlink>
          </w:p>
        </w:tc>
        <w:tc>
          <w:tcPr>
            <w:tcW w:w="10020" w:type="dxa"/>
            <w:vAlign w:val="bottom"/>
          </w:tcPr>
          <w:p>
            <w:pPr>
              <w:ind w:left="1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Properties</w:t>
              </w:r>
            </w:hyperlink>
          </w:p>
        </w:tc>
        <w:tc>
          <w:tcPr>
            <w:tcW w:w="36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48</w:t>
              </w:r>
            </w:hyperlink>
          </w:p>
        </w:tc>
        <w:tc>
          <w:tcPr>
            <w:tcW w:w="20" w:type="dxa"/>
            <w:vAlign w:val="bottom"/>
          </w:tcPr>
          <w:p>
            <w:pPr>
              <w:spacing w:after="0"/>
              <w:rPr>
                <w:sz w:val="19"/>
                <w:szCs w:val="19"/>
                <w:color w:val="auto"/>
              </w:rPr>
            </w:pPr>
          </w:p>
        </w:tc>
      </w:tr>
      <w:tr>
        <w:trPr>
          <w:trHeight w:val="229"/>
        </w:trPr>
        <w:tc>
          <w:tcPr>
            <w:tcW w:w="840" w:type="dxa"/>
            <w:vAlign w:val="bottom"/>
          </w:tcPr>
          <w:p>
            <w:pPr>
              <w:ind w:lef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Item 3.</w:t>
              </w:r>
            </w:hyperlink>
          </w:p>
        </w:tc>
        <w:tc>
          <w:tcPr>
            <w:tcW w:w="10020" w:type="dxa"/>
            <w:vAlign w:val="bottom"/>
          </w:tcPr>
          <w:p>
            <w:pPr>
              <w:ind w:left="1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Legal Proceedings</w:t>
              </w:r>
            </w:hyperlink>
          </w:p>
        </w:tc>
        <w:tc>
          <w:tcPr>
            <w:tcW w:w="360" w:type="dxa"/>
            <w:vAlign w:val="bottom"/>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49</w:t>
              </w:r>
            </w:hyperlink>
          </w:p>
        </w:tc>
        <w:tc>
          <w:tcPr>
            <w:tcW w:w="20" w:type="dxa"/>
            <w:vAlign w:val="bottom"/>
          </w:tcPr>
          <w:p>
            <w:pPr>
              <w:spacing w:after="0"/>
              <w:rPr>
                <w:sz w:val="19"/>
                <w:szCs w:val="19"/>
                <w:color w:val="auto"/>
              </w:rPr>
            </w:pPr>
          </w:p>
        </w:tc>
      </w:tr>
      <w:tr>
        <w:trPr>
          <w:trHeight w:val="230"/>
        </w:trPr>
        <w:tc>
          <w:tcPr>
            <w:tcW w:w="840" w:type="dxa"/>
            <w:vAlign w:val="bottom"/>
          </w:tcPr>
          <w:p>
            <w:pPr>
              <w:ind w:lef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Item 4.</w:t>
              </w:r>
            </w:hyperlink>
          </w:p>
        </w:tc>
        <w:tc>
          <w:tcPr>
            <w:tcW w:w="10020" w:type="dxa"/>
            <w:vAlign w:val="bottom"/>
          </w:tcPr>
          <w:p>
            <w:pPr>
              <w:ind w:left="1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Mine Safety Disclosures</w:t>
              </w:r>
            </w:hyperlink>
          </w:p>
        </w:tc>
        <w:tc>
          <w:tcPr>
            <w:tcW w:w="360" w:type="dxa"/>
            <w:vAlign w:val="bottom"/>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49</w:t>
              </w:r>
            </w:hyperlink>
          </w:p>
        </w:tc>
        <w:tc>
          <w:tcPr>
            <w:tcW w:w="20" w:type="dxa"/>
            <w:vAlign w:val="bottom"/>
          </w:tcPr>
          <w:p>
            <w:pPr>
              <w:spacing w:after="0"/>
              <w:rPr>
                <w:sz w:val="20"/>
                <w:szCs w:val="20"/>
                <w:color w:val="auto"/>
              </w:rPr>
            </w:pPr>
          </w:p>
        </w:tc>
      </w:tr>
      <w:tr>
        <w:trPr>
          <w:trHeight w:val="499"/>
        </w:trPr>
        <w:tc>
          <w:tcPr>
            <w:tcW w:w="840" w:type="dxa"/>
            <w:vAlign w:val="bottom"/>
          </w:tcPr>
          <w:p>
            <w:pPr>
              <w:spacing w:after="0"/>
              <w:rPr>
                <w:sz w:val="24"/>
                <w:szCs w:val="24"/>
                <w:color w:val="auto"/>
              </w:rPr>
            </w:pPr>
          </w:p>
        </w:tc>
        <w:tc>
          <w:tcPr>
            <w:tcW w:w="10020" w:type="dxa"/>
            <w:vAlign w:val="bottom"/>
          </w:tcPr>
          <w:p>
            <w:pPr>
              <w:jc w:val="center"/>
              <w:ind w:right="1950"/>
              <w:spacing w:after="0"/>
              <w:rPr>
                <w:rFonts w:ascii="Arial" w:cs="Arial" w:eastAsia="Arial" w:hAnsi="Arial"/>
                <w:sz w:val="18"/>
                <w:szCs w:val="18"/>
                <w:b w:val="1"/>
                <w:bCs w:val="1"/>
                <w:u w:val="single" w:color="auto"/>
                <w:color w:val="0000FF"/>
              </w:rPr>
            </w:pPr>
            <w:hyperlink w:anchor="page52">
              <w:r>
                <w:rPr>
                  <w:rFonts w:ascii="Arial" w:cs="Arial" w:eastAsia="Arial" w:hAnsi="Arial"/>
                  <w:sz w:val="18"/>
                  <w:szCs w:val="18"/>
                  <w:b w:val="1"/>
                  <w:bCs w:val="1"/>
                  <w:u w:val="single" w:color="auto"/>
                  <w:color w:val="0000FF"/>
                </w:rPr>
                <w:t>PART II</w:t>
              </w:r>
            </w:hyperlink>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840" w:type="dxa"/>
            <w:vAlign w:val="bottom"/>
          </w:tcPr>
          <w:p>
            <w:pPr>
              <w:ind w:left="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 5.</w:t>
              </w:r>
            </w:hyperlink>
          </w:p>
        </w:tc>
        <w:tc>
          <w:tcPr>
            <w:tcW w:w="10020" w:type="dxa"/>
            <w:vAlign w:val="bottom"/>
          </w:tcPr>
          <w:p>
            <w:pPr>
              <w:ind w:left="1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Market for Registrant’s Common Equity, Related Stockholder Matters and Issuer Purchases of Equity Securities</w:t>
              </w:r>
            </w:hyperlink>
          </w:p>
        </w:tc>
        <w:tc>
          <w:tcPr>
            <w:tcW w:w="360" w:type="dxa"/>
            <w:vAlign w:val="bottom"/>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50</w:t>
              </w:r>
            </w:hyperlink>
          </w:p>
        </w:tc>
        <w:tc>
          <w:tcPr>
            <w:tcW w:w="20" w:type="dxa"/>
            <w:vAlign w:val="bottom"/>
          </w:tcPr>
          <w:p>
            <w:pPr>
              <w:spacing w:after="0"/>
              <w:rPr>
                <w:sz w:val="19"/>
                <w:szCs w:val="19"/>
                <w:color w:val="auto"/>
              </w:rPr>
            </w:pPr>
          </w:p>
        </w:tc>
      </w:tr>
      <w:tr>
        <w:trPr>
          <w:trHeight w:val="229"/>
        </w:trPr>
        <w:tc>
          <w:tcPr>
            <w:tcW w:w="840" w:type="dxa"/>
            <w:vAlign w:val="bottom"/>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Item 6.</w:t>
              </w:r>
            </w:hyperlink>
          </w:p>
        </w:tc>
        <w:tc>
          <w:tcPr>
            <w:tcW w:w="10020" w:type="dxa"/>
            <w:vAlign w:val="bottom"/>
          </w:tcPr>
          <w:p>
            <w:pPr>
              <w:ind w:left="1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Selected Financial Data</w:t>
              </w:r>
            </w:hyperlink>
          </w:p>
        </w:tc>
        <w:tc>
          <w:tcPr>
            <w:tcW w:w="360" w:type="dxa"/>
            <w:vAlign w:val="bottom"/>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52</w:t>
              </w:r>
            </w:hyperlink>
          </w:p>
        </w:tc>
        <w:tc>
          <w:tcPr>
            <w:tcW w:w="20" w:type="dxa"/>
            <w:vAlign w:val="bottom"/>
          </w:tcPr>
          <w:p>
            <w:pPr>
              <w:spacing w:after="0"/>
              <w:rPr>
                <w:sz w:val="19"/>
                <w:szCs w:val="19"/>
                <w:color w:val="auto"/>
              </w:rPr>
            </w:pPr>
          </w:p>
        </w:tc>
      </w:tr>
      <w:tr>
        <w:trPr>
          <w:trHeight w:val="230"/>
        </w:trPr>
        <w:tc>
          <w:tcPr>
            <w:tcW w:w="840" w:type="dxa"/>
            <w:vAlign w:val="bottom"/>
          </w:tcPr>
          <w:p>
            <w:pPr>
              <w:ind w:left="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7.</w:t>
              </w:r>
            </w:hyperlink>
          </w:p>
        </w:tc>
        <w:tc>
          <w:tcPr>
            <w:tcW w:w="10020" w:type="dxa"/>
            <w:vAlign w:val="bottom"/>
          </w:tcPr>
          <w:p>
            <w:pPr>
              <w:ind w:left="1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Management’s Discussion and Analysis of Financial Condition and Results of Operations</w:t>
              </w:r>
            </w:hyperlink>
          </w:p>
        </w:tc>
        <w:tc>
          <w:tcPr>
            <w:tcW w:w="36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53</w:t>
              </w:r>
            </w:hyperlink>
          </w:p>
        </w:tc>
        <w:tc>
          <w:tcPr>
            <w:tcW w:w="20" w:type="dxa"/>
            <w:vAlign w:val="bottom"/>
          </w:tcPr>
          <w:p>
            <w:pPr>
              <w:spacing w:after="0"/>
              <w:rPr>
                <w:sz w:val="19"/>
                <w:szCs w:val="19"/>
                <w:color w:val="auto"/>
              </w:rPr>
            </w:pPr>
          </w:p>
        </w:tc>
      </w:tr>
      <w:tr>
        <w:trPr>
          <w:trHeight w:val="229"/>
        </w:trPr>
        <w:tc>
          <w:tcPr>
            <w:tcW w:w="840" w:type="dxa"/>
            <w:vAlign w:val="bottom"/>
          </w:tcPr>
          <w:p>
            <w:pPr>
              <w:ind w:left="2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Item 7A.</w:t>
              </w:r>
            </w:hyperlink>
          </w:p>
        </w:tc>
        <w:tc>
          <w:tcPr>
            <w:tcW w:w="10020" w:type="dxa"/>
            <w:vAlign w:val="bottom"/>
          </w:tcPr>
          <w:p>
            <w:pPr>
              <w:ind w:left="12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Quantitative and Qualitative Disclosures About Market Risk</w:t>
              </w:r>
            </w:hyperlink>
          </w:p>
        </w:tc>
        <w:tc>
          <w:tcPr>
            <w:tcW w:w="360" w:type="dxa"/>
            <w:vAlign w:val="bottom"/>
          </w:tcPr>
          <w:p>
            <w:pPr>
              <w:jc w:val="right"/>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74</w:t>
              </w:r>
            </w:hyperlink>
          </w:p>
        </w:tc>
        <w:tc>
          <w:tcPr>
            <w:tcW w:w="20" w:type="dxa"/>
            <w:vAlign w:val="bottom"/>
          </w:tcPr>
          <w:p>
            <w:pPr>
              <w:spacing w:after="0"/>
              <w:rPr>
                <w:sz w:val="19"/>
                <w:szCs w:val="19"/>
                <w:color w:val="auto"/>
              </w:rPr>
            </w:pPr>
          </w:p>
        </w:tc>
      </w:tr>
      <w:tr>
        <w:trPr>
          <w:trHeight w:val="230"/>
        </w:trPr>
        <w:tc>
          <w:tcPr>
            <w:tcW w:w="840" w:type="dxa"/>
            <w:vAlign w:val="bottom"/>
          </w:tcPr>
          <w:p>
            <w:pPr>
              <w:ind w:left="2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Item 8.</w:t>
              </w:r>
            </w:hyperlink>
          </w:p>
        </w:tc>
        <w:tc>
          <w:tcPr>
            <w:tcW w:w="10020" w:type="dxa"/>
            <w:vAlign w:val="bottom"/>
          </w:tcPr>
          <w:p>
            <w:pPr>
              <w:ind w:left="12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Financial Statements and Supplementary Data</w:t>
              </w:r>
            </w:hyperlink>
          </w:p>
        </w:tc>
        <w:tc>
          <w:tcPr>
            <w:tcW w:w="360" w:type="dxa"/>
            <w:vAlign w:val="bottom"/>
          </w:tcPr>
          <w:p>
            <w:pPr>
              <w:jc w:val="right"/>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74</w:t>
              </w:r>
            </w:hyperlink>
          </w:p>
        </w:tc>
        <w:tc>
          <w:tcPr>
            <w:tcW w:w="20" w:type="dxa"/>
            <w:vAlign w:val="bottom"/>
          </w:tcPr>
          <w:p>
            <w:pPr>
              <w:spacing w:after="0"/>
              <w:rPr>
                <w:sz w:val="19"/>
                <w:szCs w:val="19"/>
                <w:color w:val="auto"/>
              </w:rPr>
            </w:pPr>
          </w:p>
        </w:tc>
      </w:tr>
      <w:tr>
        <w:trPr>
          <w:trHeight w:val="229"/>
        </w:trPr>
        <w:tc>
          <w:tcPr>
            <w:tcW w:w="840" w:type="dxa"/>
            <w:vAlign w:val="bottom"/>
          </w:tcPr>
          <w:p>
            <w:pPr>
              <w:ind w:left="2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Item 9.</w:t>
              </w:r>
            </w:hyperlink>
          </w:p>
        </w:tc>
        <w:tc>
          <w:tcPr>
            <w:tcW w:w="10020" w:type="dxa"/>
            <w:vAlign w:val="bottom"/>
          </w:tcPr>
          <w:p>
            <w:pPr>
              <w:ind w:left="12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Changes in and Disagreements with Accountants on Accounting and Financial Disclosure</w:t>
              </w:r>
            </w:hyperlink>
          </w:p>
        </w:tc>
        <w:tc>
          <w:tcPr>
            <w:tcW w:w="360" w:type="dxa"/>
            <w:vAlign w:val="bottom"/>
          </w:tcPr>
          <w:p>
            <w:pPr>
              <w:jc w:val="right"/>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75</w:t>
              </w:r>
            </w:hyperlink>
          </w:p>
        </w:tc>
        <w:tc>
          <w:tcPr>
            <w:tcW w:w="20" w:type="dxa"/>
            <w:vAlign w:val="bottom"/>
          </w:tcPr>
          <w:p>
            <w:pPr>
              <w:spacing w:after="0"/>
              <w:rPr>
                <w:sz w:val="19"/>
                <w:szCs w:val="19"/>
                <w:color w:val="auto"/>
              </w:rPr>
            </w:pPr>
          </w:p>
        </w:tc>
      </w:tr>
      <w:tr>
        <w:trPr>
          <w:trHeight w:val="229"/>
        </w:trPr>
        <w:tc>
          <w:tcPr>
            <w:tcW w:w="840" w:type="dxa"/>
            <w:vAlign w:val="bottom"/>
          </w:tcPr>
          <w:p>
            <w:pPr>
              <w:ind w:left="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Item 9A.</w:t>
              </w:r>
            </w:hyperlink>
          </w:p>
        </w:tc>
        <w:tc>
          <w:tcPr>
            <w:tcW w:w="10020" w:type="dxa"/>
            <w:vAlign w:val="bottom"/>
          </w:tcPr>
          <w:p>
            <w:pPr>
              <w:ind w:left="1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Controls and Procedures</w:t>
              </w:r>
            </w:hyperlink>
          </w:p>
        </w:tc>
        <w:tc>
          <w:tcPr>
            <w:tcW w:w="360" w:type="dxa"/>
            <w:vAlign w:val="bottom"/>
          </w:tcPr>
          <w:p>
            <w:pPr>
              <w:jc w:val="right"/>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75</w:t>
              </w:r>
            </w:hyperlink>
          </w:p>
        </w:tc>
        <w:tc>
          <w:tcPr>
            <w:tcW w:w="20" w:type="dxa"/>
            <w:vAlign w:val="bottom"/>
          </w:tcPr>
          <w:p>
            <w:pPr>
              <w:spacing w:after="0"/>
              <w:rPr>
                <w:sz w:val="19"/>
                <w:szCs w:val="19"/>
                <w:color w:val="auto"/>
              </w:rPr>
            </w:pPr>
          </w:p>
        </w:tc>
      </w:tr>
      <w:tr>
        <w:trPr>
          <w:trHeight w:val="230"/>
        </w:trPr>
        <w:tc>
          <w:tcPr>
            <w:tcW w:w="840" w:type="dxa"/>
            <w:vAlign w:val="bottom"/>
          </w:tcPr>
          <w:p>
            <w:pPr>
              <w:ind w:left="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Item 9B.</w:t>
              </w:r>
            </w:hyperlink>
          </w:p>
        </w:tc>
        <w:tc>
          <w:tcPr>
            <w:tcW w:w="10020" w:type="dxa"/>
            <w:vAlign w:val="bottom"/>
          </w:tcPr>
          <w:p>
            <w:pPr>
              <w:ind w:left="1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Other Information</w:t>
              </w:r>
            </w:hyperlink>
          </w:p>
        </w:tc>
        <w:tc>
          <w:tcPr>
            <w:tcW w:w="360" w:type="dxa"/>
            <w:vAlign w:val="bottom"/>
          </w:tcPr>
          <w:p>
            <w:pPr>
              <w:jc w:val="right"/>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75</w:t>
              </w:r>
            </w:hyperlink>
          </w:p>
        </w:tc>
        <w:tc>
          <w:tcPr>
            <w:tcW w:w="20" w:type="dxa"/>
            <w:vAlign w:val="bottom"/>
          </w:tcPr>
          <w:p>
            <w:pPr>
              <w:spacing w:after="0"/>
              <w:rPr>
                <w:sz w:val="20"/>
                <w:szCs w:val="20"/>
                <w:color w:val="auto"/>
              </w:rPr>
            </w:pPr>
          </w:p>
        </w:tc>
      </w:tr>
      <w:tr>
        <w:trPr>
          <w:trHeight w:val="499"/>
        </w:trPr>
        <w:tc>
          <w:tcPr>
            <w:tcW w:w="840" w:type="dxa"/>
            <w:vAlign w:val="bottom"/>
          </w:tcPr>
          <w:p>
            <w:pPr>
              <w:spacing w:after="0"/>
              <w:rPr>
                <w:sz w:val="24"/>
                <w:szCs w:val="24"/>
                <w:color w:val="auto"/>
              </w:rPr>
            </w:pPr>
          </w:p>
        </w:tc>
        <w:tc>
          <w:tcPr>
            <w:tcW w:w="10020" w:type="dxa"/>
            <w:vAlign w:val="bottom"/>
          </w:tcPr>
          <w:p>
            <w:pPr>
              <w:jc w:val="center"/>
              <w:ind w:right="1930"/>
              <w:spacing w:after="0"/>
              <w:rPr>
                <w:rFonts w:ascii="Arial" w:cs="Arial" w:eastAsia="Arial" w:hAnsi="Arial"/>
                <w:sz w:val="18"/>
                <w:szCs w:val="18"/>
                <w:b w:val="1"/>
                <w:bCs w:val="1"/>
                <w:u w:val="single" w:color="auto"/>
                <w:color w:val="0000FF"/>
              </w:rPr>
            </w:pPr>
            <w:hyperlink w:anchor="page78">
              <w:r>
                <w:rPr>
                  <w:rFonts w:ascii="Arial" w:cs="Arial" w:eastAsia="Arial" w:hAnsi="Arial"/>
                  <w:sz w:val="18"/>
                  <w:szCs w:val="18"/>
                  <w:b w:val="1"/>
                  <w:bCs w:val="1"/>
                  <w:u w:val="single" w:color="auto"/>
                  <w:color w:val="0000FF"/>
                </w:rPr>
                <w:t>PART III</w:t>
              </w:r>
            </w:hyperlink>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840" w:type="dxa"/>
            <w:vAlign w:val="bottom"/>
          </w:tcPr>
          <w:p>
            <w:pPr>
              <w:ind w:left="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Item 10.</w:t>
              </w:r>
            </w:hyperlink>
          </w:p>
        </w:tc>
        <w:tc>
          <w:tcPr>
            <w:tcW w:w="10020" w:type="dxa"/>
            <w:vAlign w:val="bottom"/>
          </w:tcPr>
          <w:p>
            <w:pPr>
              <w:ind w:left="1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Directors, Executive Officers and Corporate Governance</w:t>
              </w:r>
            </w:hyperlink>
          </w:p>
        </w:tc>
        <w:tc>
          <w:tcPr>
            <w:tcW w:w="360" w:type="dxa"/>
            <w:vAlign w:val="bottom"/>
          </w:tcPr>
          <w:p>
            <w:pPr>
              <w:jc w:val="right"/>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76</w:t>
              </w:r>
            </w:hyperlink>
          </w:p>
        </w:tc>
        <w:tc>
          <w:tcPr>
            <w:tcW w:w="20" w:type="dxa"/>
            <w:vAlign w:val="bottom"/>
          </w:tcPr>
          <w:p>
            <w:pPr>
              <w:spacing w:after="0"/>
              <w:rPr>
                <w:sz w:val="19"/>
                <w:szCs w:val="19"/>
                <w:color w:val="auto"/>
              </w:rPr>
            </w:pPr>
          </w:p>
        </w:tc>
      </w:tr>
      <w:tr>
        <w:trPr>
          <w:trHeight w:val="230"/>
        </w:trPr>
        <w:tc>
          <w:tcPr>
            <w:tcW w:w="840" w:type="dxa"/>
            <w:vAlign w:val="bottom"/>
          </w:tcPr>
          <w:p>
            <w:pPr>
              <w:ind w:left="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Item 11.</w:t>
              </w:r>
            </w:hyperlink>
          </w:p>
        </w:tc>
        <w:tc>
          <w:tcPr>
            <w:tcW w:w="10020" w:type="dxa"/>
            <w:vAlign w:val="bottom"/>
          </w:tcPr>
          <w:p>
            <w:pPr>
              <w:ind w:left="1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Executive Compensation</w:t>
              </w:r>
            </w:hyperlink>
          </w:p>
        </w:tc>
        <w:tc>
          <w:tcPr>
            <w:tcW w:w="360" w:type="dxa"/>
            <w:vAlign w:val="bottom"/>
          </w:tcPr>
          <w:p>
            <w:pPr>
              <w:jc w:val="right"/>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76</w:t>
              </w:r>
            </w:hyperlink>
          </w:p>
        </w:tc>
        <w:tc>
          <w:tcPr>
            <w:tcW w:w="20" w:type="dxa"/>
            <w:vAlign w:val="bottom"/>
          </w:tcPr>
          <w:p>
            <w:pPr>
              <w:spacing w:after="0"/>
              <w:rPr>
                <w:sz w:val="19"/>
                <w:szCs w:val="19"/>
                <w:color w:val="auto"/>
              </w:rPr>
            </w:pPr>
          </w:p>
        </w:tc>
      </w:tr>
      <w:tr>
        <w:trPr>
          <w:trHeight w:val="230"/>
        </w:trPr>
        <w:tc>
          <w:tcPr>
            <w:tcW w:w="840" w:type="dxa"/>
            <w:vAlign w:val="bottom"/>
          </w:tcPr>
          <w:p>
            <w:pPr>
              <w:ind w:left="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Item 12.</w:t>
              </w:r>
            </w:hyperlink>
          </w:p>
        </w:tc>
        <w:tc>
          <w:tcPr>
            <w:tcW w:w="10020" w:type="dxa"/>
            <w:vAlign w:val="bottom"/>
          </w:tcPr>
          <w:p>
            <w:pPr>
              <w:ind w:left="1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Security Ownership of Certain Beneficial Owners and Management and Related Stockholder Matters</w:t>
              </w:r>
            </w:hyperlink>
          </w:p>
        </w:tc>
        <w:tc>
          <w:tcPr>
            <w:tcW w:w="360" w:type="dxa"/>
            <w:vAlign w:val="bottom"/>
          </w:tcPr>
          <w:p>
            <w:pPr>
              <w:jc w:val="right"/>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76</w:t>
              </w:r>
            </w:hyperlink>
          </w:p>
        </w:tc>
        <w:tc>
          <w:tcPr>
            <w:tcW w:w="20" w:type="dxa"/>
            <w:vAlign w:val="bottom"/>
          </w:tcPr>
          <w:p>
            <w:pPr>
              <w:spacing w:after="0"/>
              <w:rPr>
                <w:sz w:val="19"/>
                <w:szCs w:val="19"/>
                <w:color w:val="auto"/>
              </w:rPr>
            </w:pPr>
          </w:p>
        </w:tc>
      </w:tr>
      <w:tr>
        <w:trPr>
          <w:trHeight w:val="229"/>
        </w:trPr>
        <w:tc>
          <w:tcPr>
            <w:tcW w:w="840" w:type="dxa"/>
            <w:vAlign w:val="bottom"/>
          </w:tcPr>
          <w:p>
            <w:pPr>
              <w:ind w:left="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Item 13.</w:t>
              </w:r>
            </w:hyperlink>
          </w:p>
        </w:tc>
        <w:tc>
          <w:tcPr>
            <w:tcW w:w="10020" w:type="dxa"/>
            <w:vAlign w:val="bottom"/>
          </w:tcPr>
          <w:p>
            <w:pPr>
              <w:ind w:left="1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Certain Relationships and Related Transactions, and Director Independence</w:t>
              </w:r>
            </w:hyperlink>
          </w:p>
        </w:tc>
        <w:tc>
          <w:tcPr>
            <w:tcW w:w="360" w:type="dxa"/>
            <w:vAlign w:val="bottom"/>
          </w:tcPr>
          <w:p>
            <w:pPr>
              <w:jc w:val="right"/>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76</w:t>
              </w:r>
            </w:hyperlink>
          </w:p>
        </w:tc>
        <w:tc>
          <w:tcPr>
            <w:tcW w:w="20" w:type="dxa"/>
            <w:vAlign w:val="bottom"/>
          </w:tcPr>
          <w:p>
            <w:pPr>
              <w:spacing w:after="0"/>
              <w:rPr>
                <w:sz w:val="19"/>
                <w:szCs w:val="19"/>
                <w:color w:val="auto"/>
              </w:rPr>
            </w:pPr>
          </w:p>
        </w:tc>
      </w:tr>
      <w:tr>
        <w:trPr>
          <w:trHeight w:val="230"/>
        </w:trPr>
        <w:tc>
          <w:tcPr>
            <w:tcW w:w="840" w:type="dxa"/>
            <w:vAlign w:val="bottom"/>
          </w:tcPr>
          <w:p>
            <w:pPr>
              <w:ind w:left="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Item 14.</w:t>
              </w:r>
            </w:hyperlink>
          </w:p>
        </w:tc>
        <w:tc>
          <w:tcPr>
            <w:tcW w:w="10020" w:type="dxa"/>
            <w:vAlign w:val="bottom"/>
          </w:tcPr>
          <w:p>
            <w:pPr>
              <w:ind w:left="1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Principal Accounting Fees and Services</w:t>
              </w:r>
            </w:hyperlink>
          </w:p>
        </w:tc>
        <w:tc>
          <w:tcPr>
            <w:tcW w:w="360" w:type="dxa"/>
            <w:vAlign w:val="bottom"/>
          </w:tcPr>
          <w:p>
            <w:pPr>
              <w:jc w:val="right"/>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76</w:t>
              </w:r>
            </w:hyperlink>
          </w:p>
        </w:tc>
        <w:tc>
          <w:tcPr>
            <w:tcW w:w="20" w:type="dxa"/>
            <w:vAlign w:val="bottom"/>
          </w:tcPr>
          <w:p>
            <w:pPr>
              <w:spacing w:after="0"/>
              <w:rPr>
                <w:sz w:val="20"/>
                <w:szCs w:val="20"/>
                <w:color w:val="auto"/>
              </w:rPr>
            </w:pPr>
          </w:p>
        </w:tc>
      </w:tr>
      <w:tr>
        <w:trPr>
          <w:trHeight w:val="499"/>
        </w:trPr>
        <w:tc>
          <w:tcPr>
            <w:tcW w:w="840" w:type="dxa"/>
            <w:vAlign w:val="bottom"/>
          </w:tcPr>
          <w:p>
            <w:pPr>
              <w:spacing w:after="0"/>
              <w:rPr>
                <w:sz w:val="24"/>
                <w:szCs w:val="24"/>
                <w:color w:val="auto"/>
              </w:rPr>
            </w:pPr>
          </w:p>
        </w:tc>
        <w:tc>
          <w:tcPr>
            <w:tcW w:w="10020" w:type="dxa"/>
            <w:vAlign w:val="bottom"/>
          </w:tcPr>
          <w:p>
            <w:pPr>
              <w:jc w:val="center"/>
              <w:ind w:right="1930"/>
              <w:spacing w:after="0"/>
              <w:rPr>
                <w:rFonts w:ascii="Arial" w:cs="Arial" w:eastAsia="Arial" w:hAnsi="Arial"/>
                <w:sz w:val="18"/>
                <w:szCs w:val="18"/>
                <w:b w:val="1"/>
                <w:bCs w:val="1"/>
                <w:u w:val="single" w:color="auto"/>
                <w:color w:val="0000FF"/>
              </w:rPr>
            </w:pPr>
            <w:hyperlink w:anchor="page79">
              <w:r>
                <w:rPr>
                  <w:rFonts w:ascii="Arial" w:cs="Arial" w:eastAsia="Arial" w:hAnsi="Arial"/>
                  <w:sz w:val="18"/>
                  <w:szCs w:val="18"/>
                  <w:b w:val="1"/>
                  <w:bCs w:val="1"/>
                  <w:u w:val="single" w:color="auto"/>
                  <w:color w:val="0000FF"/>
                </w:rPr>
                <w:t>PART IV</w:t>
              </w:r>
            </w:hyperlink>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840" w:type="dxa"/>
            <w:vAlign w:val="bottom"/>
          </w:tcPr>
          <w:p>
            <w:pPr>
              <w:ind w:left="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Item 15.</w:t>
              </w:r>
            </w:hyperlink>
          </w:p>
        </w:tc>
        <w:tc>
          <w:tcPr>
            <w:tcW w:w="10020" w:type="dxa"/>
            <w:vAlign w:val="bottom"/>
          </w:tcPr>
          <w:p>
            <w:pPr>
              <w:ind w:left="1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Exhibits, Financial Statement Schedules</w:t>
              </w:r>
            </w:hyperlink>
          </w:p>
        </w:tc>
        <w:tc>
          <w:tcPr>
            <w:tcW w:w="360" w:type="dxa"/>
            <w:vAlign w:val="bottom"/>
          </w:tcPr>
          <w:p>
            <w:pPr>
              <w:jc w:val="right"/>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77</w:t>
              </w:r>
            </w:hyperlink>
          </w:p>
        </w:tc>
        <w:tc>
          <w:tcPr>
            <w:tcW w:w="20" w:type="dxa"/>
            <w:vAlign w:val="bottom"/>
          </w:tcPr>
          <w:p>
            <w:pPr>
              <w:spacing w:after="0"/>
              <w:rPr>
                <w:sz w:val="19"/>
                <w:szCs w:val="19"/>
                <w:color w:val="auto"/>
              </w:rPr>
            </w:pPr>
          </w:p>
        </w:tc>
      </w:tr>
      <w:tr>
        <w:trPr>
          <w:trHeight w:val="230"/>
        </w:trPr>
        <w:tc>
          <w:tcPr>
            <w:tcW w:w="840" w:type="dxa"/>
            <w:vAlign w:val="bottom"/>
          </w:tcPr>
          <w:p>
            <w:pPr>
              <w:ind w:left="20"/>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Item 16.</w:t>
              </w:r>
            </w:hyperlink>
          </w:p>
        </w:tc>
        <w:tc>
          <w:tcPr>
            <w:tcW w:w="10020" w:type="dxa"/>
            <w:vAlign w:val="bottom"/>
          </w:tcPr>
          <w:p>
            <w:pPr>
              <w:ind w:left="120"/>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Form 10-K Summary</w:t>
              </w:r>
            </w:hyperlink>
          </w:p>
        </w:tc>
        <w:tc>
          <w:tcPr>
            <w:tcW w:w="360" w:type="dxa"/>
            <w:vAlign w:val="bottom"/>
          </w:tcPr>
          <w:p>
            <w:pPr>
              <w:jc w:val="right"/>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81</w:t>
              </w:r>
            </w:hyperlink>
          </w:p>
        </w:tc>
        <w:tc>
          <w:tcPr>
            <w:tcW w:w="20" w:type="dxa"/>
            <w:vAlign w:val="bottom"/>
          </w:tcPr>
          <w:p>
            <w:pPr>
              <w:spacing w:after="0"/>
              <w:rPr>
                <w:sz w:val="20"/>
                <w:szCs w:val="20"/>
                <w:color w:val="auto"/>
              </w:rPr>
            </w:pPr>
          </w:p>
        </w:tc>
      </w:tr>
      <w:tr>
        <w:trPr>
          <w:trHeight w:val="500"/>
        </w:trPr>
        <w:tc>
          <w:tcPr>
            <w:tcW w:w="840" w:type="dxa"/>
            <w:vAlign w:val="bottom"/>
          </w:tcPr>
          <w:p>
            <w:pPr>
              <w:ind w:left="20"/>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Signature</w:t>
              </w:r>
            </w:hyperlink>
          </w:p>
        </w:tc>
        <w:tc>
          <w:tcPr>
            <w:tcW w:w="10020" w:type="dxa"/>
            <w:vAlign w:val="bottom"/>
          </w:tcPr>
          <w:p>
            <w:pPr>
              <w:spacing w:after="0"/>
              <w:rPr>
                <w:sz w:val="24"/>
                <w:szCs w:val="24"/>
                <w:color w:val="auto"/>
              </w:rPr>
            </w:pPr>
          </w:p>
        </w:tc>
        <w:tc>
          <w:tcPr>
            <w:tcW w:w="360" w:type="dxa"/>
            <w:vAlign w:val="bottom"/>
          </w:tcPr>
          <w:p>
            <w:pPr>
              <w:jc w:val="right"/>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82</w:t>
              </w:r>
            </w:hyperlink>
          </w:p>
        </w:tc>
        <w:tc>
          <w:tcPr>
            <w:tcW w:w="20" w:type="dxa"/>
            <w:vAlign w:val="bottom"/>
          </w:tcPr>
          <w:p>
            <w:pPr>
              <w:spacing w:after="0"/>
              <w:rPr>
                <w:sz w:val="24"/>
                <w:szCs w:val="24"/>
                <w:color w:val="auto"/>
              </w:rPr>
            </w:pPr>
          </w:p>
        </w:tc>
      </w:tr>
      <w:tr>
        <w:trPr>
          <w:trHeight w:val="858"/>
        </w:trPr>
        <w:tc>
          <w:tcPr>
            <w:tcW w:w="840" w:type="dxa"/>
            <w:vAlign w:val="bottom"/>
            <w:tcBorders>
              <w:bottom w:val="single" w:sz="8" w:color="9A9A9A"/>
            </w:tcBorders>
          </w:tcPr>
          <w:p>
            <w:pPr>
              <w:spacing w:after="0"/>
              <w:rPr>
                <w:sz w:val="24"/>
                <w:szCs w:val="24"/>
                <w:color w:val="auto"/>
              </w:rPr>
            </w:pPr>
          </w:p>
        </w:tc>
        <w:tc>
          <w:tcPr>
            <w:tcW w:w="10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486"/>
        <w:spacing w:after="0" w:line="281" w:lineRule="auto"/>
        <w:rPr>
          <w:sz w:val="20"/>
          <w:szCs w:val="20"/>
          <w:color w:val="auto"/>
        </w:rPr>
      </w:pPr>
      <w:r>
        <w:rPr>
          <w:rFonts w:ascii="Arial" w:cs="Arial" w:eastAsia="Arial" w:hAnsi="Arial"/>
          <w:sz w:val="16"/>
          <w:szCs w:val="16"/>
          <w:color w:val="auto"/>
        </w:rPr>
        <w:t>Statements contained or incorporated by reference in this document contain information that includes or is based on “forward-looking statements” within the meaning of Section 27A of the Securities Act of 1933, as amended (Securities Act) and Section 21E of the Securities Exchange Act of 1934, as amended (Exchange Act). Forward-looking statements include, without limitation, any future financial results, cost savings, revenues, expenses, net income and income per share, as well as future financing activities, the impact of the novel strain of coronavirus referred to as COVID-19 on the health and welfare of our employees and on our business (including any response to COVID-19 such as anticipated return to historical purchasing decisions by customers, the economic impact of COVID-19, changes in consumer spending, decisions to engage in certain medical procedures, future governmental orders that could impact our operations and the ability of our manufacturing facilities and suppliers to fulfill their obligations to us), and any other statements that refer to Endo’s expected, estimated or anticipated future results. We have tried, whenever possible, to identify such statements by words such as “believe,” “expect,” “anticipate,” “intend,” “estimate,” “plan,” “project,” “forecast,” “will,” “may” or similar expressions. We have based these forward-looking statements on our current expectations, assumptions and projections about the growth of our business, our financial performance and the development of our industry. Because these statements reflect our current views concerning future events, these forward-looking statements involve risks and uncertainties including, without limitation, the risks related to the impact of COVID-19 (such as, without limitation, the scope and duration of the pandemic and the resulting economic crisis and levels of unemployment, governmental actions and restrictive measures implemented in response, material delays and cancellations of certain medical procedures, potential manufacturing and supply chain disruptions and other potential impacts to our business as a result of COVID-19); the timing or results of any pending or future litigation, investigations or claims or actual or contingent liabilities, settlement discussions, negotiations or other adverse proceedings, including proceedings involving opioid-related matters, tax matters with the U.S. Internal Revenue Service (IRS) and key products such as VASOSTRICT</w:t>
      </w:r>
      <w:r>
        <w:rPr>
          <w:rFonts w:ascii="Arial" w:cs="Arial" w:eastAsia="Arial" w:hAnsi="Arial"/>
          <w:sz w:val="20"/>
          <w:szCs w:val="20"/>
          <w:color w:val="auto"/>
          <w:vertAlign w:val="superscript"/>
        </w:rPr>
        <w:t>®</w:t>
      </w:r>
      <w:r>
        <w:rPr>
          <w:rFonts w:ascii="Arial" w:cs="Arial" w:eastAsia="Arial" w:hAnsi="Arial"/>
          <w:sz w:val="16"/>
          <w:szCs w:val="16"/>
          <w:color w:val="auto"/>
        </w:rPr>
        <w:t>; unfavorable publicity regarding the misuse of opioids; changing competitive, market and regulatory conditions; changes in legislation; our ability to obtain and maintain adequate protection for our intellectual property rights; the timing and uncertainty of the results of both the research and development and regulatory processes, including regulatory decisions, product recalls, withdrawals and other unusual items; domestic and foreign health care and cost containment reforms, including government pricing, tax and reimbursement policies; technological advances and patents obtained by competitors; the performance, including the approval, introduction and consumer and physician acceptance of new products and the continuing acceptance of currently marketed products; the effectiveness of advertising and other promotional campaigns; the timely and successful implementation of any strategic and/or optimization initiatives; the uncertainty associated with the identification of and successful consummation and execution of external corporate development initiatives and strategic partnering transactions; our ability to obtain and successfully manufacture, maintain and distribute a sufficient supply of products to meet market demand in a timely manner; and the other risks and uncertainties more fully described under the caption “Risk Factors” in Part I, Item 1A of this Annual Report on Form 10-K and in other reports that we file with the Securities and Exchange Commission (SEC). These risks and uncertainties, many of which are outside of our control, and any other risks and uncertainties that we are not currently able to predict or identify, individually or in the aggregate, could have a material adverse effect on our business, financial condition, results of operations and cash flows and could cause our actual results to differ materially and adversely from those expressed in forward-looking statements contained or referenced in this document. Additionally, the prolonged impact of COVID-19 could heighten the impact of one or more of such risk factors.</w:t>
      </w:r>
    </w:p>
    <w:p>
      <w:pPr>
        <w:spacing w:after="0" w:line="72"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We do not undertake any obligation to update our forward-looking statements after the date of this document for any reason, even if new information becomes available or other events occur in the future, except as may be required under applicable securities laws. You are advised to consult any further disclosures we make on related subjects in our reports filed with the SEC and with securities regulators in Canada on the System for Electronic Document Analysis and Retrieval (SEDAR). Also note that, in Part I, Item 1A, we provide a cautionary discussion of the risks, uncertainties and possibly inaccurate assumptions relevant to our business. These are factors that, individually or in the aggregate, we think could cause our actual results to differ materially from expected and historical results. We note these factors for investors as permitted by Section 27A of the Securities Act and Section 21E of the Exchange Act. You should understand that it is not possible to predict or identify all such factors. Consequently, you should not consider this to be a complete discussion of all potential risks or uncertainties.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740" w:firstLine="486"/>
        <w:spacing w:after="0" w:line="277" w:lineRule="auto"/>
        <w:rPr>
          <w:sz w:val="20"/>
          <w:szCs w:val="20"/>
          <w:color w:val="auto"/>
        </w:rPr>
      </w:pPr>
      <w:r>
        <w:rPr>
          <w:rFonts w:ascii="Arial" w:cs="Arial" w:eastAsia="Arial" w:hAnsi="Arial"/>
          <w:sz w:val="18"/>
          <w:szCs w:val="18"/>
          <w:color w:val="auto"/>
        </w:rPr>
        <w:t>Unless otherwise indicated or required by the context, references throughout to “Endo,” the “Company,” “we,” “our” or “us” refer to Endo International plc and its subsidiaries.</w:t>
      </w:r>
    </w:p>
    <w:p>
      <w:pPr>
        <w:spacing w:after="0" w:line="62"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Endo International plc is an Ireland-domiciled specialty pharmaceutical company. Endo International plc was incorporated in Ireland in 2013 as a private limited company and re-registered effective February 18, 2014 as a public limited company. Endo International plc is a holding company that conducts business through its operating subsidiaries.</w:t>
      </w:r>
    </w:p>
    <w:p>
      <w:pPr>
        <w:spacing w:after="0" w:line="76" w:lineRule="exact"/>
        <w:rPr>
          <w:sz w:val="20"/>
          <w:szCs w:val="20"/>
          <w:color w:val="auto"/>
        </w:rPr>
      </w:pPr>
    </w:p>
    <w:p>
      <w:pPr>
        <w:jc w:val="both"/>
        <w:ind w:right="620" w:firstLine="486"/>
        <w:spacing w:after="0" w:line="263" w:lineRule="auto"/>
        <w:rPr>
          <w:sz w:val="20"/>
          <w:szCs w:val="20"/>
          <w:color w:val="auto"/>
        </w:rPr>
      </w:pPr>
      <w:r>
        <w:rPr>
          <w:rFonts w:ascii="Arial" w:cs="Arial" w:eastAsia="Arial" w:hAnsi="Arial"/>
          <w:sz w:val="18"/>
          <w:szCs w:val="18"/>
          <w:color w:val="auto"/>
        </w:rPr>
        <w:t>Our ordinary shares are traded on the NASDAQ Global Select Market (Nasdaq) under the ticker symbol “ENDP.” References throughout to “ordinary shares” refer to Endo International plc’s ordinary shares (1,000,000,000 authorized, par value of $0.0001 per share). In addition, we have 4,000,000 euro deferred shares outstanding (par value of $0.01 per share).</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address of Endo International plc’s headquarters is Minerva House, Simmonscourt Road, Ballsbridge, Dublin 4, Ireland (telephone number: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011-353-1-268-2000).</w:t>
      </w:r>
    </w:p>
    <w:p>
      <w:pPr>
        <w:spacing w:after="0" w:line="103" w:lineRule="exact"/>
        <w:rPr>
          <w:sz w:val="20"/>
          <w:szCs w:val="20"/>
          <w:color w:val="auto"/>
        </w:rPr>
      </w:pPr>
    </w:p>
    <w:p>
      <w:pPr>
        <w:ind w:right="180" w:firstLine="486"/>
        <w:spacing w:after="0" w:line="275" w:lineRule="auto"/>
        <w:rPr>
          <w:sz w:val="20"/>
          <w:szCs w:val="20"/>
          <w:color w:val="auto"/>
        </w:rPr>
      </w:pPr>
      <w:r>
        <w:rPr>
          <w:rFonts w:ascii="Arial" w:cs="Arial" w:eastAsia="Arial" w:hAnsi="Arial"/>
          <w:sz w:val="17"/>
          <w:szCs w:val="17"/>
          <w:color w:val="auto"/>
        </w:rPr>
        <w:t>Our focus is on pharmaceutical products and we target areas where we believe we can build leading positions. Our operating model is based on a lean and nimble structure, the rational allocation of capital and an emphasis on high-value research and development (R&amp;D) targets. While our primary focus is on organic growth, we evaluate and, where appropriate, execute on opportunities to expand through the acquisition of products and companies in areas that we believe serve patients and customers while offering attractive growth characteristics and margins. We believe our operating model and the execution of our corporate strategy will enable us to create shareholder value over the long-term.</w:t>
      </w:r>
    </w:p>
    <w:p>
      <w:pPr>
        <w:spacing w:after="0" w:line="68" w:lineRule="exact"/>
        <w:rPr>
          <w:sz w:val="20"/>
          <w:szCs w:val="20"/>
          <w:color w:val="auto"/>
        </w:rPr>
      </w:pPr>
    </w:p>
    <w:p>
      <w:pPr>
        <w:ind w:right="240" w:firstLine="486"/>
        <w:spacing w:after="0" w:line="275" w:lineRule="auto"/>
        <w:rPr>
          <w:sz w:val="20"/>
          <w:szCs w:val="20"/>
          <w:color w:val="auto"/>
        </w:rPr>
      </w:pPr>
      <w:r>
        <w:rPr>
          <w:rFonts w:ascii="Arial" w:cs="Arial" w:eastAsia="Arial" w:hAnsi="Arial"/>
          <w:sz w:val="17"/>
          <w:szCs w:val="17"/>
          <w:color w:val="auto"/>
        </w:rPr>
        <w:t>The four reportable business segments in which we operate are: (1) Branded Pharmaceuticals, (2) Sterile Injectables, (3) Generic Pharmaceuticals and (4) International Pharmaceuticals. Additional information about our reportable business segments is included throughout this Part I. The results of operations of our reportable business segments are discussed in Part II, Item 7 of this report “Management’s Discussion and Analysis of Financial Condition and Results of Operations” under the heading “RESULTS OF OPERATIONS.” Across all of our reportable business segments, we generated total revenues of $2.90 billion, $2.91 billion and $2.95 billion in 2020, 2019 and 2018, respectively.</w:t>
      </w:r>
    </w:p>
    <w:p>
      <w:pPr>
        <w:spacing w:after="0" w:line="68"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For branded products, which we sell primarily through our Branded Pharmaceuticals and Sterile Injectables segments, we seek to invest in products or product candidates that have inherent scientific, regulatory, legal and technical complexities and market such products under recognizable brand names that are trademarked. For products we develop for the United States (U.S.) market, after the completion of required clinical trials and testing, we seek approvals from regulatory bodies such as through the submission of New Drug Applications (NDAs) or Biologics License Applications (BLAs) to the U.S. Food and Drug Administration (FDA). We believe that our patents, the protection of discoveries in connection with our development activities, our proprietary products, technologies, processes, trade secrets, know-how, innovations and all of our intellectual property are important to our business and achieving a competitive position. However, there can be no assurance that any of our patents, licenses or other intellectual property rights will afford us any protection from competition. Additional information is included throughout this Part I, Item 1.</w:t>
      </w:r>
    </w:p>
    <w:p>
      <w:pPr>
        <w:spacing w:after="0" w:line="70"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Generic products are the pharmaceutical and therapeutic equivalents of branded products and are generally marketed under their generic (chemical) names rather than their brand names. For generic products, which we sell primarily through our Sterile Injectables and Generic Pharmaceuticals segments, our focus is on high-barrier-to-entry products, with an emphasis on complex sterile injectable products, such as ready-to-use (RTU) products, and first-to-file or first-to-market opportunities that are difficult to formulate or manufacture or face complex legal and regulatory challenges. In the U.S., a first-to-file product refers to a generic product for which the Abbreviated New Drug Application (ANDA) containing a patent challenge (or Paragraph IV certification) to the corresponding branded product’s listed patents was the first to be filed with the FDA. In the U.S., manufacturers that launch first-to-file products, after success in litigating or otherwise resolving related patent challenges, and receive final FDA approval have the opportunity for 180 days of generic marketing exclusivity from competing generic products other than authorized generics. A first-to-market product refers to a product that is the first marketed generic equivalent of a branded product for reasons apart from statutory marketing exclusivity. This can occur, for example, when a generic product is difficult to formulate or manufacture. First-to-market products allow manufacturers to mitigate risks from competitive pressures commonly associated with commoditized generic products. Additional information is included throughout this Part I, Item 1.</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right="240" w:firstLine="486"/>
        <w:spacing w:after="0" w:line="285" w:lineRule="auto"/>
        <w:rPr>
          <w:sz w:val="20"/>
          <w:szCs w:val="20"/>
          <w:color w:val="auto"/>
        </w:rPr>
      </w:pPr>
      <w:r>
        <w:rPr>
          <w:rFonts w:ascii="Arial" w:cs="Arial" w:eastAsia="Arial" w:hAnsi="Arial"/>
          <w:sz w:val="16"/>
          <w:szCs w:val="16"/>
          <w:color w:val="auto"/>
        </w:rPr>
        <w:t>Endo International plc is a specialty pharmaceutical company committed to helping everyone we serve live their best life through the delivery of high-quality, life-enhancing therapies. We are focused on driving long-term growth through a diversified and durable portfolio of businesses, continuing product development and manufacturing and commercialization excellence. Our strategic priorities include expanding and enhancing our portfolio with differentiated and durable products; reinventing how we work to better serve our customers, promote innovation and improve productivity; and being a force for good by embracing and adopting sustainable practices that benefit all of our stakeholders. Specific areas of management’s focus include:</w:t>
      </w:r>
    </w:p>
    <w:p>
      <w:pPr>
        <w:spacing w:after="0" w:line="2" w:lineRule="exact"/>
        <w:rPr>
          <w:sz w:val="20"/>
          <w:szCs w:val="20"/>
          <w:color w:val="auto"/>
        </w:rPr>
      </w:pPr>
    </w:p>
    <w:p>
      <w:pPr>
        <w:ind w:left="900" w:right="120" w:hanging="244"/>
        <w:spacing w:after="0" w:line="239" w:lineRule="auto"/>
        <w:tabs>
          <w:tab w:leader="none" w:pos="895"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color w:val="auto"/>
        </w:rPr>
        <w:t>Branded Pharmaceuticals: Accelerating performance of organic growth drivers in our Specialty Products portfolio, expanding margin in our Established Products portfolio and preparing to enter the medical aesthetics market with the planned spring 2021 launch of QWO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(collagenase clostridium histolyticum-aaes), which was approved by the FDA in July 2020 for the treatment of moderate to severe cellulite in the buttocks of adult women. As further described below under the heading “Select Development Projects,” management is also focused on investing in key product life cycle management and other development opportunities, including in the areas of medical therapeutics and medical aesthetics.</w:t>
      </w:r>
    </w:p>
    <w:p>
      <w:pPr>
        <w:spacing w:after="0" w:line="2" w:lineRule="exact"/>
        <w:rPr>
          <w:rFonts w:ascii="Arial" w:cs="Arial" w:eastAsia="Arial" w:hAnsi="Arial"/>
          <w:sz w:val="18"/>
          <w:szCs w:val="18"/>
          <w:b w:val="1"/>
          <w:bCs w:val="1"/>
          <w:i w:val="1"/>
          <w:iCs w:val="1"/>
          <w:color w:val="auto"/>
        </w:rPr>
      </w:pPr>
    </w:p>
    <w:p>
      <w:pPr>
        <w:ind w:left="900" w:right="20" w:hanging="244"/>
        <w:spacing w:after="0" w:line="250" w:lineRule="auto"/>
        <w:tabs>
          <w:tab w:leader="none" w:pos="895"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Sterile Injectables: Focusing on developing branded injectable products with inherent scientific, regulatory, legal and technical complexities, expanding the product portfolio to include other dosages and technologies and developing or acquiring high-barrier-to-entry, generic injectable products that are difficult to manufacture.</w:t>
      </w:r>
    </w:p>
    <w:p>
      <w:pPr>
        <w:spacing w:after="0" w:line="1" w:lineRule="exact"/>
        <w:rPr>
          <w:rFonts w:ascii="Arial" w:cs="Arial" w:eastAsia="Arial" w:hAnsi="Arial"/>
          <w:sz w:val="18"/>
          <w:szCs w:val="18"/>
          <w:color w:val="auto"/>
        </w:rPr>
      </w:pPr>
    </w:p>
    <w:p>
      <w:pPr>
        <w:ind w:left="900" w:right="680" w:hanging="244"/>
        <w:spacing w:after="0" w:line="290" w:lineRule="auto"/>
        <w:tabs>
          <w:tab w:leader="none" w:pos="895"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Generic Pharmaceuticals: Focusing on developing or acquiring high-barrier-to-entry products, including first-to-file or first-to-market opportunities that are difficult to formulate or manufacture or face complex legal and regulatory challenges.</w:t>
      </w:r>
    </w:p>
    <w:p>
      <w:pPr>
        <w:spacing w:after="0" w:line="53"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Additionally, we are committed to the adoption of more sustainable practices, including the promotion of diversity and inclusion. While our primary focus is on organic growth, we will continue to evaluate and, where appropriate, execute on opportunities to expand through acquisitions of products and companies. There can be no assurance that we will be successful in executing on our strategy.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successfully execute our strategy, we must continue to capitalize on our following core strengths:</w:t>
      </w:r>
    </w:p>
    <w:p>
      <w:pPr>
        <w:spacing w:after="0" w:line="117" w:lineRule="exact"/>
        <w:rPr>
          <w:sz w:val="20"/>
          <w:szCs w:val="20"/>
          <w:color w:val="auto"/>
        </w:rPr>
      </w:pPr>
    </w:p>
    <w:p>
      <w:pPr>
        <w:ind w:right="20" w:firstLine="486"/>
        <w:spacing w:after="0" w:line="248" w:lineRule="auto"/>
        <w:rPr>
          <w:sz w:val="20"/>
          <w:szCs w:val="20"/>
          <w:color w:val="auto"/>
        </w:rPr>
      </w:pPr>
      <w:r>
        <w:rPr>
          <w:rFonts w:ascii="Arial" w:cs="Arial" w:eastAsia="Arial" w:hAnsi="Arial"/>
          <w:sz w:val="17"/>
          <w:szCs w:val="17"/>
          <w:b w:val="1"/>
          <w:bCs w:val="1"/>
          <w:i w:val="1"/>
          <w:iCs w:val="1"/>
          <w:color w:val="auto"/>
        </w:rPr>
        <w:t xml:space="preserve">Experienced and dedicated management team. </w:t>
      </w:r>
      <w:r>
        <w:rPr>
          <w:rFonts w:ascii="Arial" w:cs="Arial" w:eastAsia="Arial" w:hAnsi="Arial"/>
          <w:sz w:val="17"/>
          <w:szCs w:val="17"/>
          <w:color w:val="auto"/>
        </w:rPr>
        <w:t>We have a highly skilled and customer-focused management team in critical leadership positions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across Endo. Our senior management team has extensive experience in the pharmaceutical and medical aesthetics industry, including improving business performance through organic revenue growth, operational excellence and through the identification, consummation and integration of licensing and acquisition opportunities. This experience is demonstrated through a proven track record of developing businesses and creating value. For example, in recent years, our management team has led our development and commercialization programs for QWO</w:t>
      </w:r>
      <w:r>
        <w:rPr>
          <w:rFonts w:ascii="Arial" w:cs="Arial" w:eastAsia="Arial" w:hAnsi="Arial"/>
          <w:sz w:val="22"/>
          <w:szCs w:val="22"/>
          <w:color w:val="auto"/>
          <w:vertAlign w:val="superscript"/>
        </w:rPr>
        <w:t>®</w:t>
      </w:r>
      <w:r>
        <w:rPr>
          <w:rFonts w:ascii="Arial" w:cs="Arial" w:eastAsia="Arial" w:hAnsi="Arial"/>
          <w:sz w:val="17"/>
          <w:szCs w:val="17"/>
          <w:color w:val="auto"/>
        </w:rPr>
        <w:t>, which was approved by FDA in July 2020. With our planned launch of QWO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spring 2021, we expect to build a new category in the medical aesthetics market with the first and only FDA-approved injectable for moderate to severe cellulite in the buttocks of adult women.</w:t>
      </w:r>
    </w:p>
    <w:p>
      <w:pPr>
        <w:spacing w:after="0" w:line="87"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b w:val="1"/>
          <w:bCs w:val="1"/>
          <w:i w:val="1"/>
          <w:iCs w:val="1"/>
          <w:color w:val="auto"/>
        </w:rPr>
        <w:t xml:space="preserve">Operational excellence. </w:t>
      </w:r>
      <w:r>
        <w:rPr>
          <w:rFonts w:ascii="Arial" w:cs="Arial" w:eastAsia="Arial" w:hAnsi="Arial"/>
          <w:sz w:val="18"/>
          <w:szCs w:val="18"/>
          <w:color w:val="auto"/>
        </w:rPr>
        <w:t>We have efficient, high-quality manufacturing capabilities across a diversified array of dosage forms in the U.S. and India.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our comprehensive suite of technology, manufacturing and development competencies increases the likelihood of success in commercializing high-barrier-to-entry products and obtaining first-to-file and first-to-market status on future products, yielding more sustainable market share and profitability. For example, our capabilities in the rapidly growing U.S. market for sterile products afford us with a broader and more diversified product portfolio and a greater selection of targets for potential development.</w:t>
      </w:r>
    </w:p>
    <w:p>
      <w:pPr>
        <w:spacing w:after="0" w:line="80" w:lineRule="exact"/>
        <w:rPr>
          <w:sz w:val="20"/>
          <w:szCs w:val="20"/>
          <w:color w:val="auto"/>
        </w:rPr>
      </w:pPr>
    </w:p>
    <w:p>
      <w:pPr>
        <w:jc w:val="both"/>
        <w:ind w:right="280" w:firstLine="486"/>
        <w:spacing w:after="0" w:line="311" w:lineRule="auto"/>
        <w:rPr>
          <w:sz w:val="20"/>
          <w:szCs w:val="20"/>
          <w:color w:val="auto"/>
        </w:rPr>
      </w:pPr>
      <w:r>
        <w:rPr>
          <w:rFonts w:ascii="Arial" w:cs="Arial" w:eastAsia="Arial" w:hAnsi="Arial"/>
          <w:sz w:val="16"/>
          <w:szCs w:val="16"/>
          <w:color w:val="auto"/>
        </w:rPr>
        <w:t>We believe that our competitive advantages include our integrated team-based approach to product development that combines our formulation, regulatory, legal, manufacturing and commercial capabilities; our ability to introduce new generic equivalents for brand-name products; our quality and cost-effective production; our ability to meet customer and/or patient expectations and the breadth of our existing product offerings.</w:t>
      </w:r>
    </w:p>
    <w:p>
      <w:pPr>
        <w:spacing w:after="0" w:line="41" w:lineRule="exact"/>
        <w:rPr>
          <w:sz w:val="20"/>
          <w:szCs w:val="20"/>
          <w:color w:val="auto"/>
        </w:rPr>
      </w:pPr>
    </w:p>
    <w:p>
      <w:pPr>
        <w:ind w:right="60" w:firstLine="486"/>
        <w:spacing w:after="0" w:line="311" w:lineRule="auto"/>
        <w:rPr>
          <w:sz w:val="20"/>
          <w:szCs w:val="20"/>
          <w:color w:val="auto"/>
        </w:rPr>
      </w:pPr>
      <w:r>
        <w:rPr>
          <w:rFonts w:ascii="Arial" w:cs="Arial" w:eastAsia="Arial" w:hAnsi="Arial"/>
          <w:sz w:val="16"/>
          <w:szCs w:val="16"/>
          <w:b w:val="1"/>
          <w:bCs w:val="1"/>
          <w:i w:val="1"/>
          <w:iCs w:val="1"/>
          <w:color w:val="auto"/>
        </w:rPr>
        <w:t xml:space="preserve">Growth of our branded Specialty Products portfolio while leveraging the strength of our Established Products portfolio. </w:t>
      </w:r>
      <w:r>
        <w:rPr>
          <w:rFonts w:ascii="Arial" w:cs="Arial" w:eastAsia="Arial" w:hAnsi="Arial"/>
          <w:sz w:val="16"/>
          <w:szCs w:val="16"/>
          <w:color w:val="auto"/>
        </w:rPr>
        <w:t>We have assembled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of branded products offered by our Branded Pharmaceuticals segment to treat and manage conditions in the areas of urology, orthopedics, endocrinology and bariatrics, among others. Additional information on these product portfolios is included below under the heading “Products Overview.”</w:t>
      </w:r>
    </w:p>
    <w:p>
      <w:pPr>
        <w:spacing w:after="0" w:line="41"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b w:val="1"/>
          <w:bCs w:val="1"/>
          <w:i w:val="1"/>
          <w:iCs w:val="1"/>
          <w:color w:val="auto"/>
        </w:rPr>
        <w:t xml:space="preserve">Optimizing our portfolios to focus on differentiated products. </w:t>
      </w:r>
      <w:r>
        <w:rPr>
          <w:rFonts w:ascii="Arial" w:cs="Arial" w:eastAsia="Arial" w:hAnsi="Arial"/>
          <w:sz w:val="17"/>
          <w:szCs w:val="17"/>
          <w:color w:val="auto"/>
        </w:rPr>
        <w:t>By leveraging operational efficiency and taking actions to optimize our cost structure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when appropriate, we aim to be low-cost producers of high-barrier-to-entry products, including products that meet the evolving needs of hospitals and health systems, including RTU sterile injectable products, and first-to-file and first-to-market generic opportunities that are difficult to formulate or manufacture or face complex legal and regulatory challenges. We believe that focusing on products with these characteristics will result in products with longer life cycles and higher profitability than products without these characteristics.</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Continuing proactive diversification of our business. </w:t>
      </w:r>
      <w:r>
        <w:rPr>
          <w:rFonts w:ascii="Arial" w:cs="Arial" w:eastAsia="Arial" w:hAnsi="Arial"/>
          <w:sz w:val="18"/>
          <w:szCs w:val="18"/>
          <w:color w:val="auto"/>
        </w:rPr>
        <w:t>Our primary focus is on organic growth. However, we will evaluate and, where appropriate,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execute on opportunities to expand through acquisitions of products and companies in areas that will serve patients and customers and that we believe will offer attractive growth characteristics and margins. In particular, we will look to continue to enhance our product lines by acquiring or licensing rights to additional products and regularly evaluating selective acquisition opportunities.</w:t>
      </w:r>
    </w:p>
    <w:p>
      <w:pPr>
        <w:spacing w:after="0" w:line="79"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b w:val="1"/>
          <w:bCs w:val="1"/>
          <w:i w:val="1"/>
          <w:iCs w:val="1"/>
          <w:color w:val="auto"/>
        </w:rPr>
        <w:t xml:space="preserve">R&amp;D expertise. </w:t>
      </w:r>
      <w:r>
        <w:rPr>
          <w:rFonts w:ascii="Arial" w:cs="Arial" w:eastAsia="Arial" w:hAnsi="Arial"/>
          <w:sz w:val="17"/>
          <w:szCs w:val="17"/>
          <w:color w:val="auto"/>
        </w:rPr>
        <w:t>Our R&amp;D efforts are focused on the development of a diversified portfolio of innovative and clinically differentiated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candidates. For example, in recent years, our Branded Pharmaceuticals research has focused on leveraging our expertise in collagenase clostridium histolyticum (CCH) and seeking novel indications for this class of biologics. Our Sterile Injectables and Generic Pharmaceuticals segments seek out and develop high-barrier-to-entry products, with an emphasis on complex sterile injectable products, such as RTU products, and first-to-file or first-to-market opportunities. We periodically review our R&amp;D pipeline in order to better direct investment toward those opportunities that we expect will deliver the greatest returns. Our current R&amp;D pipeline consists of products in various stages of development. For additional detail, see “Select Development Projects.” Our R&amp;D and regulatory affairs staff is based primarily in India and Pennsylvania.</w:t>
      </w:r>
    </w:p>
    <w:p>
      <w:pPr>
        <w:spacing w:after="0" w:line="69"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b w:val="1"/>
          <w:bCs w:val="1"/>
          <w:i w:val="1"/>
          <w:iCs w:val="1"/>
          <w:color w:val="auto"/>
        </w:rPr>
        <w:t xml:space="preserve">Targeted sales and marketing infrastructure. </w:t>
      </w:r>
      <w:r>
        <w:rPr>
          <w:rFonts w:ascii="Arial" w:cs="Arial" w:eastAsia="Arial" w:hAnsi="Arial"/>
          <w:sz w:val="18"/>
          <w:szCs w:val="18"/>
          <w:color w:val="auto"/>
        </w:rPr>
        <w:t>Our sales and marketing activities are based in the U.S. and Canada and primarily focus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promotion of our Specialty Products portfolio and Sterile Injectables segment.</w:t>
      </w:r>
    </w:p>
    <w:p>
      <w:pPr>
        <w:spacing w:after="0" w:line="62"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We market our Specialty Products directly to specialty physicians, including those specializing in urology, orthopedics, pediatric endocrinology and bariatric surgery. Our sales force also directs its marketing efforts on retail pharmacies and other healthcare professionals. We distribute our Specialty Products through independent wholesale distributors, but we also sell directly to retailers, clinics, government agencies, doctors, independent retail and specialty pharmacies and independent specialty distributors. Our marketing policy is designed to provide physicians, pharmacies, hospitals, public and private payers and appropriate healthcare professionals with products and appropriate medical information. We work to gain access to various formularies (lists of recommended or approved medicines and other products) and reimbursement lists by demonstrating the qualities and treatment benefits of our products within their approved indications.</w:t>
      </w:r>
    </w:p>
    <w:p>
      <w:pPr>
        <w:spacing w:after="0" w:line="64" w:lineRule="exact"/>
        <w:rPr>
          <w:sz w:val="20"/>
          <w:szCs w:val="20"/>
          <w:color w:val="auto"/>
        </w:rPr>
      </w:pPr>
    </w:p>
    <w:p>
      <w:pPr>
        <w:ind w:right="20" w:firstLine="486"/>
        <w:spacing w:after="0" w:line="241" w:lineRule="auto"/>
        <w:rPr>
          <w:sz w:val="20"/>
          <w:szCs w:val="20"/>
          <w:color w:val="auto"/>
        </w:rPr>
      </w:pPr>
      <w:r>
        <w:rPr>
          <w:rFonts w:ascii="Arial" w:cs="Arial" w:eastAsia="Arial" w:hAnsi="Arial"/>
          <w:sz w:val="18"/>
          <w:szCs w:val="18"/>
          <w:color w:val="auto"/>
        </w:rPr>
        <w:t>With our planned launch of QWO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spring 2021, our expanded sales force will extend its selling efforts and promotional activities to dermatologists, plastic surgeons and aesthetic specialty physicians. In addition to advertising in professional journals, participating in medical meetings and conventions and utilizing direct mail and internet programs to provide descriptive product literature and scientific information to specialists in the medical aesthetics field, we also plan to launch branded and unbranded marketing campaigns across digital, social and television platforms to reach our target consumers.</w:t>
      </w:r>
    </w:p>
    <w:p>
      <w:pPr>
        <w:spacing w:after="0" w:line="96"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Our dedicated Sterile Injectables sales and marketing team is focused on health systems and national group purchasing organizations (GPOs). Our customers’ growing complexity requires us to engage directly with key stakeholders and decision makers. Our experienced sales and marketing team is key to growing our existing portfolio and executing on new product launches.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Branded Pharmaceuticals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displays the revenues from external customers of our Branded Pharmaceuticals segment for the years ended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and 2018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15"/>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Specialty Products: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XIAFLEX®</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316,234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327,638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264,638</w:t>
            </w:r>
          </w:p>
        </w:tc>
      </w:tr>
      <w:tr>
        <w:trPr>
          <w:trHeight w:val="230"/>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SUPPRELIN® LA</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81,707</w:t>
            </w:r>
          </w:p>
        </w:tc>
      </w:tr>
      <w:tr>
        <w:trPr>
          <w:trHeight w:val="229"/>
        </w:trPr>
        <w:tc>
          <w:tcPr>
            <w:tcW w:w="6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Specialty (1)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105,241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98,230</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Specialty Products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497,078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519,676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444,575</w:t>
            </w:r>
          </w:p>
        </w:tc>
      </w:tr>
      <w:tr>
        <w:trPr>
          <w:trHeight w:val="210"/>
        </w:trPr>
        <w:tc>
          <w:tcPr>
            <w:tcW w:w="6940" w:type="dxa"/>
            <w:vAlign w:val="bottom"/>
          </w:tcPr>
          <w:p>
            <w:pPr>
              <w:ind w:left="20"/>
              <w:spacing w:after="0"/>
              <w:rPr>
                <w:sz w:val="20"/>
                <w:szCs w:val="20"/>
                <w:color w:val="auto"/>
              </w:rPr>
            </w:pPr>
            <w:r>
              <w:rPr>
                <w:rFonts w:ascii="Arial" w:cs="Arial" w:eastAsia="Arial" w:hAnsi="Arial"/>
                <w:sz w:val="18"/>
                <w:szCs w:val="18"/>
                <w:i w:val="1"/>
                <w:iCs w:val="1"/>
                <w:color w:val="auto"/>
              </w:rPr>
              <w:t>Established Products: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PERCOCET®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122,901</w:t>
            </w: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TESTOPEL®</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55,244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58,377</w:t>
            </w:r>
          </w:p>
        </w:tc>
      </w:tr>
      <w:tr>
        <w:trPr>
          <w:trHeight w:val="229"/>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Established (2)</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164,470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236,979</w:t>
            </w:r>
          </w:p>
        </w:tc>
      </w:tr>
      <w:tr>
        <w:trPr>
          <w:trHeight w:val="22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Established Products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335,726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418,257</w:t>
            </w: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Branded Pharmaceuticals (3)</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781,780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855,402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862,832</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Products included within Other Specialty are NASCOBAL</w:t>
      </w:r>
      <w:r>
        <w:rPr>
          <w:rFonts w:ascii="Arial" w:cs="Arial" w:eastAsia="Arial" w:hAnsi="Arial"/>
          <w:sz w:val="9"/>
          <w:szCs w:val="9"/>
          <w:color w:val="auto"/>
        </w:rPr>
        <w:t>®</w:t>
      </w:r>
      <w:r>
        <w:rPr>
          <w:rFonts w:ascii="Arial" w:cs="Arial" w:eastAsia="Arial" w:hAnsi="Arial"/>
          <w:sz w:val="14"/>
          <w:szCs w:val="14"/>
          <w:color w:val="auto"/>
        </w:rPr>
        <w:t xml:space="preserve"> Nasal Spray and AVEED</w:t>
      </w:r>
      <w:r>
        <w:rPr>
          <w:rFonts w:ascii="Arial" w:cs="Arial" w:eastAsia="Arial" w:hAnsi="Arial"/>
          <w:sz w:val="9"/>
          <w:szCs w:val="9"/>
          <w:color w:val="auto"/>
        </w:rPr>
        <w:t>®</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560" w:hanging="309"/>
        <w:spacing w:after="0"/>
        <w:tabs>
          <w:tab w:leader="none" w:pos="56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EDEX</w:t>
      </w:r>
      <w:r>
        <w:rPr>
          <w:rFonts w:ascii="Arial" w:cs="Arial" w:eastAsia="Arial" w:hAnsi="Arial"/>
          <w:sz w:val="9"/>
          <w:szCs w:val="9"/>
          <w:color w:val="auto"/>
        </w:rPr>
        <w:t>®</w:t>
      </w:r>
      <w:r>
        <w:rPr>
          <w:rFonts w:ascii="Arial" w:cs="Arial" w:eastAsia="Arial" w:hAnsi="Arial"/>
          <w:sz w:val="14"/>
          <w:szCs w:val="14"/>
          <w:color w:val="auto"/>
        </w:rPr>
        <w:t xml:space="preserve"> and LIDODERM</w:t>
      </w:r>
      <w:r>
        <w:rPr>
          <w:rFonts w:ascii="Arial" w:cs="Arial" w:eastAsia="Arial" w:hAnsi="Arial"/>
          <w:sz w:val="9"/>
          <w:szCs w:val="9"/>
          <w:color w:val="auto"/>
        </w:rPr>
        <w:t>®</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580" w:right="180" w:hanging="329"/>
        <w:spacing w:after="0" w:line="255" w:lineRule="auto"/>
        <w:tabs>
          <w:tab w:leader="none" w:pos="568" w:val="left"/>
        </w:tabs>
        <w:numPr>
          <w:ilvl w:val="0"/>
          <w:numId w:val="4"/>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for the year ended December 31, 2020 and/or any product having revenues in excess of $100 million during any of the years ended December 31, 2020, 2019 or 2018 or $25 million during any quarterly period in 2020 or 2019.</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Specialty Products Portfolio</w:t>
      </w:r>
    </w:p>
    <w:p>
      <w:pPr>
        <w:spacing w:after="0" w:line="117" w:lineRule="exact"/>
        <w:rPr>
          <w:sz w:val="20"/>
          <w:szCs w:val="20"/>
          <w:color w:val="auto"/>
        </w:rPr>
      </w:pPr>
    </w:p>
    <w:p>
      <w:pPr>
        <w:ind w:right="180" w:firstLine="486"/>
        <w:spacing w:after="0" w:line="251" w:lineRule="auto"/>
        <w:rPr>
          <w:sz w:val="20"/>
          <w:szCs w:val="20"/>
          <w:color w:val="auto"/>
        </w:rPr>
      </w:pPr>
      <w:r>
        <w:rPr>
          <w:rFonts w:ascii="Arial" w:cs="Arial" w:eastAsia="Arial" w:hAnsi="Arial"/>
          <w:sz w:val="18"/>
          <w:szCs w:val="18"/>
          <w:color w:val="auto"/>
        </w:rPr>
        <w:t>Endo commercializes a number of products within the market served by specialty distributors and specialty pharmacies and in which healthcare practitioners can purchase and bill payers directly (the buy and bill market). Our current offerings primarily relate to two distinct areas: (i) urology treatments, which focus mainly on Peyronie’s disease (PD) and testosterone replacement therapies (TRT) for hypogonadism and (ii) orthopedics/pediatric endocrinology treatments, which focus on Dupuytren’s contracture (DC) and central precocious puberty (CPP). Key product offerings in this portfolio include the following:</w:t>
      </w:r>
    </w:p>
    <w:p>
      <w:pPr>
        <w:spacing w:after="0" w:line="2" w:lineRule="exact"/>
        <w:rPr>
          <w:sz w:val="20"/>
          <w:szCs w:val="20"/>
          <w:color w:val="auto"/>
        </w:rPr>
      </w:pPr>
    </w:p>
    <w:p>
      <w:pPr>
        <w:ind w:left="900" w:right="60" w:hanging="244"/>
        <w:spacing w:after="0" w:line="232" w:lineRule="auto"/>
        <w:tabs>
          <w:tab w:leader="none" w:pos="895" w:val="left"/>
        </w:tabs>
        <w:numPr>
          <w:ilvl w:val="0"/>
          <w:numId w:val="5"/>
        </w:numPr>
        <w:rPr>
          <w:rFonts w:ascii="Arial" w:cs="Arial" w:eastAsia="Arial" w:hAnsi="Arial"/>
          <w:sz w:val="18"/>
          <w:szCs w:val="18"/>
          <w:color w:val="auto"/>
        </w:rPr>
      </w:pPr>
      <w:r>
        <w:rPr>
          <w:rFonts w:ascii="Arial" w:cs="Arial" w:eastAsia="Arial" w:hAnsi="Arial"/>
          <w:sz w:val="18"/>
          <w:szCs w:val="18"/>
          <w:color w:val="auto"/>
        </w:rPr>
        <w:t>XIAFLEX</w:t>
      </w:r>
      <w:r>
        <w:rPr>
          <w:rFonts w:ascii="Arial" w:cs="Arial" w:eastAsia="Arial" w:hAnsi="Arial"/>
          <w:sz w:val="23"/>
          <w:szCs w:val="23"/>
          <w:color w:val="auto"/>
          <w:vertAlign w:val="superscript"/>
        </w:rPr>
        <w:t>®</w:t>
      </w:r>
      <w:r>
        <w:rPr>
          <w:rFonts w:ascii="Arial" w:cs="Arial" w:eastAsia="Arial" w:hAnsi="Arial"/>
          <w:sz w:val="18"/>
          <w:szCs w:val="18"/>
          <w:color w:val="auto"/>
        </w:rPr>
        <w:t>, which is a non-surgical treatment for both DC (for adult patients with an abnormal buildup of collagen in the fingers that limits or disables hand function) and PD (for adult men with a collagen plaque and a penile curvature deformity of thirty degrees or greater at the start of therapy).</w:t>
      </w:r>
    </w:p>
    <w:p>
      <w:pPr>
        <w:spacing w:after="0" w:line="1" w:lineRule="exact"/>
        <w:rPr>
          <w:rFonts w:ascii="Arial" w:cs="Arial" w:eastAsia="Arial" w:hAnsi="Arial"/>
          <w:sz w:val="18"/>
          <w:szCs w:val="18"/>
          <w:color w:val="auto"/>
        </w:rPr>
      </w:pPr>
    </w:p>
    <w:p>
      <w:pPr>
        <w:ind w:left="900" w:right="520" w:hanging="244"/>
        <w:spacing w:after="0" w:line="219" w:lineRule="auto"/>
        <w:tabs>
          <w:tab w:leader="none" w:pos="895"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 which is a soft, flexible 12-month hydrogel implant based on our hydrogel polymer technology that delivers histrelin acetate, a gonadotropin-releasing hormone agonist, and is indicated for the treatment of CPP in children.</w:t>
      </w:r>
    </w:p>
    <w:p>
      <w:pPr>
        <w:spacing w:after="0" w:line="1" w:lineRule="exact"/>
        <w:rPr>
          <w:rFonts w:ascii="Arial" w:cs="Arial" w:eastAsia="Arial" w:hAnsi="Arial"/>
          <w:sz w:val="18"/>
          <w:szCs w:val="18"/>
          <w:color w:val="auto"/>
        </w:rPr>
      </w:pPr>
    </w:p>
    <w:p>
      <w:pPr>
        <w:ind w:left="900" w:hanging="244"/>
        <w:spacing w:after="0" w:line="19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NASCOBAL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Nasal Spray, which is a prescription nasal spray used as a supplement to treat vitamin B12 deficiency.</w:t>
      </w:r>
    </w:p>
    <w:p>
      <w:pPr>
        <w:ind w:left="900" w:right="100" w:hanging="244"/>
        <w:spacing w:after="0" w:line="219" w:lineRule="auto"/>
        <w:tabs>
          <w:tab w:leader="none" w:pos="895"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AVEED</w:t>
      </w:r>
      <w:r>
        <w:rPr>
          <w:rFonts w:ascii="Arial" w:cs="Arial" w:eastAsia="Arial" w:hAnsi="Arial"/>
          <w:sz w:val="23"/>
          <w:szCs w:val="23"/>
          <w:color w:val="auto"/>
          <w:vertAlign w:val="superscript"/>
        </w:rPr>
        <w:t>®</w:t>
      </w:r>
      <w:r>
        <w:rPr>
          <w:rFonts w:ascii="Arial" w:cs="Arial" w:eastAsia="Arial" w:hAnsi="Arial"/>
          <w:sz w:val="18"/>
          <w:szCs w:val="18"/>
          <w:color w:val="auto"/>
        </w:rPr>
        <w:t>, which is a novel, long-acting testosterone undecanoate for injection for the treatment of hypogonadism that is dosed only five times per year after the first month of therapy.</w:t>
      </w:r>
    </w:p>
    <w:p>
      <w:pPr>
        <w:spacing w:after="0" w:line="88" w:lineRule="exact"/>
        <w:rPr>
          <w:sz w:val="20"/>
          <w:szCs w:val="20"/>
          <w:color w:val="auto"/>
        </w:rPr>
      </w:pPr>
    </w:p>
    <w:p>
      <w:pPr>
        <w:jc w:val="both"/>
        <w:ind w:right="260" w:firstLine="486"/>
        <w:spacing w:after="0" w:line="236" w:lineRule="auto"/>
        <w:rPr>
          <w:sz w:val="20"/>
          <w:szCs w:val="20"/>
          <w:color w:val="auto"/>
        </w:rPr>
      </w:pPr>
      <w:r>
        <w:rPr>
          <w:rFonts w:ascii="Arial" w:cs="Arial" w:eastAsia="Arial" w:hAnsi="Arial"/>
          <w:sz w:val="18"/>
          <w:szCs w:val="18"/>
          <w:color w:val="auto"/>
        </w:rPr>
        <w:t>Additionally, QWO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was approved by the FDA in July 2020 for the treatment of moderate to severe cellulite in the buttocks of adult women. The anticipated launch of QWO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in spring 2021.</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Established Products Portfolio</w:t>
      </w:r>
    </w:p>
    <w:p>
      <w:pPr>
        <w:spacing w:after="0" w:line="117" w:lineRule="exact"/>
        <w:rPr>
          <w:sz w:val="20"/>
          <w:szCs w:val="20"/>
          <w:color w:val="auto"/>
        </w:rPr>
      </w:pPr>
    </w:p>
    <w:p>
      <w:pPr>
        <w:jc w:val="both"/>
        <w:ind w:right="260" w:firstLine="486"/>
        <w:spacing w:after="0" w:line="252" w:lineRule="auto"/>
        <w:rPr>
          <w:sz w:val="20"/>
          <w:szCs w:val="20"/>
          <w:color w:val="auto"/>
        </w:rPr>
      </w:pPr>
      <w:r>
        <w:rPr>
          <w:rFonts w:ascii="Arial" w:cs="Arial" w:eastAsia="Arial" w:hAnsi="Arial"/>
          <w:sz w:val="18"/>
          <w:szCs w:val="18"/>
          <w:color w:val="auto"/>
        </w:rPr>
        <w:t>This portfolio’s current treatment offerings primarily relate to two distinct areas: (i) pain management, including products in the opioid analgesics segment and for the treatment of pain associated with post-herpetic neuralgia, and (ii) urology, focusing mainly on the treatment of hypogonadism. Key product offerings in this portfolio include, among others, the following:</w:t>
      </w:r>
    </w:p>
    <w:p>
      <w:pPr>
        <w:ind w:left="900" w:hanging="244"/>
        <w:spacing w:after="0" w:line="20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PERCOCET</w:t>
      </w:r>
      <w:r>
        <w:rPr>
          <w:rFonts w:ascii="Arial" w:cs="Arial" w:eastAsia="Arial" w:hAnsi="Arial"/>
          <w:sz w:val="23"/>
          <w:szCs w:val="23"/>
          <w:color w:val="auto"/>
          <w:vertAlign w:val="superscript"/>
        </w:rPr>
        <w:t>®</w:t>
      </w:r>
      <w:r>
        <w:rPr>
          <w:rFonts w:ascii="Arial" w:cs="Arial" w:eastAsia="Arial" w:hAnsi="Arial"/>
          <w:sz w:val="18"/>
          <w:szCs w:val="18"/>
          <w:color w:val="auto"/>
        </w:rPr>
        <w:t>, which is an opioid analgesic approved for the treatment of moderate-to-moderately-severe pain.</w:t>
      </w:r>
    </w:p>
    <w:p>
      <w:pPr>
        <w:ind w:left="900" w:right="400" w:hanging="244"/>
        <w:spacing w:after="0" w:line="219" w:lineRule="auto"/>
        <w:tabs>
          <w:tab w:leader="none" w:pos="8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TESTOPEL</w:t>
      </w:r>
      <w:r>
        <w:rPr>
          <w:rFonts w:ascii="Arial" w:cs="Arial" w:eastAsia="Arial" w:hAnsi="Arial"/>
          <w:sz w:val="23"/>
          <w:szCs w:val="23"/>
          <w:color w:val="auto"/>
          <w:vertAlign w:val="superscript"/>
        </w:rPr>
        <w:t>®</w:t>
      </w:r>
      <w:r>
        <w:rPr>
          <w:rFonts w:ascii="Arial" w:cs="Arial" w:eastAsia="Arial" w:hAnsi="Arial"/>
          <w:sz w:val="18"/>
          <w:szCs w:val="18"/>
          <w:color w:val="auto"/>
        </w:rPr>
        <w:t>, which is a unique, long-acting implantable pellet indicated for TRT in conditions associated with a deficiency or absence of endogenous testosterone.</w:t>
      </w:r>
    </w:p>
    <w:p>
      <w:pPr>
        <w:ind w:left="900" w:right="220" w:hanging="244"/>
        <w:spacing w:after="0" w:line="219" w:lineRule="auto"/>
        <w:tabs>
          <w:tab w:leader="none" w:pos="895" w:val="left"/>
        </w:tabs>
        <w:numPr>
          <w:ilvl w:val="0"/>
          <w:numId w:val="6"/>
        </w:numPr>
        <w:rPr>
          <w:rFonts w:ascii="Arial" w:cs="Arial" w:eastAsia="Arial" w:hAnsi="Arial"/>
          <w:sz w:val="18"/>
          <w:szCs w:val="18"/>
          <w:color w:val="auto"/>
        </w:rPr>
      </w:pPr>
      <w:r>
        <w:rPr>
          <w:rFonts w:ascii="Arial" w:cs="Arial" w:eastAsia="Arial" w:hAnsi="Arial"/>
          <w:sz w:val="18"/>
          <w:szCs w:val="18"/>
          <w:color w:val="auto"/>
        </w:rPr>
        <w:t>EDEX</w:t>
      </w:r>
      <w:r>
        <w:rPr>
          <w:rFonts w:ascii="Arial" w:cs="Arial" w:eastAsia="Arial" w:hAnsi="Arial"/>
          <w:sz w:val="23"/>
          <w:szCs w:val="23"/>
          <w:color w:val="auto"/>
          <w:vertAlign w:val="superscript"/>
        </w:rPr>
        <w:t>®</w:t>
      </w:r>
      <w:r>
        <w:rPr>
          <w:rFonts w:ascii="Arial" w:cs="Arial" w:eastAsia="Arial" w:hAnsi="Arial"/>
          <w:sz w:val="18"/>
          <w:szCs w:val="18"/>
          <w:color w:val="auto"/>
        </w:rPr>
        <w:t>, which is a penile injection used to treat erectile dysfunction caused by conditions affecting nerves, blood vessels, emotions and/or a combination of factors.</w:t>
      </w:r>
    </w:p>
    <w:p>
      <w:pPr>
        <w:spacing w:after="0" w:line="1" w:lineRule="exact"/>
        <w:rPr>
          <w:rFonts w:ascii="Arial" w:cs="Arial" w:eastAsia="Arial" w:hAnsi="Arial"/>
          <w:sz w:val="18"/>
          <w:szCs w:val="18"/>
          <w:color w:val="auto"/>
        </w:rPr>
      </w:pPr>
    </w:p>
    <w:p>
      <w:pPr>
        <w:ind w:left="900" w:right="600" w:hanging="244"/>
        <w:spacing w:after="0" w:line="263" w:lineRule="auto"/>
        <w:tabs>
          <w:tab w:leader="none" w:pos="895" w:val="left"/>
        </w:tabs>
        <w:numPr>
          <w:ilvl w:val="0"/>
          <w:numId w:val="6"/>
        </w:numPr>
        <w:rPr>
          <w:rFonts w:ascii="Arial" w:cs="Arial" w:eastAsia="Arial" w:hAnsi="Arial"/>
          <w:sz w:val="16"/>
          <w:szCs w:val="16"/>
          <w:color w:val="auto"/>
        </w:rPr>
      </w:pPr>
      <w:r>
        <w:rPr>
          <w:rFonts w:ascii="Arial" w:cs="Arial" w:eastAsia="Arial" w:hAnsi="Arial"/>
          <w:sz w:val="16"/>
          <w:szCs w:val="16"/>
          <w:color w:val="auto"/>
        </w:rPr>
        <w:t>LIDODERM</w:t>
      </w:r>
      <w:r>
        <w:rPr>
          <w:rFonts w:ascii="Arial" w:cs="Arial" w:eastAsia="Arial" w:hAnsi="Arial"/>
          <w:sz w:val="20"/>
          <w:szCs w:val="20"/>
          <w:color w:val="auto"/>
          <w:vertAlign w:val="superscript"/>
        </w:rPr>
        <w:t>®</w:t>
      </w:r>
      <w:r>
        <w:rPr>
          <w:rFonts w:ascii="Arial" w:cs="Arial" w:eastAsia="Arial" w:hAnsi="Arial"/>
          <w:sz w:val="16"/>
          <w:szCs w:val="16"/>
          <w:color w:val="auto"/>
        </w:rPr>
        <w:t>, which is a topical patch product containing lidocaine that is approved for the relief of pain associated with post-herpetic neuralgia, a condition thought to result after nerve fibers are damaged during a case of herpes zoster (commonly known as shingles).</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Company’s pain products, including opioid products, are managed as mature brands and are not and have not been actively promoted for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2016, the Company announced the elimination of its entire U.S. pain product field sales force.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Sterile Injectables</w:t>
      </w:r>
    </w:p>
    <w:p>
      <w:pPr>
        <w:spacing w:after="0" w:line="117"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following table displays the revenues from external customers of our Sterile Injectables segment for the years ended December 31, 2020, 2019 and 2018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29"/>
        </w:trPr>
        <w:tc>
          <w:tcPr>
            <w:tcW w:w="694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VASOSTRICT</w:t>
            </w:r>
            <w:r>
              <w:rPr>
                <w:rFonts w:ascii="Arial" w:cs="Arial" w:eastAsia="Arial" w:hAnsi="Arial"/>
                <w:sz w:val="23"/>
                <w:szCs w:val="23"/>
                <w:color w:val="auto"/>
                <w:vertAlign w:val="superscript"/>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453,767</w:t>
            </w:r>
          </w:p>
        </w:tc>
      </w:tr>
      <w:tr>
        <w:trPr>
          <w:trHeight w:val="230"/>
        </w:trPr>
        <w:tc>
          <w:tcPr>
            <w:tcW w:w="6940" w:type="dxa"/>
            <w:vAlign w:val="bottom"/>
          </w:tcPr>
          <w:p>
            <w:pPr>
              <w:ind w:left="20"/>
              <w:spacing w:after="0" w:line="230" w:lineRule="exact"/>
              <w:rPr>
                <w:sz w:val="20"/>
                <w:szCs w:val="20"/>
                <w:color w:val="auto"/>
              </w:rPr>
            </w:pPr>
            <w:r>
              <w:rPr>
                <w:rFonts w:ascii="Arial" w:cs="Arial" w:eastAsia="Arial" w:hAnsi="Arial"/>
                <w:sz w:val="18"/>
                <w:szCs w:val="18"/>
                <w:color w:val="auto"/>
              </w:rPr>
              <w:t>ADRENALIN</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152,074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179,295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143,489</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Ertapenem for injection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57,668</w:t>
            </w:r>
          </w:p>
        </w:tc>
      </w:tr>
      <w:tr>
        <w:trPr>
          <w:trHeight w:val="230"/>
        </w:trPr>
        <w:tc>
          <w:tcPr>
            <w:tcW w:w="6940" w:type="dxa"/>
            <w:vAlign w:val="bottom"/>
          </w:tcPr>
          <w:p>
            <w:pPr>
              <w:ind w:left="20"/>
              <w:spacing w:after="0" w:line="230" w:lineRule="exact"/>
              <w:rPr>
                <w:sz w:val="20"/>
                <w:szCs w:val="20"/>
                <w:color w:val="auto"/>
              </w:rPr>
            </w:pPr>
            <w:r>
              <w:rPr>
                <w:rFonts w:ascii="Arial" w:cs="Arial" w:eastAsia="Arial" w:hAnsi="Arial"/>
                <w:sz w:val="18"/>
                <w:szCs w:val="18"/>
                <w:color w:val="auto"/>
              </w:rPr>
              <w:t>APLISOL</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36,220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61,826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64,913</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Sterile Injectables (1)</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185,594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209,729</w:t>
            </w:r>
          </w:p>
        </w:tc>
      </w:tr>
      <w:tr>
        <w:trPr>
          <w:trHeight w:val="223"/>
        </w:trPr>
        <w:tc>
          <w:tcPr>
            <w:tcW w:w="6940" w:type="dxa"/>
            <w:vAlign w:val="bottom"/>
          </w:tcPr>
          <w:p>
            <w:pPr>
              <w:ind w:left="140"/>
              <w:spacing w:after="0"/>
              <w:rPr>
                <w:sz w:val="20"/>
                <w:szCs w:val="20"/>
                <w:color w:val="auto"/>
              </w:rPr>
            </w:pPr>
            <w:r>
              <w:rPr>
                <w:rFonts w:ascii="Arial" w:cs="Arial" w:eastAsia="Arial" w:hAnsi="Arial"/>
                <w:sz w:val="18"/>
                <w:szCs w:val="18"/>
                <w:color w:val="auto"/>
              </w:rPr>
              <w:t>Total Sterile Injectables (2)</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1,238,847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1,063,131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929,566</w:t>
            </w:r>
          </w:p>
        </w:tc>
      </w:tr>
      <w:tr>
        <w:trPr>
          <w:trHeight w:val="20"/>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Products included within Other Sterile Injectables include ephedrine sulfate injection and others.</w:t>
      </w:r>
    </w:p>
    <w:p>
      <w:pPr>
        <w:spacing w:after="0" w:line="1" w:lineRule="exact"/>
        <w:rPr>
          <w:rFonts w:ascii="Arial" w:cs="Arial" w:eastAsia="Arial" w:hAnsi="Arial"/>
          <w:sz w:val="14"/>
          <w:szCs w:val="14"/>
          <w:color w:val="auto"/>
        </w:rPr>
      </w:pPr>
    </w:p>
    <w:p>
      <w:pPr>
        <w:ind w:left="580" w:right="120" w:hanging="329"/>
        <w:spacing w:after="0" w:line="293" w:lineRule="auto"/>
        <w:tabs>
          <w:tab w:leader="none" w:pos="572" w:val="left"/>
        </w:tabs>
        <w:numPr>
          <w:ilvl w:val="0"/>
          <w:numId w:val="7"/>
        </w:numPr>
        <w:rPr>
          <w:rFonts w:ascii="Arial" w:cs="Arial" w:eastAsia="Arial" w:hAnsi="Arial"/>
          <w:sz w:val="13"/>
          <w:szCs w:val="13"/>
          <w:color w:val="auto"/>
        </w:rPr>
      </w:pPr>
      <w:r>
        <w:rPr>
          <w:rFonts w:ascii="Arial" w:cs="Arial" w:eastAsia="Arial" w:hAnsi="Arial"/>
          <w:sz w:val="13"/>
          <w:szCs w:val="13"/>
          <w:color w:val="auto"/>
        </w:rPr>
        <w:t>Individual products presented above represent the top two performing products within the Sterile Injectables segment for the year ended December 31, 2020 and/or any product having revenues in excess of $100 million during any of the years ended December 31, 2020, 2019 or 2018 or $25 million during any quarterly period in 2020 or 2019.</w:t>
      </w:r>
    </w:p>
    <w:p>
      <w:pPr>
        <w:spacing w:after="0" w:line="59"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The Sterile Injectables segment includes a product portfolio of more than 30 product families, including branded sterile injectable products that are currently protected by certain patent rights and have inherent scientific, regulatory, legal and technical complexities and generic injectable products that are difficult to formulate or manufacture or face complex legal and regulatory challenges. Our sterile injectables products are manufactured in sterile facilities in vial dosages and are administered at hospitals, clinics and long-term care facilities. The product offerings in this segment include, among others, the following:</w:t>
      </w:r>
    </w:p>
    <w:p>
      <w:pPr>
        <w:spacing w:after="0" w:line="3" w:lineRule="exact"/>
        <w:rPr>
          <w:sz w:val="20"/>
          <w:szCs w:val="20"/>
          <w:color w:val="auto"/>
        </w:rPr>
      </w:pPr>
    </w:p>
    <w:p>
      <w:pPr>
        <w:ind w:left="900" w:right="300" w:hanging="244"/>
        <w:spacing w:after="0" w:line="247" w:lineRule="auto"/>
        <w:tabs>
          <w:tab w:leader="none" w:pos="895" w:val="left"/>
        </w:tabs>
        <w:numPr>
          <w:ilvl w:val="0"/>
          <w:numId w:val="8"/>
        </w:numPr>
        <w:rPr>
          <w:rFonts w:ascii="Arial" w:cs="Arial" w:eastAsia="Arial" w:hAnsi="Arial"/>
          <w:sz w:val="17"/>
          <w:szCs w:val="17"/>
          <w:color w:val="auto"/>
        </w:rPr>
      </w:pPr>
      <w:r>
        <w:rPr>
          <w:rFonts w:ascii="Arial" w:cs="Arial" w:eastAsia="Arial" w:hAnsi="Arial"/>
          <w:sz w:val="17"/>
          <w:szCs w:val="17"/>
          <w:color w:val="auto"/>
        </w:rPr>
        <w:t>VASOSTRICT</w:t>
      </w:r>
      <w:r>
        <w:rPr>
          <w:rFonts w:ascii="Arial" w:cs="Arial" w:eastAsia="Arial" w:hAnsi="Arial"/>
          <w:sz w:val="22"/>
          <w:szCs w:val="22"/>
          <w:color w:val="auto"/>
          <w:vertAlign w:val="superscript"/>
        </w:rPr>
        <w:t>®</w:t>
      </w:r>
      <w:r>
        <w:rPr>
          <w:rFonts w:ascii="Arial" w:cs="Arial" w:eastAsia="Arial" w:hAnsi="Arial"/>
          <w:sz w:val="17"/>
          <w:szCs w:val="17"/>
          <w:color w:val="auto"/>
        </w:rPr>
        <w:t>, which is indicated to increase blood pressure in adults with vasodilatory shock who remain hypotensive despite fluids and catecholamines. VASOSTRICT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the first and currently the only vasopressin injection with an NDA approved by the FDA.</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89" w:lineRule="exact"/>
        <w:rPr>
          <w:sz w:val="20"/>
          <w:szCs w:val="20"/>
          <w:color w:val="auto"/>
        </w:rPr>
      </w:pPr>
    </w:p>
    <w:p>
      <w:pPr>
        <w:ind w:left="900" w:right="360" w:hanging="244"/>
        <w:spacing w:after="0" w:line="229" w:lineRule="auto"/>
        <w:tabs>
          <w:tab w:leader="none" w:pos="895" w:val="left"/>
        </w:tabs>
        <w:numPr>
          <w:ilvl w:val="0"/>
          <w:numId w:val="9"/>
        </w:numPr>
        <w:rPr>
          <w:rFonts w:ascii="Arial" w:cs="Arial" w:eastAsia="Arial" w:hAnsi="Arial"/>
          <w:sz w:val="18"/>
          <w:szCs w:val="18"/>
          <w:color w:val="auto"/>
        </w:rPr>
      </w:pPr>
      <w:r>
        <w:rPr>
          <w:rFonts w:ascii="Arial" w:cs="Arial" w:eastAsia="Arial" w:hAnsi="Arial"/>
          <w:sz w:val="18"/>
          <w:szCs w:val="18"/>
          <w:color w:val="auto"/>
        </w:rPr>
        <w:t>ADRENALIN</w:t>
      </w:r>
      <w:r>
        <w:rPr>
          <w:rFonts w:ascii="Arial" w:cs="Arial" w:eastAsia="Arial" w:hAnsi="Arial"/>
          <w:sz w:val="23"/>
          <w:szCs w:val="23"/>
          <w:color w:val="auto"/>
          <w:vertAlign w:val="superscript"/>
        </w:rPr>
        <w:t>®</w:t>
      </w:r>
      <w:r>
        <w:rPr>
          <w:rFonts w:ascii="Arial" w:cs="Arial" w:eastAsia="Arial" w:hAnsi="Arial"/>
          <w:sz w:val="18"/>
          <w:szCs w:val="18"/>
          <w:color w:val="auto"/>
        </w:rPr>
        <w:t>, which is a non-selective alpha and beta adrenergic agonist indicated for emergency treatment of certain allergic reactions, including anaphylaxis.</w:t>
      </w:r>
    </w:p>
    <w:p>
      <w:pPr>
        <w:spacing w:after="0" w:line="1" w:lineRule="exact"/>
        <w:rPr>
          <w:rFonts w:ascii="Arial" w:cs="Arial" w:eastAsia="Arial" w:hAnsi="Arial"/>
          <w:sz w:val="18"/>
          <w:szCs w:val="18"/>
          <w:color w:val="auto"/>
        </w:rPr>
      </w:pPr>
    </w:p>
    <w:p>
      <w:pPr>
        <w:ind w:left="900" w:right="280" w:hanging="244"/>
        <w:spacing w:after="0" w:line="219" w:lineRule="auto"/>
        <w:tabs>
          <w:tab w:leader="none" w:pos="895" w:val="left"/>
        </w:tabs>
        <w:numPr>
          <w:ilvl w:val="0"/>
          <w:numId w:val="9"/>
        </w:numPr>
        <w:rPr>
          <w:rFonts w:ascii="Arial" w:cs="Arial" w:eastAsia="Arial" w:hAnsi="Arial"/>
          <w:sz w:val="18"/>
          <w:szCs w:val="18"/>
          <w:color w:val="auto"/>
        </w:rPr>
      </w:pPr>
      <w:r>
        <w:rPr>
          <w:rFonts w:ascii="Arial" w:cs="Arial" w:eastAsia="Arial" w:hAnsi="Arial"/>
          <w:sz w:val="18"/>
          <w:szCs w:val="18"/>
          <w:color w:val="auto"/>
        </w:rPr>
        <w:t>Ertapenem for injection (the authorized generic of Merck Sharp &amp; Dohme Corp.’s (Merck) Invanz</w:t>
      </w:r>
      <w:r>
        <w:rPr>
          <w:rFonts w:ascii="Arial" w:cs="Arial" w:eastAsia="Arial" w:hAnsi="Arial"/>
          <w:sz w:val="23"/>
          <w:szCs w:val="23"/>
          <w:color w:val="auto"/>
          <w:vertAlign w:val="superscript"/>
        </w:rPr>
        <w:t>®</w:t>
      </w:r>
      <w:r>
        <w:rPr>
          <w:rFonts w:ascii="Arial" w:cs="Arial" w:eastAsia="Arial" w:hAnsi="Arial"/>
          <w:sz w:val="18"/>
          <w:szCs w:val="18"/>
          <w:color w:val="auto"/>
        </w:rPr>
        <w:t>), which is indicated for the treatment of certain moderate to severe infections.</w:t>
      </w:r>
    </w:p>
    <w:p>
      <w:pPr>
        <w:spacing w:after="0" w:line="1" w:lineRule="exact"/>
        <w:rPr>
          <w:rFonts w:ascii="Arial" w:cs="Arial" w:eastAsia="Arial" w:hAnsi="Arial"/>
          <w:sz w:val="18"/>
          <w:szCs w:val="18"/>
          <w:color w:val="auto"/>
        </w:rPr>
      </w:pPr>
    </w:p>
    <w:p>
      <w:pPr>
        <w:ind w:left="900" w:right="440" w:hanging="244"/>
        <w:spacing w:after="0" w:line="219" w:lineRule="auto"/>
        <w:tabs>
          <w:tab w:leader="none" w:pos="895" w:val="left"/>
        </w:tabs>
        <w:numPr>
          <w:ilvl w:val="0"/>
          <w:numId w:val="9"/>
        </w:numPr>
        <w:rPr>
          <w:rFonts w:ascii="Arial" w:cs="Arial" w:eastAsia="Arial" w:hAnsi="Arial"/>
          <w:sz w:val="18"/>
          <w:szCs w:val="18"/>
          <w:color w:val="auto"/>
        </w:rPr>
      </w:pPr>
      <w:r>
        <w:rPr>
          <w:rFonts w:ascii="Arial" w:cs="Arial" w:eastAsia="Arial" w:hAnsi="Arial"/>
          <w:sz w:val="18"/>
          <w:szCs w:val="18"/>
          <w:color w:val="auto"/>
        </w:rPr>
        <w:t>APLISOL</w:t>
      </w:r>
      <w:r>
        <w:rPr>
          <w:rFonts w:ascii="Arial" w:cs="Arial" w:eastAsia="Arial" w:hAnsi="Arial"/>
          <w:sz w:val="23"/>
          <w:szCs w:val="23"/>
          <w:color w:val="auto"/>
          <w:vertAlign w:val="superscript"/>
        </w:rPr>
        <w:t>®</w:t>
      </w:r>
      <w:r>
        <w:rPr>
          <w:rFonts w:ascii="Arial" w:cs="Arial" w:eastAsia="Arial" w:hAnsi="Arial"/>
          <w:sz w:val="18"/>
          <w:szCs w:val="18"/>
          <w:color w:val="auto"/>
        </w:rPr>
        <w:t>, which is a sterile aqueous solution of a purified protein derivative for intradermal administration as an aid in the diagnosis of tuberculosis.</w:t>
      </w:r>
    </w:p>
    <w:p>
      <w:pPr>
        <w:spacing w:after="0" w:line="1" w:lineRule="exact"/>
        <w:rPr>
          <w:rFonts w:ascii="Arial" w:cs="Arial" w:eastAsia="Arial" w:hAnsi="Arial"/>
          <w:sz w:val="18"/>
          <w:szCs w:val="18"/>
          <w:color w:val="auto"/>
        </w:rPr>
      </w:pPr>
    </w:p>
    <w:p>
      <w:pPr>
        <w:ind w:left="900" w:right="200" w:hanging="244"/>
        <w:spacing w:after="0" w:line="260" w:lineRule="auto"/>
        <w:tabs>
          <w:tab w:leader="none" w:pos="895" w:val="left"/>
        </w:tabs>
        <w:numPr>
          <w:ilvl w:val="0"/>
          <w:numId w:val="9"/>
        </w:numPr>
        <w:rPr>
          <w:rFonts w:ascii="Arial" w:cs="Arial" w:eastAsia="Arial" w:hAnsi="Arial"/>
          <w:sz w:val="18"/>
          <w:szCs w:val="18"/>
          <w:color w:val="auto"/>
        </w:rPr>
      </w:pPr>
      <w:r>
        <w:rPr>
          <w:rFonts w:ascii="Arial" w:cs="Arial" w:eastAsia="Arial" w:hAnsi="Arial"/>
          <w:sz w:val="18"/>
          <w:szCs w:val="18"/>
          <w:color w:val="auto"/>
        </w:rPr>
        <w:t>Ephedrine sulfate injection, which is an alpha and beta adrenergic agonist and a norepinephrine-releasing agent indicated for the treatment of clinically important hypotension occurring in the setting of anesthesia.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Generic Pharmaceuticals</w:t>
      </w:r>
    </w:p>
    <w:p>
      <w:pPr>
        <w:spacing w:after="0" w:line="117"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The Generic Pharmaceuticals segment includes a product portfolio of approximately 135 generic product families including solid oral extended-release, solid oral immediate-release, liquids, semi-solids, patches (which are medicated adhesive patches designed to deliver the pharmaceutical through the skin), powders, ophthalmics (which are sterile pharmaceutical preparations administered for ocular conditions) and sprays and includes products that treat and manage a wide of medical conditions.</w:t>
      </w:r>
    </w:p>
    <w:p>
      <w:pPr>
        <w:spacing w:after="0" w:line="79"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Generic products are the pharmaceutical and therapeutic equivalents of branded products and are generally marketed under their generic (chemical) names rather than their brand names. Generic products are substantially the same as branded products in dosage form, safety, efficacy, route of administration, quality, performance characteristics and intended use, but are generally sold at prices below those of the corresponding branded products and thus represent cost-effective alternatives for consumers.</w:t>
      </w:r>
    </w:p>
    <w:p>
      <w:pPr>
        <w:spacing w:after="0" w:line="79" w:lineRule="exact"/>
        <w:rPr>
          <w:sz w:val="20"/>
          <w:szCs w:val="20"/>
          <w:color w:val="auto"/>
        </w:rPr>
      </w:pPr>
    </w:p>
    <w:p>
      <w:pPr>
        <w:ind w:right="300" w:firstLine="486"/>
        <w:spacing w:after="0" w:line="286" w:lineRule="auto"/>
        <w:rPr>
          <w:sz w:val="20"/>
          <w:szCs w:val="20"/>
          <w:color w:val="auto"/>
        </w:rPr>
      </w:pPr>
      <w:r>
        <w:rPr>
          <w:rFonts w:ascii="Arial" w:cs="Arial" w:eastAsia="Arial" w:hAnsi="Arial"/>
          <w:sz w:val="16"/>
          <w:szCs w:val="16"/>
          <w:color w:val="auto"/>
        </w:rPr>
        <w:t>Typically, a generic product may not be marketed until the expiration of applicable patent(s) on the corresponding branded product unless a resolution of patent litigation results in an earlier opportunity to enter the market. For additional detail, see “Governmental Regulation.” However, our generics portfolio also contains certain authorized generics, which are generic versions of branded products licensed by brand drug companies under an NDA and marketed as generics. Authorized generics do not face the same regulatory barriers to introduction and are not prohibited from sale during the</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180-day marketing exclusivity period granted to the first-to-file ANDA applicant. Our authorized generics include generic versions of our branded products including, for example, lidocaine patch 5% (LIDODERM</w:t>
      </w:r>
      <w:r>
        <w:rPr>
          <w:rFonts w:ascii="Arial" w:cs="Arial" w:eastAsia="Arial" w:hAnsi="Arial"/>
          <w:sz w:val="22"/>
          <w:szCs w:val="22"/>
          <w:color w:val="auto"/>
          <w:vertAlign w:val="superscript"/>
        </w:rPr>
        <w:t>®</w:t>
      </w:r>
      <w:r>
        <w:rPr>
          <w:rFonts w:ascii="Arial" w:cs="Arial" w:eastAsia="Arial" w:hAnsi="Arial"/>
          <w:sz w:val="17"/>
          <w:szCs w:val="17"/>
          <w:color w:val="auto"/>
        </w:rPr>
        <w:t>). We also aim to be a partner of choice to large companies seeking authorized generic distributors for their branded products. For example, in January 2021, we launched lubiprostone capsules (the authorized generic of Mallinckrodt’s Amitiza</w:t>
      </w:r>
      <w:r>
        <w:rPr>
          <w:rFonts w:ascii="Arial" w:cs="Arial" w:eastAsia="Arial" w:hAnsi="Arial"/>
          <w:sz w:val="22"/>
          <w:szCs w:val="22"/>
          <w:color w:val="auto"/>
          <w:vertAlign w:val="superscript"/>
        </w:rPr>
        <w:t>®</w:t>
      </w:r>
      <w:r>
        <w:rPr>
          <w:rFonts w:ascii="Arial" w:cs="Arial" w:eastAsia="Arial" w:hAnsi="Arial"/>
          <w:sz w:val="17"/>
          <w:szCs w:val="17"/>
          <w:color w:val="auto"/>
        </w:rPr>
        <w:t>); in January 2020, we launched sucralfate oral suspension 1 gm/10 ml (the authorized generic of AbbVie Inc.’s Carafate</w:t>
      </w:r>
      <w:r>
        <w:rPr>
          <w:rFonts w:ascii="Arial" w:cs="Arial" w:eastAsia="Arial" w:hAnsi="Arial"/>
          <w:sz w:val="22"/>
          <w:szCs w:val="22"/>
          <w:color w:val="auto"/>
          <w:vertAlign w:val="superscript"/>
        </w:rPr>
        <w:t>®</w:t>
      </w:r>
      <w:r>
        <w:rPr>
          <w:rFonts w:ascii="Arial" w:cs="Arial" w:eastAsia="Arial" w:hAnsi="Arial"/>
          <w:sz w:val="17"/>
          <w:szCs w:val="17"/>
          <w:color w:val="auto"/>
        </w:rPr>
        <w:t>); in April 2019, we launched albuterol sulfate HFA inhalation aerosol (the authorized generic of Merck’s Proventil</w:t>
      </w:r>
      <w:r>
        <w:rPr>
          <w:rFonts w:ascii="Arial" w:cs="Arial" w:eastAsia="Arial" w:hAnsi="Arial"/>
          <w:sz w:val="22"/>
          <w:szCs w:val="22"/>
          <w:color w:val="auto"/>
          <w:vertAlign w:val="superscript"/>
        </w:rPr>
        <w:t>®</w:t>
      </w:r>
      <w:r>
        <w:rPr>
          <w:rFonts w:ascii="Arial" w:cs="Arial" w:eastAsia="Arial" w:hAnsi="Arial"/>
          <w:sz w:val="17"/>
          <w:szCs w:val="17"/>
          <w:color w:val="auto"/>
        </w:rPr>
        <w:t>); and, in July 2018, we launched colchicine tablets (the authorized generic of Takeda Pharmaceuticals U.S.A., Inc.’s (Takeda) Colcrys</w:t>
      </w:r>
      <w:r>
        <w:rPr>
          <w:rFonts w:ascii="Arial" w:cs="Arial" w:eastAsia="Arial" w:hAnsi="Arial"/>
          <w:sz w:val="22"/>
          <w:szCs w:val="22"/>
          <w:color w:val="auto"/>
          <w:vertAlign w:val="superscript"/>
        </w:rPr>
        <w:t>®</w:t>
      </w:r>
      <w:r>
        <w:rPr>
          <w:rFonts w:ascii="Arial" w:cs="Arial" w:eastAsia="Arial" w:hAnsi="Arial"/>
          <w:sz w:val="17"/>
          <w:szCs w:val="17"/>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Pharmaceuticals</w:t>
      </w:r>
    </w:p>
    <w:p>
      <w:pPr>
        <w:spacing w:after="0" w:line="117"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Our International Pharmaceuticals segment includes a variety of specialty pharmaceutical products sold outside the U.S., primarily in Canada through our operating company Paladin Labs Inc. (Paladin). The key products of this segment serve various therapeutic areas, including attention deficit hyperactivity disorder, pain, women’s health, oncology and transplantation.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Development Projects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XIAFLEX</w:t>
      </w:r>
      <w:r>
        <w:rPr>
          <w:rFonts w:ascii="Arial" w:cs="Arial" w:eastAsia="Arial" w:hAnsi="Arial"/>
          <w:sz w:val="23"/>
          <w:szCs w:val="23"/>
          <w:b w:val="1"/>
          <w:bCs w:val="1"/>
          <w:i w:val="1"/>
          <w:iCs w:val="1"/>
          <w:color w:val="auto"/>
          <w:vertAlign w:val="superscript"/>
        </w:rPr>
        <w:t>®</w:t>
      </w:r>
    </w:p>
    <w:p>
      <w:pPr>
        <w:spacing w:after="0" w:line="60" w:lineRule="exact"/>
        <w:rPr>
          <w:sz w:val="20"/>
          <w:szCs w:val="20"/>
          <w:color w:val="auto"/>
        </w:rPr>
      </w:pPr>
    </w:p>
    <w:p>
      <w:pPr>
        <w:ind w:right="200" w:firstLine="486"/>
        <w:spacing w:after="0" w:line="211" w:lineRule="auto"/>
        <w:rPr>
          <w:sz w:val="20"/>
          <w:szCs w:val="20"/>
          <w:color w:val="auto"/>
        </w:rPr>
      </w:pPr>
      <w:r>
        <w:rPr>
          <w:rFonts w:ascii="Arial" w:cs="Arial" w:eastAsia="Arial" w:hAnsi="Arial"/>
          <w:sz w:val="18"/>
          <w:szCs w:val="18"/>
          <w:color w:val="auto"/>
        </w:rPr>
        <w:t>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currently approved by the FDA and marketed in the U.S. for the treatment of both DC and PD (two separate medical therapeutic indications). In early 2020, we announced that we had initiated our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development programs for the treatment of plantar fibromatosis and adhesive capsulitis, which are continuing to progress. We may in the future develop our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for potential additional medical therapeutics indications.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QWO</w:t>
      </w:r>
      <w:r>
        <w:rPr>
          <w:rFonts w:ascii="Arial" w:cs="Arial" w:eastAsia="Arial" w:hAnsi="Arial"/>
          <w:sz w:val="23"/>
          <w:szCs w:val="23"/>
          <w:b w:val="1"/>
          <w:bCs w:val="1"/>
          <w:i w:val="1"/>
          <w:iCs w:val="1"/>
          <w:color w:val="auto"/>
          <w:vertAlign w:val="superscript"/>
        </w:rPr>
        <w:t>®</w:t>
      </w:r>
    </w:p>
    <w:p>
      <w:pPr>
        <w:spacing w:after="0" w:line="60" w:lineRule="exact"/>
        <w:rPr>
          <w:sz w:val="20"/>
          <w:szCs w:val="20"/>
          <w:color w:val="auto"/>
        </w:rPr>
      </w:pPr>
    </w:p>
    <w:p>
      <w:pPr>
        <w:ind w:right="60" w:firstLine="486"/>
        <w:spacing w:after="0" w:line="264" w:lineRule="auto"/>
        <w:rPr>
          <w:sz w:val="20"/>
          <w:szCs w:val="20"/>
          <w:color w:val="auto"/>
        </w:rPr>
      </w:pPr>
      <w:r>
        <w:rPr>
          <w:rFonts w:ascii="Arial" w:cs="Arial" w:eastAsia="Arial" w:hAnsi="Arial"/>
          <w:sz w:val="16"/>
          <w:szCs w:val="16"/>
          <w:color w:val="auto"/>
        </w:rPr>
        <w:t>QWO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was approved by the FDA in July 2020 for the treatment of moderate to severe cellulite in the buttocks of adult women (a medical aesthetics indication). The anticipated launch of QWO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in spring 2021. We have been progressing and expect to continue to progress our cellulite treatment development programs for QWO</w:t>
      </w:r>
      <w:r>
        <w:rPr>
          <w:rFonts w:ascii="Arial" w:cs="Arial" w:eastAsia="Arial" w:hAnsi="Arial"/>
          <w:sz w:val="20"/>
          <w:szCs w:val="20"/>
          <w:color w:val="auto"/>
          <w:vertAlign w:val="superscript"/>
        </w:rPr>
        <w:t>®</w:t>
      </w:r>
      <w:r>
        <w:rPr>
          <w:rFonts w:ascii="Arial" w:cs="Arial" w:eastAsia="Arial" w:hAnsi="Arial"/>
          <w:sz w:val="16"/>
          <w:szCs w:val="16"/>
          <w:color w:val="auto"/>
        </w:rPr>
        <w:t>. We may in the future initiate QWO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development programs for potential additional medical aesthetics indications.</w:t>
      </w:r>
    </w:p>
    <w:p>
      <w:pPr>
        <w:spacing w:after="0" w:line="2"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As further described in Note 5. Acquisitions and Note 12. License and Collaboration Agreements in the Consolidated Financial Statements included in Part IV, Item 15 of this report, we completed our acquisition of BioSpecifics Technologies Corp., a Delaware corporation and a commercial-stage biopharmaceutical company (BioSpecifics) in December 2020. Prior to this acquisition, we had a strategic relationship with BioSpecifics since 2004 pursuant to which BioSpecifics was, among other things, entitled to a royalty stream from us related to our collagenase-based therapies, including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QWO</w:t>
      </w:r>
      <w:r>
        <w:rPr>
          <w:rFonts w:ascii="Arial" w:cs="Arial" w:eastAsia="Arial" w:hAnsi="Arial"/>
          <w:sz w:val="22"/>
          <w:szCs w:val="22"/>
          <w:color w:val="auto"/>
          <w:vertAlign w:val="superscript"/>
        </w:rPr>
        <w:t>®</w:t>
      </w:r>
      <w:r>
        <w:rPr>
          <w:rFonts w:ascii="Arial" w:cs="Arial" w:eastAsia="Arial" w:hAnsi="Arial"/>
          <w:sz w:val="17"/>
          <w:szCs w:val="17"/>
          <w:color w:val="auto"/>
        </w:rPr>
        <w:t>. Subsequent to the acquisition, BioSpecifics became our wholly-owned consolidated subsidiary.</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120" w:firstLine="486"/>
        <w:spacing w:after="0" w:line="272" w:lineRule="auto"/>
        <w:rPr>
          <w:sz w:val="20"/>
          <w:szCs w:val="20"/>
          <w:color w:val="auto"/>
        </w:rPr>
      </w:pPr>
      <w:r>
        <w:rPr>
          <w:rFonts w:ascii="Arial" w:cs="Arial" w:eastAsia="Arial" w:hAnsi="Arial"/>
          <w:sz w:val="17"/>
          <w:szCs w:val="17"/>
          <w:color w:val="auto"/>
        </w:rPr>
        <w:t>Our remaining pipeline consists mainly of a variety of product candidates in our Sterile Injectables and Generic Pharmaceuticals segments. Our primary approach to developing generic products, including injectables, is to target high-barrier-to-entry generic product opportunities, including first-to-file or first-to-market opportunities that are difficult to formulate or manufacture or face complex legal and regulatory challenges as well as products that meet the evolving needs of hospitals and health systems. We expect such product opportunities to result in products that are either the exclusive generic or have two or fewer generic competitors when launched, which we believe tends to lead to more sustainable market share and profitability for our product portfolio. In our Sterile Injectables business, we also focus on developing branded injectable products with inherent scientific, regulatory, legal and technical complexities, as well as developing other dosage forms and technologies.</w:t>
      </w:r>
    </w:p>
    <w:p>
      <w:pPr>
        <w:spacing w:after="0" w:line="69"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As of December 31, 2020, these two segments were actively pursuing approximately 80 product candidates, including: (i) approximately 50 ANDAs pending with the FDA, more than half of which represent first-to-file or first-to-market opportunities, and (ii) approximately 30 additional projects in development, approximately 80% of which are associated with our Sterile Injectables segment, including RTU and other more differentiated product candidates.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2019, Endo initiated an open-label Phase 1 pharmacokinetic (PK) study of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healthy volunteers, studying plasma clearance with</w:t>
      </w:r>
    </w:p>
    <w:p>
      <w:pPr>
        <w:spacing w:after="0" w:line="7" w:lineRule="exact"/>
        <w:rPr>
          <w:sz w:val="20"/>
          <w:szCs w:val="20"/>
          <w:color w:val="auto"/>
        </w:rPr>
      </w:pPr>
    </w:p>
    <w:p>
      <w:pPr>
        <w:ind w:right="60" w:firstLine="8"/>
        <w:spacing w:after="0" w:line="271" w:lineRule="auto"/>
        <w:tabs>
          <w:tab w:leader="none" w:pos="265" w:val="left"/>
        </w:tabs>
        <w:numPr>
          <w:ilvl w:val="0"/>
          <w:numId w:val="10"/>
        </w:numPr>
        <w:rPr>
          <w:rFonts w:ascii="Arial" w:cs="Arial" w:eastAsia="Arial" w:hAnsi="Arial"/>
          <w:sz w:val="16"/>
          <w:szCs w:val="16"/>
          <w:color w:val="auto"/>
        </w:rPr>
      </w:pPr>
      <w:r>
        <w:rPr>
          <w:rFonts w:ascii="Arial" w:cs="Arial" w:eastAsia="Arial" w:hAnsi="Arial"/>
          <w:sz w:val="16"/>
          <w:szCs w:val="16"/>
          <w:color w:val="auto"/>
        </w:rPr>
        <w:t>genotype versus AA/AT genotype. Based on the study results, we were issued two new patents by the U.S. Patent and Trademark Office (PTO), both of which expire in 2040. Endo also submitted a Prior Approval Supplement (PAS) application for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to the FDA, which was subsequently accepted by the agency and is under review. The timing and outcome of the FDA’s review of the PAS application are within the FDA’s discretion.</w:t>
      </w:r>
    </w:p>
    <w:p>
      <w:pPr>
        <w:spacing w:after="0" w:line="65"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We periodically review our development projects in order to better direct investment toward those opportunities that we expect will deliver the greatest returns. This process can lead to decisions to discontinue certain R&amp;D projects that may reduce the number of products in our previously reported pipeline.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121"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We primarily sell our branded and generic products to wholesalers, retail drug store chains, supermarket chains, mass merchandisers, distributors, mail order accounts, hospitals and government agencies. Our wholesalers and distributors purchase products from us and, in turn, supply products to retail drug store chains, independent pharmacies and managed care organizations (MCOs). Customers in the managed care market include health maintenance organizations, nursing homes, hospitals, clinics, pharmacy benefit management companies and mail order customers. Our current customer group reflects significant consolidation in recent years, marked by mergers and acquisitions and other alliances. Net revenues from direct customers that accounted for 10% or more of our total consolidated revenues during the years ended December 31, 2020, 2019 and 2018 are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15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229"/>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AmerisourceBergen Corporation</w:t>
            </w:r>
          </w:p>
        </w:tc>
        <w:tc>
          <w:tcPr>
            <w:tcW w:w="9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McKesson Corporation</w:t>
            </w:r>
          </w:p>
        </w:tc>
        <w:tc>
          <w:tcPr>
            <w:tcW w:w="480" w:type="dxa"/>
            <w:vAlign w:val="bottom"/>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Cardinal Health, Inc.</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Revenues from these customers are included within each of our segments.</w:t>
      </w:r>
    </w:p>
    <w:p>
      <w:pPr>
        <w:spacing w:after="0" w:line="117" w:lineRule="exact"/>
        <w:rPr>
          <w:sz w:val="20"/>
          <w:szCs w:val="20"/>
          <w:color w:val="auto"/>
        </w:rPr>
      </w:pPr>
    </w:p>
    <w:p>
      <w:pPr>
        <w:jc w:val="both"/>
        <w:ind w:right="360" w:firstLine="486"/>
        <w:spacing w:after="0" w:line="286" w:lineRule="auto"/>
        <w:rPr>
          <w:sz w:val="20"/>
          <w:szCs w:val="20"/>
          <w:color w:val="auto"/>
        </w:rPr>
      </w:pPr>
      <w:r>
        <w:rPr>
          <w:rFonts w:ascii="Arial" w:cs="Arial" w:eastAsia="Arial" w:hAnsi="Arial"/>
          <w:sz w:val="17"/>
          <w:szCs w:val="17"/>
          <w:color w:val="auto"/>
        </w:rPr>
        <w:t>Some wholesale distributors have demanded that pharmaceutical manufacturers, including us, enter into distribution service agreements (DSAs) pursuant to which the wholesale distributors provide the pharmaceutical manufacturers with specific services, including the provision of periodic retail demand information and current inventory levels and other information. We have entered into certain of these agreements.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Branded Products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branded products compete with products manufactured by many other companies in highly competitive markets.</w:t>
      </w:r>
    </w:p>
    <w:p>
      <w:pPr>
        <w:spacing w:after="0" w:line="117"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compete principally through targeted product development and through our acquisition and in-licensing strategies, where we face intense competition as a result of the limited number of assets available and the number of competitors bidding on such assets. In addition to product development and acquisitions, other competitive factors with respect to branded products include product efficacy, safety, ease of use, price, demonstrated cost-effectiveness, marketing effectiveness, service, reputation and access to technical information.</w:t>
      </w:r>
    </w:p>
    <w:p>
      <w:pPr>
        <w:spacing w:after="0" w:line="79"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Branded products often must compete with therapeutically similar branded or generic products or with generic equivalents. Such competition frequently increases over time. For example, if competitors introduce new products, delivery systems or processes with therapeutic or cost advantages, our products could be subject to progressive price reductions and/or decreased volume of sales. To successfully compete for business, we must often demonstrate that our products offer not only medical benefits, but also cost advantages as compared with other forms of care. Accordingly, we face pressure to continually seek out technological innovations and to market our products effectively.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Manufacturers of generic products typically invest far less in R&amp;D than research-based companies and can therefore price their products significantly lower than branded products. Accordingly, when a branded product loses its market exclusivity, it normally faces intense price competition from generic forms of the product. Due to lower prices, generic versions, where available, may be substituted by pharmacies or required in preference to branded versions under third-party reimbursement programs.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Branded Pharmaceuticals</w:t>
      </w:r>
    </w:p>
    <w:p>
      <w:pPr>
        <w:spacing w:after="0" w:line="117"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This segment’s major competitors, including Viatris Inc (Viatris), AbbVie Inc., Jazz Pharmaceuticals plc, Takeda Pharmaceutical Company Limited and Horizon Therapeutics Public Limited Company, among others, vary depending on therapeutic and product category, dosage strength and drug-delivery systems, among other factors.</w:t>
      </w:r>
    </w:p>
    <w:p>
      <w:pPr>
        <w:spacing w:after="0" w:line="70" w:lineRule="exact"/>
        <w:rPr>
          <w:sz w:val="20"/>
          <w:szCs w:val="20"/>
          <w:color w:val="auto"/>
        </w:rPr>
      </w:pPr>
    </w:p>
    <w:p>
      <w:pPr>
        <w:ind w:right="200" w:firstLine="486"/>
        <w:spacing w:after="0" w:line="229" w:lineRule="auto"/>
        <w:rPr>
          <w:sz w:val="20"/>
          <w:szCs w:val="20"/>
          <w:color w:val="auto"/>
        </w:rPr>
      </w:pPr>
      <w:r>
        <w:rPr>
          <w:rFonts w:ascii="Arial" w:cs="Arial" w:eastAsia="Arial" w:hAnsi="Arial"/>
          <w:sz w:val="18"/>
          <w:szCs w:val="18"/>
          <w:color w:val="auto"/>
        </w:rPr>
        <w:t>Several of this segment’s products, such as PERCOCET</w:t>
      </w:r>
      <w:r>
        <w:rPr>
          <w:rFonts w:ascii="Arial" w:cs="Arial" w:eastAsia="Arial" w:hAnsi="Arial"/>
          <w:sz w:val="23"/>
          <w:szCs w:val="23"/>
          <w:color w:val="auto"/>
          <w:vertAlign w:val="superscript"/>
        </w:rPr>
        <w:t>®</w:t>
      </w:r>
      <w:r>
        <w:rPr>
          <w:rFonts w:ascii="Arial" w:cs="Arial" w:eastAsia="Arial" w:hAnsi="Arial"/>
          <w:sz w:val="18"/>
          <w:szCs w:val="18"/>
          <w:color w:val="auto"/>
        </w:rPr>
        <w:t>, TESTOPEL</w:t>
      </w:r>
      <w:r>
        <w:rPr>
          <w:rFonts w:ascii="Arial" w:cs="Arial" w:eastAsia="Arial" w:hAnsi="Arial"/>
          <w:sz w:val="23"/>
          <w:szCs w:val="23"/>
          <w:color w:val="auto"/>
          <w:vertAlign w:val="superscript"/>
        </w:rPr>
        <w:t>®</w:t>
      </w:r>
      <w:r>
        <w:rPr>
          <w:rFonts w:ascii="Arial" w:cs="Arial" w:eastAsia="Arial" w:hAnsi="Arial"/>
          <w:sz w:val="18"/>
          <w:szCs w:val="18"/>
          <w:color w:val="auto"/>
        </w:rPr>
        <w:t>, LIDODERM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 face generic and/or other forms of competition. The degree of generic and/or other competition facing this segment could increase in the future.</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Sterile Injectables</w:t>
      </w:r>
    </w:p>
    <w:p>
      <w:pPr>
        <w:spacing w:after="0" w:line="117"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This segment’s major competitors, including Hospira, Inc. (a subsidiary of Pfizer Inc.), Fresenius Kabi USA, LLC (Fresenius), Viatris, Amphastar Pharmaceuticals, Inc., Amneal Pharmaceuticals, Inc. (Amneal) and Hikma Pharmaceuticals PLC, among others, vary by product. A significant portion of our sales, including sales to hospitals, clinics and long-term care facilities in the U.S., are controlled by a relatively small number of GPOs, including HealthTrust Purchasing Group, L.P., Premier Inc. and Vizient, Inc. Accordingly, it is important for us to have strong relationships with these GPOs and achieve on-time product launches in order to secure new bid opportunities.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Generic Products</w:t>
      </w:r>
    </w:p>
    <w:p>
      <w:pPr>
        <w:spacing w:after="0" w:line="117"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Generic products generally face intense competition from branded equivalents, other generic equivalents (including authorized generics) and therapeutically similar branded or generic products. Our major competitors, including Teva Pharmaceutical Industries Limited, Viatris, Sandoz (a division of Novartis AG), Aurobindo Pharma Limited and Amneal, among others, vary by product.</w:t>
      </w:r>
    </w:p>
    <w:p>
      <w:pPr>
        <w:spacing w:after="0" w:line="76"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Consolidations of our customer base described above under the heading “Major Customers” have resulted in increased pricing and other competitive pressures on pharmaceutical companies, including us. Additionally, the emergence of large buying groups representing independent retail pharmacies and other distributors and the prevalence and influence of MCOs and similar institutions have increased the negotiating power of these groups, enabling them to attempt to extract various demands, including without limitation price discounts, rebates and other restrictive pricing terms. These competitive trends could continue in the future and could have a material adverse effect on our business, financial condition, results of operations and cash flows.</w:t>
      </w:r>
    </w:p>
    <w:p>
      <w:pPr>
        <w:spacing w:after="0" w:line="53" w:lineRule="exact"/>
        <w:rPr>
          <w:sz w:val="20"/>
          <w:szCs w:val="20"/>
          <w:color w:val="auto"/>
        </w:rPr>
      </w:pPr>
    </w:p>
    <w:p>
      <w:pPr>
        <w:ind w:right="280" w:firstLine="486"/>
        <w:spacing w:after="0" w:line="279" w:lineRule="auto"/>
        <w:rPr>
          <w:sz w:val="20"/>
          <w:szCs w:val="20"/>
          <w:color w:val="auto"/>
        </w:rPr>
      </w:pPr>
      <w:r>
        <w:rPr>
          <w:rFonts w:ascii="Arial" w:cs="Arial" w:eastAsia="Arial" w:hAnsi="Arial"/>
          <w:sz w:val="17"/>
          <w:szCs w:val="17"/>
          <w:color w:val="auto"/>
        </w:rPr>
        <w:t>Newly introduced generic products with limited or no other generic competition typically garner higher prices relative to commoditized generic products. As such, our primary strategy is to compete with a focus on high-value, first-to-file or first-to-market opportunities, regardless of therapeutic category, and products that present significant barriers to entry for reasons such as complex formulation or regulatory or legal challenges. For additional detail, see “Our Competitive Strengths - Optimizing our portfolios to focus on differentiated products.”</w:t>
      </w:r>
    </w:p>
    <w:p>
      <w:pPr>
        <w:spacing w:after="0" w:line="63"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Even if we are successful in launching generic products with statutory generic exclusivity, competitors may enter the market when such exclusivity periods expire, resulting in significant price declines. Consequently, this segment depends on our continuing ability to select, develop, procure regulatory approvals of, overcome legal challenges to, launch and commercialize new generic products in a timely and cost efficient manner and to maintain efficient, high quality manufacturing capabilities. For additional detail, see “Our Competitive Strengths - Operational excellence.”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Although our business is affected by the purchasing patterns and concentration of our customers, our business is not materially impacted by seasonality.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Licenses and Proprietary Property</w:t>
      </w:r>
    </w:p>
    <w:p>
      <w:pPr>
        <w:spacing w:after="0" w:line="121"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We regard the protection of patents and other enforceable intellectual property rights that we own or license as critical to our business and competitive position. Accordingly, we rely on patent, trade secret and copyright law, as well as nondisclosure and other contractual arrangements, to protect our intellectual property. We have a portfolio of patents and patent applications owned or licensed by us that cover aspects of our products. These patents and applications generally include claims directed to the compounds and/or methods of using the compounds, formulations of the compounds, pharmaceutical salt forms of the compounds or methods of manufacturing the compounds. Our policy is to pursue patent applications on inventions that we believe are commercially important to the development and growth of our business. Certain patents relating to products that are the subject of approved NDAs are listed in the U.S. FDA publication, “Approved Drug Products with Therapeutic Equivalence Evaluations” (Orange Book). The table below contains a list from the Orange Book of patent expiration dates for certain products we market.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The Orange Book does not include a listing of patents related to biological products. Included in the table are certain products for which we own or license a BLA along with the date of expiration of certain relevant patents or regulatory exclusivity. In addition, we may have other relevant regulatory protection or patents that may extend beyond the expiration date listed in the table below. We may also obtain further patents or additional regulatory or patent exclusivity for one or more indications for a product in the future.</w:t>
      </w:r>
    </w:p>
    <w:p>
      <w:pPr>
        <w:spacing w:after="0" w:line="79"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As of February 18, 2021, we held approximately: 199 U.S. issued patents, 31 U.S. patent applications pending, 494 foreign issued patents and 108 foreign patent applications pending. In addition, as of February 18, 2021, we had licenses for approximately 43 U.S. issued patents, 5 U.S. patent applications pending, 127 foreign issued patents and 54 foreign patent applications pending. The following table sets forth, as of February 18, 2021, the year of expiration relating to certain of our products: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Relevant Product</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w w:val="95"/>
              </w:rPr>
              <w:t>Patent Expiration (1)</w:t>
            </w:r>
          </w:p>
        </w:tc>
        <w:tc>
          <w:tcPr>
            <w:tcW w:w="0" w:type="dxa"/>
            <w:vAlign w:val="bottom"/>
          </w:tcPr>
          <w:p>
            <w:pPr>
              <w:spacing w:after="0"/>
              <w:rPr>
                <w:sz w:val="1"/>
                <w:szCs w:val="1"/>
                <w:color w:val="auto"/>
              </w:rPr>
            </w:pPr>
          </w:p>
        </w:tc>
      </w:tr>
      <w:tr>
        <w:trPr>
          <w:trHeight w:val="188"/>
        </w:trPr>
        <w:tc>
          <w:tcPr>
            <w:tcW w:w="9880" w:type="dxa"/>
            <w:vAlign w:val="bottom"/>
            <w:gridSpan w:val="2"/>
            <w:vMerge w:val="continue"/>
          </w:tcPr>
          <w:p>
            <w:pPr>
              <w:spacing w:after="0"/>
              <w:rPr>
                <w:sz w:val="16"/>
                <w:szCs w:val="16"/>
                <w:color w:val="auto"/>
              </w:rPr>
            </w:pPr>
          </w:p>
        </w:tc>
        <w:tc>
          <w:tcPr>
            <w:tcW w:w="1360" w:type="dxa"/>
            <w:vAlign w:val="bottom"/>
          </w:tcPr>
          <w:p>
            <w:pPr>
              <w:jc w:val="right"/>
              <w:ind w:right="516"/>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24"/>
        </w:trPr>
        <w:tc>
          <w:tcPr>
            <w:tcW w:w="976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VASOSTRICT</w:t>
            </w:r>
            <w:r>
              <w:rPr>
                <w:rFonts w:ascii="Arial" w:cs="Arial" w:eastAsia="Arial" w:hAnsi="Arial"/>
                <w:sz w:val="23"/>
                <w:szCs w:val="23"/>
                <w:color w:val="auto"/>
                <w:vertAlign w:val="superscript"/>
              </w:rPr>
              <w:t>®</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29"/>
        </w:trPr>
        <w:tc>
          <w:tcPr>
            <w:tcW w:w="98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NASCOBAL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Nasal Spray</w:t>
            </w:r>
          </w:p>
        </w:tc>
        <w:tc>
          <w:tcPr>
            <w:tcW w:w="1360" w:type="dxa"/>
            <w:vAlign w:val="bottom"/>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9"/>
        </w:trPr>
        <w:tc>
          <w:tcPr>
            <w:tcW w:w="98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AVEED</w:t>
            </w:r>
            <w:r>
              <w:rPr>
                <w:rFonts w:ascii="Arial" w:cs="Arial" w:eastAsia="Arial" w:hAnsi="Arial"/>
                <w:sz w:val="23"/>
                <w:szCs w:val="23"/>
                <w:color w:val="auto"/>
                <w:vertAlign w:val="superscript"/>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304"/>
        </w:trPr>
        <w:tc>
          <w:tcPr>
            <w:tcW w:w="9880" w:type="dxa"/>
            <w:vAlign w:val="bottom"/>
            <w:gridSpan w:val="2"/>
          </w:tcPr>
          <w:p>
            <w:pPr>
              <w:ind w:left="20"/>
              <w:spacing w:after="0"/>
              <w:rPr>
                <w:sz w:val="20"/>
                <w:szCs w:val="20"/>
                <w:color w:val="auto"/>
              </w:rPr>
            </w:pPr>
            <w:r>
              <w:rPr>
                <w:rFonts w:ascii="Arial" w:cs="Arial" w:eastAsia="Arial" w:hAnsi="Arial"/>
                <w:sz w:val="18"/>
                <w:szCs w:val="18"/>
                <w:color w:val="auto"/>
              </w:rPr>
              <w:t>ADRENALIN</w:t>
            </w:r>
            <w:r>
              <w:rPr>
                <w:rFonts w:ascii="Arial" w:cs="Arial" w:eastAsia="Arial" w:hAnsi="Arial"/>
                <w:sz w:val="23"/>
                <w:szCs w:val="23"/>
                <w:color w:val="auto"/>
                <w:vertAlign w:val="superscript"/>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w:t>
      </w:r>
    </w:p>
    <w:p>
      <w:pPr>
        <w:spacing w:after="0" w:line="1" w:lineRule="exact"/>
        <w:rPr>
          <w:sz w:val="20"/>
          <w:szCs w:val="20"/>
          <w:color w:val="auto"/>
        </w:rPr>
      </w:pPr>
    </w:p>
    <w:p>
      <w:pPr>
        <w:ind w:left="560" w:hanging="309"/>
        <w:spacing w:after="0"/>
        <w:tabs>
          <w:tab w:leader="none" w:pos="5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license agreements for the patents in the table above extend to or beyond the patent expiration dates.</w:t>
      </w:r>
    </w:p>
    <w:p>
      <w:pPr>
        <w:spacing w:after="0" w:line="1" w:lineRule="exact"/>
        <w:rPr>
          <w:rFonts w:ascii="Arial" w:cs="Arial" w:eastAsia="Arial" w:hAnsi="Arial"/>
          <w:sz w:val="14"/>
          <w:szCs w:val="14"/>
          <w:color w:val="auto"/>
        </w:rPr>
      </w:pPr>
    </w:p>
    <w:p>
      <w:pPr>
        <w:ind w:left="580" w:right="320" w:hanging="329"/>
        <w:spacing w:after="0" w:line="246" w:lineRule="auto"/>
        <w:tabs>
          <w:tab w:leader="none" w:pos="572"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expiration of a basic product patent or loss of patent protection resulting from a legal challenge normally results in significant competition from generic products or biosimilars against the originally patented product and can result in a significant reduction in revenues for that product in a very short period of time that may never be reversed. In some cases, however, we can continue to obtain commercial benefits from product manufacturing trade secrets, patents on uses for products, patents on processes and intermediates for the economical manufacture of the active ingredients or patents for special formulations of the product or delivery mechanisms.</w:t>
      </w:r>
    </w:p>
    <w:p>
      <w:pPr>
        <w:spacing w:after="0" w:line="88" w:lineRule="exact"/>
        <w:rPr>
          <w:sz w:val="20"/>
          <w:szCs w:val="20"/>
          <w:color w:val="auto"/>
        </w:rPr>
      </w:pPr>
    </w:p>
    <w:p>
      <w:pPr>
        <w:ind w:right="20" w:firstLine="486"/>
        <w:spacing w:after="0" w:line="238" w:lineRule="auto"/>
        <w:rPr>
          <w:sz w:val="20"/>
          <w:szCs w:val="20"/>
          <w:color w:val="auto"/>
        </w:rPr>
      </w:pPr>
      <w:r>
        <w:rPr>
          <w:rFonts w:ascii="Arial" w:cs="Arial" w:eastAsia="Arial" w:hAnsi="Arial"/>
          <w:sz w:val="18"/>
          <w:szCs w:val="18"/>
          <w:color w:val="auto"/>
        </w:rPr>
        <w:t>In addition to the products listed in the table above, we have obtained and are seeking additional patent protection for several of our other products that will expire into the late 2030s/early 2040s, including for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QWO</w:t>
      </w:r>
      <w:r>
        <w:rPr>
          <w:rFonts w:ascii="Arial" w:cs="Arial" w:eastAsia="Arial" w:hAnsi="Arial"/>
          <w:sz w:val="23"/>
          <w:szCs w:val="23"/>
          <w:color w:val="auto"/>
          <w:vertAlign w:val="superscript"/>
        </w:rPr>
        <w:t>®</w:t>
      </w:r>
      <w:r>
        <w:rPr>
          <w:rFonts w:ascii="Arial" w:cs="Arial" w:eastAsia="Arial" w:hAnsi="Arial"/>
          <w:sz w:val="18"/>
          <w:szCs w:val="18"/>
          <w:color w:val="auto"/>
        </w:rPr>
        <w:t>, which we plan to launch in spring of 2021. While these patents in the aggregate are believed to be of material importance in the operation of our business, other than those listed in the table above, we believe no single patent is material in relation to the Company’s business as a whole.</w:t>
      </w:r>
    </w:p>
    <w:p>
      <w:pPr>
        <w:spacing w:after="0" w:line="94"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color w:val="auto"/>
        </w:rPr>
        <w:t>The effect of these issued patents is that they provide us with protection by virtue of our ability to exclude others from making, using, selling, offering for sale and importing that which is covered by their claims. To achieve a competitive position, we also rely on trade secrets, non-patented proprietary know-how and continuing technological innovation, where patent protection is not believed to be appropriate or attainable. Many of our products are sold under trademarks. We also rely on confidentiality agreements with our employees, consultants and other parties to protect, among other things, trade secrets and other proprietary information.</w:t>
      </w:r>
    </w:p>
    <w:p>
      <w:pPr>
        <w:spacing w:after="0" w:line="80" w:lineRule="exact"/>
        <w:rPr>
          <w:sz w:val="20"/>
          <w:szCs w:val="20"/>
          <w:color w:val="auto"/>
        </w:rPr>
      </w:pPr>
    </w:p>
    <w:p>
      <w:pPr>
        <w:ind w:right="80" w:firstLine="486"/>
        <w:spacing w:after="0" w:line="311" w:lineRule="auto"/>
        <w:rPr>
          <w:sz w:val="20"/>
          <w:szCs w:val="20"/>
          <w:color w:val="auto"/>
        </w:rPr>
      </w:pPr>
      <w:r>
        <w:rPr>
          <w:rFonts w:ascii="Arial" w:cs="Arial" w:eastAsia="Arial" w:hAnsi="Arial"/>
          <w:sz w:val="16"/>
          <w:szCs w:val="16"/>
          <w:color w:val="auto"/>
        </w:rPr>
        <w:t>There can be no assurance that any of our patents, licenses or other intellectual property rights will afford us any protection from competition or that our confidentiality agreements will not be breached, that we will have adequate remedies for any breach, that others will not independently develop equivalent proprietary information or that other third parties will not otherwise gain access to our trade secrets and other intellectual property.</w:t>
      </w:r>
    </w:p>
    <w:p>
      <w:pPr>
        <w:spacing w:after="0" w:line="41"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Additionally, any pending or future patent applications made by us or our subsidiaries, our license partners or entities we may acquire in the future are subject to risks and uncertainties. The coverage claimed in any such patent applications could be significantly reduced before the patent is issued and there can be no assurance that any such applications will result in the issuance of patents or, if any patents are issued, whether they will provide significant proprietary protection or will be challenged, circumvented or invalidated. Because unissued U.S. patent applications are maintained in secrecy for a period of eighteen months and certain U.S. patent applications are not disclosed until the patents are issued, and since publication of discoveries in the scientific or patent literature often lags behind actual discoveries, we cannot be certain of the priority of inventions covered by pending patent applications. Moreover, we may have to participate in interference and other inter-parties proceedings declared by the PTO to determine priority of invention, or in opposition proceedings in a foreign patent office, either of which could result in substantial cost to us, even if the eventual outcome is favorable to us. There can be no assurance that any patents, if issued, will be held valid by a court of competent jurisdiction. An adverse outcome could subject us to significant liabilities to third parties, require disputed rights to be licensed from third parties or require us to cease using such technology. See Item 1A. Risk Factors - “Our ability to protect and maintain our proprietary and licensed third party technology, which is vital to our business, is uncertain.”</w:t>
      </w:r>
    </w:p>
    <w:p>
      <w:pPr>
        <w:spacing w:after="0" w:line="64" w:lineRule="exact"/>
        <w:rPr>
          <w:sz w:val="20"/>
          <w:szCs w:val="20"/>
          <w:color w:val="auto"/>
        </w:rPr>
      </w:pPr>
    </w:p>
    <w:p>
      <w:pPr>
        <w:ind w:right="20" w:firstLine="486"/>
        <w:spacing w:after="0" w:line="258" w:lineRule="auto"/>
        <w:rPr>
          <w:sz w:val="20"/>
          <w:szCs w:val="20"/>
          <w:color w:val="auto"/>
        </w:rPr>
      </w:pPr>
      <w:r>
        <w:rPr>
          <w:rFonts w:ascii="Arial" w:cs="Arial" w:eastAsia="Arial" w:hAnsi="Arial"/>
          <w:sz w:val="17"/>
          <w:szCs w:val="17"/>
          <w:color w:val="auto"/>
        </w:rPr>
        <w:t>We may find it necessary to initiate litigation to enforce our patent rights, to protect our intellectual property or trade secrets or to determine the scope and validity of the proprietary rights of others. Litigation is costly and time-consuming and there can be no assurance that our litigation expenses will not be significant in the future or that we will prevail in any such litigation or that any successful challenge to our intellectual property rights, especially with respect to our most significant products such as VASOSTRICT</w:t>
      </w:r>
      <w:r>
        <w:rPr>
          <w:rFonts w:ascii="Arial" w:cs="Arial" w:eastAsia="Arial" w:hAnsi="Arial"/>
          <w:sz w:val="22"/>
          <w:szCs w:val="22"/>
          <w:color w:val="auto"/>
          <w:vertAlign w:val="superscript"/>
        </w:rPr>
        <w:t>®</w:t>
      </w:r>
      <w:r>
        <w:rPr>
          <w:rFonts w:ascii="Arial" w:cs="Arial" w:eastAsia="Arial" w:hAnsi="Arial"/>
          <w:sz w:val="17"/>
          <w:szCs w:val="17"/>
          <w:color w:val="auto"/>
        </w:rPr>
        <w:t>, will not result in a significant loss of revenue. See Note 16. Commitments and Contingencies in the Consolidated Financial Statements included in Part IV, Item 15 of this report.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FDA and Drug Enforcement Administration (DEA)</w:t>
      </w:r>
    </w:p>
    <w:p>
      <w:pPr>
        <w:spacing w:after="0" w:line="117" w:lineRule="exact"/>
        <w:rPr>
          <w:sz w:val="20"/>
          <w:szCs w:val="20"/>
          <w:color w:val="auto"/>
        </w:rPr>
      </w:pPr>
    </w:p>
    <w:p>
      <w:pPr>
        <w:ind w:right="400" w:firstLine="486"/>
        <w:spacing w:after="0" w:line="255" w:lineRule="auto"/>
        <w:rPr>
          <w:sz w:val="20"/>
          <w:szCs w:val="20"/>
          <w:color w:val="auto"/>
        </w:rPr>
      </w:pPr>
      <w:r>
        <w:rPr>
          <w:rFonts w:ascii="Arial" w:cs="Arial" w:eastAsia="Arial" w:hAnsi="Arial"/>
          <w:sz w:val="18"/>
          <w:szCs w:val="18"/>
          <w:color w:val="auto"/>
        </w:rPr>
        <w:t>The pharmaceutical industry in the U.S. is subject to extensive and rigorous government regulation. The Federal Food, Drug, and Cosmetic Act (FFDCA), the Controlled Substances Act (CSA) and other federal and state statutes and regulations govern or influence the testing, manufacturing, packaging, labeling, storage, recordkeeping, approval, advertising, promotion, sale and distribution of pharmaceutical products. Noncompliance with applicable requirements can result in criminal prosecution, fines, civil penalties, recall or seizure of products, total or partial suspension of production and/or distribution, injunctions and refusal of the government to enter into supply contracts or to approve NDAs, ANDAs, BLAs and/or other similar applications.</w:t>
      </w:r>
    </w:p>
    <w:p>
      <w:pPr>
        <w:spacing w:after="0" w:line="84"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FDA approval is typically required before any new pharmaceutical or biologic product can be marketed. An NDA or BLA is a filing submitted to the FDA to obtain approval of new chemical entities and other innovations for which thorough applied research is required to demonstrate safety and effectiveness in use. The process generally involves, among other things:</w:t>
      </w:r>
    </w:p>
    <w:p>
      <w:pPr>
        <w:spacing w:after="0" w:line="3" w:lineRule="exact"/>
        <w:rPr>
          <w:sz w:val="20"/>
          <w:szCs w:val="20"/>
          <w:color w:val="auto"/>
        </w:rPr>
      </w:pPr>
    </w:p>
    <w:p>
      <w:pPr>
        <w:ind w:left="900" w:right="540" w:hanging="244"/>
        <w:spacing w:after="0" w:line="250"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completion of preclinical laboratory and animal testing and formulation studies in compliance with the FDA’s Good Laboratory Practice regulations;</w:t>
      </w:r>
    </w:p>
    <w:p>
      <w:pPr>
        <w:ind w:left="900" w:right="440" w:hanging="244"/>
        <w:spacing w:after="0" w:line="250"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for human clinical testing, which must become effective before human clinical trials may begin in the U.S.;</w:t>
      </w: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before each trial may be initiated and continuing review during the trial;</w:t>
      </w:r>
    </w:p>
    <w:p>
      <w:pPr>
        <w:spacing w:after="0" w:line="9" w:lineRule="exact"/>
        <w:rPr>
          <w:rFonts w:ascii="Arial" w:cs="Arial" w:eastAsia="Arial" w:hAnsi="Arial"/>
          <w:sz w:val="18"/>
          <w:szCs w:val="18"/>
          <w:color w:val="auto"/>
        </w:rPr>
      </w:pPr>
    </w:p>
    <w:p>
      <w:pPr>
        <w:ind w:left="900" w:right="540" w:hanging="244"/>
        <w:spacing w:after="0" w:line="250"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 of human clinical trials, including adequate and well-controlled clinical trials in accordance with good clinical practice, the protocol and the IND to establish the safety and efficacy of the proposed product for each intended use;</w:t>
      </w:r>
    </w:p>
    <w:p>
      <w:pPr>
        <w:ind w:left="900" w:hanging="244"/>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submission to the FDA of an NDA or BLA for marketing approval, which must include data from preclinical testing and clinical trials;</w:t>
      </w:r>
    </w:p>
    <w:p>
      <w:pPr>
        <w:spacing w:after="0" w:line="20" w:lineRule="exact"/>
        <w:rPr>
          <w:rFonts w:ascii="Arial" w:cs="Arial" w:eastAsia="Arial" w:hAnsi="Arial"/>
          <w:sz w:val="17"/>
          <w:szCs w:val="17"/>
          <w:color w:val="auto"/>
        </w:rPr>
      </w:pPr>
    </w:p>
    <w:p>
      <w:pPr>
        <w:ind w:left="900" w:right="340" w:hanging="244"/>
        <w:spacing w:after="0" w:line="250"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product’s manufacturing processes and facility or facilities to assess compliance with the FDA’s current Good Manufacturing Practice (cGMP) regulations and/or review of the Chemistry, Manufacturing and Controls section of the NDA or BLA to assess whether the facilities, methods and controls are adequate to preserve the proposed product’s identity, strength, quality, purity and potency;</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 of user fees for FDA review of an NDA or BLA unless a fee waiver applies;</w:t>
      </w:r>
    </w:p>
    <w:p>
      <w:pPr>
        <w:spacing w:after="0" w:line="9" w:lineRule="exact"/>
        <w:rPr>
          <w:rFonts w:ascii="Arial" w:cs="Arial" w:eastAsia="Arial" w:hAnsi="Arial"/>
          <w:sz w:val="18"/>
          <w:szCs w:val="18"/>
          <w:color w:val="auto"/>
        </w:rPr>
      </w:pPr>
    </w:p>
    <w:p>
      <w:pPr>
        <w:ind w:left="900" w:right="740" w:hanging="244"/>
        <w:spacing w:after="0" w:line="250"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agreement with the FDA on the final labeling for the product and the design and implementation of any required Risk Evaluation and Mitigation Strategy (REMS);</w:t>
      </w: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 by the FDA of the NDA or BLA.</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Clinical trials are typically conducted in three sequential phases, although the phases may overlap or be combined. Those phases include:</w:t>
      </w:r>
    </w:p>
    <w:p>
      <w:pPr>
        <w:spacing w:after="0" w:line="35" w:lineRule="exact"/>
        <w:rPr>
          <w:sz w:val="20"/>
          <w:szCs w:val="20"/>
          <w:color w:val="auto"/>
        </w:rPr>
      </w:pPr>
    </w:p>
    <w:p>
      <w:pPr>
        <w:ind w:left="900" w:right="20" w:hanging="244"/>
        <w:spacing w:after="0" w:line="250" w:lineRule="auto"/>
        <w:tabs>
          <w:tab w:leader="none" w:pos="8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Phase 1 trials generally involve testing the product for safety, adverse effects, dosage, tolerance, absorption, distribution, metabolism, excretion and other elements of clinical pharmacology.</w:t>
      </w:r>
    </w:p>
    <w:p>
      <w:pPr>
        <w:ind w:left="900" w:right="100" w:hanging="244"/>
        <w:spacing w:after="0" w:line="250" w:lineRule="auto"/>
        <w:tabs>
          <w:tab w:leader="none" w:pos="8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Phase 2 trials typically involve a small sample of the intended patient population to assess the efficacy of the compound for a specific indication, to determine dose tolerance and the optimal dose range and to gather additional information relating to safety and potential adverse effects.</w:t>
      </w:r>
    </w:p>
    <w:p>
      <w:pPr>
        <w:spacing w:after="0" w:line="1" w:lineRule="exact"/>
        <w:rPr>
          <w:rFonts w:ascii="Arial" w:cs="Arial" w:eastAsia="Arial" w:hAnsi="Arial"/>
          <w:sz w:val="18"/>
          <w:szCs w:val="18"/>
          <w:color w:val="auto"/>
        </w:rPr>
      </w:pPr>
    </w:p>
    <w:p>
      <w:pPr>
        <w:ind w:left="900" w:right="80" w:hanging="244"/>
        <w:spacing w:after="0" w:line="260" w:lineRule="auto"/>
        <w:tabs>
          <w:tab w:leader="none" w:pos="8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Phase 3 trials are undertaken in an expanded patient population, typically at dispersed study sites, in order to determine the overall risk-benefit ratio of the compound and to provide an adequate basis for product labeling.</w:t>
      </w:r>
    </w:p>
    <w:p>
      <w:pPr>
        <w:spacing w:after="0" w:line="7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Each trial is conducted in accordance with certain standards under protocols that detail the objectives of the study, the parameters to be used to monitor safety and the efficacy criteria to be evaluated. Each protocol must be submitted to the FDA as part of the IND. Clinical trials, clinical investigators and the trial sponsor are also subject to regulatory inspections by the FDA and other regulatory authorities to confirm compliance with applicable regulatory standards. The process of completing clinical trials for a new product may take many years and require the expenditures of substantial resources. See Item 1A. Risk Factors - “The pharmaceutical industry is heavily regulated, which creates uncertainty about our ability to bring new products to market and imposes substantial compliance costs on our business, including withdrawal or suspension of existing products.”</w:t>
      </w:r>
    </w:p>
    <w:p>
      <w:pPr>
        <w:spacing w:after="0" w:line="70"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As a condition of approval of an NDA or BLA, the FDA may require further studies, including Phase 4 post-marketing studies or post-marketing data reporting, such as evaluating known or signaled safety risks. Results of post-marketing programs may limit or expand the future marketing of the products and result in the FDA requiring labeling changes, including the addition of risk information.</w:t>
      </w:r>
    </w:p>
    <w:p>
      <w:pPr>
        <w:spacing w:after="0" w:line="7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For some products, the FDA may require a REMS to confirm that a drug’s benefits outweigh its risks. REMS could include medication guides, physician communication plans or other elements. See Item 1A. Risk Factors - “The pharmaceutical industry is heavily regulated, which creates uncertainty about our ability to bring new products to market and imposes substantial compliance costs on our business, including withdrawal or suspension of existing products.”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In most instances, FDA approval of an ANDA is required before a generic equivalent of an existing or reference-listed drug can be marketed. The ANDA process is abbreviated in that the FDA waives the requirement of conducting complete preclinical and clinical studies and generally instead relies principally on bioequivalence studies. Bioequivalence generally involves a comparison of the rate of absorption and levels of concentration of a generic product in the body with those of the previously approved product. When the rate and extent of absorption of systemically acting test and reference drugs are considered the same under the bioequivalence requirement, the two products are considered bioequivalent and are generally regarded as therapeutically equivalent (so long as the products also have the same active ingredient(s), strength/concentration, dosage form and route of administration), meaning that a pharmacist can substitute the generic product for the reference-listed drug. Under certain circumstances, an ANDA may also be submitted for a product authorized by approval of an ANDA suitability petition. Such petitions may be submitted to secure authorization to file an ANDA for a product that differs from a previously approved product in active ingredient, route of administration, dosage form or strength. In September 2007 and July 2012, the U.S. Congress re-authorized pediatric testing legislation, which now requires ANDAs approved via the suitability petition route to conduct pediatric testing. The timing of final FDA approval of an ANDA application depends on a variety of factors, including whether the applicant challenges any listed patents for the reference-listed drug and whether the manufacturer of the reference-listed drug is entitled to one or more statutory exclusivity periods during which the FDA is prohibited from finally approving generic products. In certain circumstances, a regulatory exclusivity period can extend beyond the life of a patent, thus blocking ANDAs from being approved even after the patent expiration date.</w:t>
      </w:r>
    </w:p>
    <w:p>
      <w:pPr>
        <w:spacing w:after="0" w:line="63"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Certain of our products are or could become regulated and marketed as biologic products pursuant to BLAs. Our BLA-licensed products were licensed based on a determination by the FDA of safety, purity and potency as required under the Public Health Service Act (PHSA). Although the ANDA framework referenced above does not apply to generics of BLA-licensed biologics, there is an abbreviated licensure pathway for products deemed to be biosimilar to, or interchangeable with, FDA-licensed reference biological products pursuant to the Biologics Price Competition and Innovation Act of 2009 (BPCIA). The BPCIA framework was enacted as part of the Patient Protection and Affordable Care Act (PPACA) and could be impacted by ongoing litigation regarding the legality of the PPACA. Under the BPCIA, following the expiration of a 12-year reference exclusivity period, the FDA may license, under section 351(k) of the PHSA, a biological product that it determines is biosimilar to, or interchangeable with, a reference product licensed under section 351(a) of the PHSA. Although licensure of biosimilar or interchangeable products is generally expected to require less than the full complement of product-specific preclinical and clinical data required for innovator products, the FDA has considerable discretion over the kind and amount of scientific evidence required to demonstrate biosimilarity and interchangeability.</w:t>
      </w:r>
    </w:p>
    <w:p>
      <w:pPr>
        <w:spacing w:after="0" w:line="77"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Some pharmaceutical products are available in the U.S. that are not the subject of an FDA-approved NDA. In 2011, the FDA’s Center for Drug Evaluation and Research (CDER) Office of Compliance modified its enforcement policy with regard to the marketing of such “unapproved” marketed products (the Unapproved Drug Initiative). Under CDER’s revised guidance, the FDA encourages manufacturers to obtain NDA approvals for such products by requiring unapproved versions to be removed from the market after an approved version has been introduced, subject to a grace period at the FDA’s discretion. This grace period is intended to allow an orderly transition of supply to the market and to mitigate any potential related product shortage. Depending on the length of the grace period and the time it takes for subsequent applications to be approved, this may result in a period of de facto market exclusivity to the first manufacturer that has obtained an approved NDA for the previously unapproved marketed product. In November 2020, the Department of Health and Human Services announced that it was withdrawing its Unapproved Drugs Compliance Policy Guidance and terminating the Unapproved Drug Initiative described above.</w:t>
      </w:r>
    </w:p>
    <w:p>
      <w:pPr>
        <w:spacing w:after="0" w:line="73"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Over-the-counter (OTC) products may, depending on ingredients and proposed label claims, be marketed pursuant to the OTC monograph process or could require NDA or ANDA approval. The OTC monograph process allows for OTC products to be marketed without pre-market approval and generally does not require clinical studies. The Over-the-Counter Monograph Safety, Innovation, and Reform Act, enacted on March 27, 2020, modified this process by introducing administrative orders as a replacement to rulemaking for the development of OTC monographs.</w:t>
      </w:r>
    </w:p>
    <w:p>
      <w:pPr>
        <w:spacing w:after="0" w:line="63"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Laws and regulations impacting the pharmaceutical industry are constantly evolving. For example, the 21st Century Cures Act (Cures Act), which was signed into law on December 13, 2016, includes various provisions to accelerate the development and delivery of new treatments, such as those intended to expand the types of evidence manufacturers may submit to support FDA approval, to encourage patient-centered product development, to liberalize the communication of healthcare economic information to payers and to create greater transparency with regard to manufacturer expanded access programs. Central to the Cures Act are provisions that enhance and accelerate the FDA’s processes for reviewing and approving new products and supplements to approved NDAs. The Cures Act also included $1 billion in new funding to states to supplement opioid abuse prevention and treatment activities.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More recently, in December 2019, the Further Consolidated Appropriations Act, 2020 (FCAA 2020) became law. Section 610 of Division N Title I, titled “</w:t>
      </w:r>
      <w:r>
        <w:rPr>
          <w:rFonts w:ascii="Arial" w:cs="Arial" w:eastAsia="Arial" w:hAnsi="Arial"/>
          <w:sz w:val="16"/>
          <w:szCs w:val="16"/>
          <w:i w:val="1"/>
          <w:iCs w:val="1"/>
          <w:color w:val="auto"/>
        </w:rPr>
        <w:t>Actions for Delays of Generic Drugs and Biological Products</w:t>
      </w:r>
      <w:r>
        <w:rPr>
          <w:rFonts w:ascii="Arial" w:cs="Arial" w:eastAsia="Arial" w:hAnsi="Arial"/>
          <w:sz w:val="16"/>
          <w:szCs w:val="16"/>
          <w:color w:val="auto"/>
        </w:rPr>
        <w:t>,” provides generic (ANDA and 505(b)(2)) and biosimilar developers with a private right of action to obtain sufficient quantities of reference product from the brand manufacturer, or a generic or biosimilar manufacturer, necessary for approval of the developers’ generic or biosimilar product. If a generic or biosimilar developer is successful in its suit, the defendant manufacturer would be required to provide sufficient quantities of product on commercially-reasonable, market-based terms and may be required to pay the developer’s reasonable attorney’s fees and costs as well as financial compensation under certain circumstances. The purpose of section 610 is to promote competition by facilitating the timely entry of lower-cost generic and biosimilar products. In addition, on March 27, 2020, Congress enacted the Coronavirus Aid, Relief, and Economic Security Act (CARES Act) in response to the COVID-19 pandemic. Among other provisions, the CARES Act made a number of changes to the FFDCA aimed at preventing drug shortages. Similarly, the FDA has issued a number of guidance documents describing the agency’s expectations for how drug manufacturers should comply with various FDA requirements during the pandemic, including with respect to conducting clinical trials, distributing drug samples and reporting post-marketing adverse events. Moreover, as a result of the COVID-19 pandemic, there has been increasing political and regulatory scrutiny of foreign-sourced drugs and foreign drug supply chains, resulting in proposed legislative and executive actions, including executive orders, to incentivize or compel drug manufacturing operations to relocate to the U.S.</w:t>
      </w:r>
    </w:p>
    <w:p>
      <w:pPr>
        <w:spacing w:after="0" w:line="66" w:lineRule="exact"/>
        <w:rPr>
          <w:sz w:val="20"/>
          <w:szCs w:val="20"/>
          <w:color w:val="auto"/>
        </w:rPr>
      </w:pPr>
    </w:p>
    <w:p>
      <w:pPr>
        <w:jc w:val="both"/>
        <w:ind w:right="140" w:firstLine="486"/>
        <w:spacing w:after="0" w:line="291" w:lineRule="auto"/>
        <w:rPr>
          <w:sz w:val="20"/>
          <w:szCs w:val="20"/>
          <w:color w:val="auto"/>
        </w:rPr>
      </w:pPr>
      <w:r>
        <w:rPr>
          <w:rFonts w:ascii="Arial" w:cs="Arial" w:eastAsia="Arial" w:hAnsi="Arial"/>
          <w:sz w:val="16"/>
          <w:szCs w:val="16"/>
          <w:color w:val="auto"/>
        </w:rPr>
        <w:t>A sponsor of an NDA is required to identify, in its application, any patent that claims the drug or a use of the drug subject to the application. Upon NDA approval, the FDA lists these patents in a publication referred to as the Orange Book. Any person that files an ANDA or NDA under Section 505(b)</w:t>
      </w:r>
    </w:p>
    <w:p>
      <w:pPr>
        <w:ind w:right="40" w:firstLine="8"/>
        <w:spacing w:after="0" w:line="252"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 the FFDCA referencing the approved drug must make a certification in respect to any listed patents for the reference drug. The FDA may not approve such an ANDA or 505(b)(2) application until expiration of the reference drug’s listed patents unless (i) the applicant certifies that the listed patents are invalid, unenforceable and/or not infringed by the proposed generic drug and gives notice to the holder of the NDA for the listed drug of the basis upon which the patents are challenged and (ii) the holder of the listed drug does not sue the later applicant for patent infringement within 45 days of receipt of notice. Under the current law, if an infringement suit is filed, the FDA may not approve the later application until the earliest of: (i) 30 months after submission, (ii) entry of an appellate court judgment holding the patent invalid, unenforceable or not infringed, (iii) such time as a court may order or (iv) expiration of the patent.</w:t>
      </w:r>
    </w:p>
    <w:p>
      <w:pPr>
        <w:spacing w:after="0" w:line="84"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One of the key motivators for challenging patents is the 180-day marketing exclusivity period granted to the developer of a generic version of a product that is the first to have a substantially complete ANDA received for review by the FDA and whose filing includes a certification that a reference product’s listed patent(s) are invalid, unenforceable and/or not infringed (a Paragraph IV certification) and that otherwise does not forfeit eligibility for the exclusivity. Under the Medicare Prescription Drug, Improvement, and Modernization Act of 2003, with accompanying amendments to the Drug Price Competition and Patent Term Restoration Act (the Hatch-Waxman Act), this marketing exclusivity would begin to run upon the earlier of the commercial launch of the generic product or upon an appellate court decision in the generic company’s favor or in favor of another ANDA applicant who had filed with a Paragraph IV certification and has tentative approval. In addition, the holder of the NDA for the listed drug may be entitled to certain non-patent exclusivity during which, depending on the type of exclusivity, the FDA either cannot accept or approve an application for a competing ANDA generic product or 505(b)(2) NDA product with the same active moiety. Depending on the exclusivity, the protection may apply to all of the reference drug’s approved conditions of use, or may be limited to a certain condition of use or other protected label information.</w:t>
      </w:r>
    </w:p>
    <w:p>
      <w:pPr>
        <w:spacing w:after="0" w:line="77" w:lineRule="exact"/>
        <w:rPr>
          <w:sz w:val="20"/>
          <w:szCs w:val="20"/>
          <w:color w:val="auto"/>
        </w:rPr>
      </w:pPr>
    </w:p>
    <w:p>
      <w:pPr>
        <w:jc w:val="both"/>
        <w:ind w:right="100" w:firstLine="486"/>
        <w:spacing w:after="0" w:line="286" w:lineRule="auto"/>
        <w:rPr>
          <w:sz w:val="20"/>
          <w:szCs w:val="20"/>
          <w:color w:val="auto"/>
        </w:rPr>
      </w:pPr>
      <w:r>
        <w:rPr>
          <w:rFonts w:ascii="Arial" w:cs="Arial" w:eastAsia="Arial" w:hAnsi="Arial"/>
          <w:sz w:val="16"/>
          <w:szCs w:val="16"/>
          <w:color w:val="auto"/>
        </w:rPr>
        <w:t>The FDA also regulates pharmacies and outsourcing facilities that prepare “compounded” drugs pursuant to section 503A and 503B of the FFDCA, respectively. For instance, under section 503A of the FFDCA, pharmacies may compound drugs for an identified individual based on the receipt of a valid prescription order, or notation approved by the prescribing practitioner, that a compounded product is necessary for the identified patient. Similarly, under section 503B of the FFDCA, outsourcing facilities may compound drugs and sell them to healthcare providers, but not wholesalers or distributors.</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Although section 503A pharmacies and section 503B outsourcing facilities are subject to many regulatory requirements, compounded drugs are not subject to premarket review by the FDA and, therefore, may not have the same level of safety and efficacy as products subject to premarket review and approval by the FDA. Because they are not subject to premarket review, compounded drugs are frequently lower cost than either branded or generic products.</w:t>
      </w:r>
    </w:p>
    <w:p>
      <w:pPr>
        <w:spacing w:after="0" w:line="47"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The FDA enforces regulations to require that the methods used in, and the facilities and controls used for, the manufacture, processing, packing and holding of drugs conform to cGMPs. The cGMP regulations the FDA enforces are comprehensive and cover all aspects of manufacturing operations. Compliance with the regulations requires a continuous commitment of time, money and effort in all operational areas.</w:t>
      </w:r>
    </w:p>
    <w:p>
      <w:pPr>
        <w:spacing w:after="0" w:line="57"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The FDA conducts pre-approval inspections of facilities engaged in the development, manufacture, processing, packing, testing and holding of the products subject to NDAs and ANDAs and pre-license inspections of facilities engaged in similar activities for biologic products subject to BLAs. In addition, manufacturers of both pharmaceutical products and active pharmaceutical ingredients (APIs) used to formulate such products also ordinarily undergo pre-approval inspections. Failure of any facility to pass a pre-approval inspection will result in delayed approval.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Facilities that manufacture pharmaceutical or biological products must be registered with the FDA and all such products made in such facilities must be manufactured in accordance with the latest cGMP regulations. The FDA conducts periodic inspections of facilities to assess the cGMP status of marketed products. Following such inspections, the FDA could issue a Form 483 Notice of Inspectional Observations, which could require modification to certain activities identified during the inspection. If the FDA were to find serious cGMP non-compliance during such an inspection, it could take regulatory actions. The FDA also may issue an untitled letter as an initial correspondence that cites violations that do not meet the threshold of regulatory significance for a Warning Letter. FDA guidelines also provide for the issuance of Warning Letters for violations of “regulatory significance” for which the failure to adequately and promptly achieve correction may be expected to result in an enforcement action.</w:t>
      </w:r>
    </w:p>
    <w:p>
      <w:pPr>
        <w:spacing w:after="0" w:line="6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Imported API and other components needed to manufacture our products could be rejected by U.S. Customs. In respect to domestic establishments, the FDA could initiate product seizures or request, or in some instances require, product recalls and seek to enjoin or otherwise limit a product’s manufacture and distribution. In certain circumstances, violations could support civil penalties and criminal prosecutions. In addition, if the FDA concludes that a company is not in compliance with cGMP requirements, sanctions may be imposed that include preventing that company from receiving the necessary licenses to export its products and classifying that company as an unacceptable supplier, thereby disqualifying that company from selling products to federal agencies.</w:t>
      </w:r>
    </w:p>
    <w:p>
      <w:pPr>
        <w:spacing w:after="0" w:line="84" w:lineRule="exact"/>
        <w:rPr>
          <w:sz w:val="20"/>
          <w:szCs w:val="20"/>
          <w:color w:val="auto"/>
        </w:rPr>
      </w:pPr>
    </w:p>
    <w:p>
      <w:pPr>
        <w:ind w:right="360" w:firstLine="486"/>
        <w:spacing w:after="0" w:line="275" w:lineRule="auto"/>
        <w:rPr>
          <w:sz w:val="20"/>
          <w:szCs w:val="20"/>
          <w:color w:val="auto"/>
        </w:rPr>
      </w:pPr>
      <w:r>
        <w:rPr>
          <w:rFonts w:ascii="Arial" w:cs="Arial" w:eastAsia="Arial" w:hAnsi="Arial"/>
          <w:sz w:val="17"/>
          <w:szCs w:val="17"/>
          <w:color w:val="auto"/>
        </w:rPr>
        <w:t>Certain of our subsidiaries sell products that are “controlled substances” as defined in the CSA and implementing regulations, which establish certain security and recordkeeping requirements administered by the DEA. The DEA regulates chemical compounds as Schedule I, II, III, IV or V substances, with Schedule I substances considered to present the highest risk of substance abuse and Schedule V substances the lowest risk. The active ingredients in some of our products are listed by the DEA as Schedule II or III substances under the CSA. Consequently, their manufacture, shipment, storage, sale and use are subject to a high degree of regulation.</w:t>
      </w:r>
    </w:p>
    <w:p>
      <w:pPr>
        <w:spacing w:after="0" w:line="68"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The DEA limits the availability of the active ingredients that are subject to the CSA used in several of our products as well as the production of these products. We or our contract manufacturing organizations must annually apply to the DEA for procurement and production quotas in order to obtain and produce these substances. As a result, our quotas may not be sufficient to meet commercial demand or complete clinical trials. Moreover, the DEA may adjust these quotas from time to time during the year, although the DEA has substantial discretion in whether or not to make such adjustments. See Item 1A. Risk Factors - “The DEA limits the availability of the active ingredients used in many of our products as well as the production of these products, and, as a result, our procurement and production quotas may not be sufficient to meet commercial demand or complete clinical trials.”</w:t>
      </w:r>
    </w:p>
    <w:p>
      <w:pPr>
        <w:spacing w:after="0" w:line="56"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To meet its responsibilities, the DEA conducts periodic inspections of registered establishments that handle controlled substances. Annual registration is required for any facility that manufactures, tests, distributes, dispenses, imports or exports any controlled substance. The facilities must have the security, control, accounting mechanisms and monitoring systems required by the DEA to prevent loss and diversion of controlled substances and to comply with reporting obligations. Failure to maintain compliance can result in enforcement action. The DEA may seek civil penalties, refuse to renew necessary registrations or initiate proceedings to revoke or restrict those registrations or, with the U.S. Department of Justice (DOJ), seek to impose civil penalties. In certain circumstances, violations could result in criminal proceedings.</w:t>
      </w:r>
    </w:p>
    <w:p>
      <w:pPr>
        <w:spacing w:after="0" w:line="70"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In October 2018, the U.S. Congress enacted the Substance Use-Disorder Prevention that Promotes Opioid Recovery and Treatment for Patients and Communities Act (H.R. 6). Intended to achieve sweeping reform to combat opioid abuse, H.R. 6, among other provisions, amends related laws administered by the FDA, DEA and the Centers for Medicare and Medicaid Services (CMS). Among other things, the law: (i) amends requirements related to the FDA’s authority to include packaging requirements in REMS requirements; (ii) increases civil and criminal penalties for manufacturers and distributors for failing to maintain effective controls against diversion of opioids or for failing to report suspicious opioid orders; (iii) requires the DEA to estimate the amount of opioid diversion when establishing manufacturing and procurement quotas; (iv) implements expanded anti-kickback and financial disclosure provisions; and (v) authorizes the Department of Health and Human Services to implement a demonstration program which would award grants to hospitals and emergency departments to develop, implement, enhance or study alternative pain management protocols and treatments that limit the use and prescription of opioids in emergency departments.</w:t>
      </w:r>
    </w:p>
    <w:p>
      <w:pPr>
        <w:spacing w:after="0" w:line="73" w:lineRule="exact"/>
        <w:rPr>
          <w:sz w:val="20"/>
          <w:szCs w:val="20"/>
          <w:color w:val="auto"/>
        </w:rPr>
      </w:pPr>
    </w:p>
    <w:p>
      <w:pPr>
        <w:ind w:right="720" w:firstLine="486"/>
        <w:spacing w:after="0" w:line="277" w:lineRule="auto"/>
        <w:rPr>
          <w:sz w:val="20"/>
          <w:szCs w:val="20"/>
          <w:color w:val="auto"/>
        </w:rPr>
      </w:pPr>
      <w:r>
        <w:rPr>
          <w:rFonts w:ascii="Arial" w:cs="Arial" w:eastAsia="Arial" w:hAnsi="Arial"/>
          <w:sz w:val="18"/>
          <w:szCs w:val="18"/>
          <w:color w:val="auto"/>
        </w:rPr>
        <w:t>Individual states also regulate controlled substances and we, as well as our third-party API suppliers and manufacturers, are subject to such regulation by several states with respect to the manufacture and distribution of these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Benefit Programs</w:t>
      </w:r>
    </w:p>
    <w:p>
      <w:pPr>
        <w:spacing w:after="0" w:line="117" w:lineRule="exact"/>
        <w:rPr>
          <w:sz w:val="20"/>
          <w:szCs w:val="20"/>
          <w:color w:val="auto"/>
        </w:rPr>
      </w:pPr>
    </w:p>
    <w:p>
      <w:pPr>
        <w:ind w:right="100" w:firstLine="486"/>
        <w:spacing w:after="0" w:line="290" w:lineRule="auto"/>
        <w:rPr>
          <w:sz w:val="20"/>
          <w:szCs w:val="20"/>
          <w:color w:val="auto"/>
        </w:rPr>
      </w:pPr>
      <w:r>
        <w:rPr>
          <w:rFonts w:ascii="Arial" w:cs="Arial" w:eastAsia="Arial" w:hAnsi="Arial"/>
          <w:sz w:val="16"/>
          <w:szCs w:val="16"/>
          <w:color w:val="auto"/>
        </w:rPr>
        <w:t>As described further in Item 1A. Risk Factors, statutory and regulatory requirements for government healthcare programs such as Medicaid, Medicare and TRICARE govern access and provider reimbursement levels, and provide for other cost-containment measures such as requiring pharmaceutical companies to pay rebates or refunds for certain sales of products reimbursed by such programs, or subjecting products to certain price ceilings. In addition to the cost-containment measures described in Item 1A. Risk Factors, sales to retail pharmacies under the TRICARE Retail Pharmacy Program are subject to certain price ceilings which require manufacturers to, among other things, pay refunds for prescriptions filled based on the applicable ceiling price limits. Beginning in the first quarter of 2017, pursuant to the Bipartisan Budget Act of 2015, manufacturers are required to pay additional rebates to state Medicaid programs if the prices of their non-innovator products rise at a rate faster than inflation (as continues to be the case for innovator products); this requirement previously existed only as to branded or innovator products and the change in law may impact our business.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The federal government may continue to pursue legislation aimed at containing or reducing payment levels for prescription pharmaceuticals paid for in whole or in part with government funds. State governments also may continue to enact similar cost containment or transparency legislation. These efforts could have material consequences for the pharmaceutical industry and the Company. From time to time, legislative changes are made to government healthcare programs that impact our business. The U.S. Congress continues to examine various Medicare and Medicaid policy proposals that may result in a downward pressure on the prices of prescription products in these programs. See Item 1A. Risk Factors - “The availability of third party reimbursement for our products is uncertain, and we may find it difficult to maintain current price levels. Additionally, the market may not accept those products for which third party reimbursement is not adequately provided.”</w:t>
      </w:r>
    </w:p>
    <w:p>
      <w:pPr>
        <w:spacing w:after="0" w:line="69" w:lineRule="exact"/>
        <w:rPr>
          <w:sz w:val="20"/>
          <w:szCs w:val="20"/>
          <w:color w:val="auto"/>
        </w:rPr>
      </w:pPr>
    </w:p>
    <w:p>
      <w:pPr>
        <w:ind w:right="360" w:firstLine="486"/>
        <w:spacing w:after="0" w:line="311" w:lineRule="auto"/>
        <w:rPr>
          <w:sz w:val="20"/>
          <w:szCs w:val="20"/>
          <w:color w:val="auto"/>
        </w:rPr>
      </w:pPr>
      <w:r>
        <w:rPr>
          <w:rFonts w:ascii="Arial" w:cs="Arial" w:eastAsia="Arial" w:hAnsi="Arial"/>
          <w:sz w:val="16"/>
          <w:szCs w:val="16"/>
          <w:color w:val="auto"/>
        </w:rPr>
        <w:t>Under the PPACA, pharmaceutical manufacturers of branded prescription products must pay an annual fee to the federal government. Each individual pharmaceutical manufacturer must pay a prorated share of the total industry fee based on the dollar value of its branded prescription product sales to specified federal programs. The total industry fee was $4.1 billion for 2018 and $2.8 billion per year for years subsequent to 2018.</w:t>
      </w:r>
    </w:p>
    <w:p>
      <w:pPr>
        <w:spacing w:after="0" w:line="41"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Uncertainty continues to exist about the future of the PPACA as the past administration and congressional leaders took steps to repeal key PPACA provisions. For example, the Tax Cuts and Jobs Act of 2017 (TCJA) repealed the requirement that individuals maintain health insurance coverage or face a penalty (known as the individual mandate). The removal of this provision and pending court challenges to the PPACA (including before the U.S. Supreme Court to review a December 2019 ruling in the U.S. Court of Appeals for the Fifth Circuit finding the individual mandate of the PPACA to be unconstitutional), threaten the stability of the insurance marketplace and may have consequences for the coverage and accessibility of prescription drugs. The current administration intends to strengthen and build upon the PPACA.</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Fraud and Abuse Laws</w:t>
      </w:r>
    </w:p>
    <w:p>
      <w:pPr>
        <w:spacing w:after="0" w:line="117"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We are subject to various federal, state and local laws targeting fraud and abuse in the healthcare industry, violations of which can lead to civil and criminal penalties, including fines, imprisonment and exclusion from participation in federal healthcare programs. These laws are potentially applicable to us as both a manufacturer and a supplier of products reimbursed by federal healthcare programs, and they also apply to hospitals, physicians and other potential purchasers of our products.</w:t>
      </w:r>
    </w:p>
    <w:p>
      <w:pPr>
        <w:spacing w:after="0" w:line="79" w:lineRule="exact"/>
        <w:rPr>
          <w:sz w:val="20"/>
          <w:szCs w:val="20"/>
          <w:color w:val="auto"/>
        </w:rPr>
      </w:pPr>
    </w:p>
    <w:p>
      <w:pPr>
        <w:ind w:right="80" w:firstLine="486"/>
        <w:spacing w:after="0" w:line="268" w:lineRule="auto"/>
        <w:rPr>
          <w:sz w:val="20"/>
          <w:szCs w:val="20"/>
          <w:color w:val="auto"/>
        </w:rPr>
      </w:pPr>
      <w:r>
        <w:rPr>
          <w:rFonts w:ascii="Arial" w:cs="Arial" w:eastAsia="Arial" w:hAnsi="Arial"/>
          <w:sz w:val="17"/>
          <w:szCs w:val="17"/>
          <w:color w:val="auto"/>
        </w:rPr>
        <w:t>The federal Anti-Kickback Statute (42 U.S.C. § 1320a-7b) prohibits persons from knowingly and willfully soliciting, receiving, offering or providing remuneration, directly or indirectly, to induce either the referral of an individual, or the furnishing, recommending or arranging for a good or service, for which payment may be made under a federal healthcare program such as the Medicare and Medicaid programs. Remuneration is not defined in the federal Anti-Kickback Statute and has been broadly interpreted to include anything of value, including for example, gifts, discounts, coupons, the furnishing of supplies or equipment, credit arrangements, payments of cash, waivers of payments, ownership interests and providing anything at less than its fair market value. Under the federal Anti-Kickback Statute and the applicable criminal healthcare fraud statutes contained within 42 U.S.C. § 1320a-7b, a person or entity need not have actual knowledge of this statute or specific intent to violate it in order to have committed a violation. In addition, the government may assert that a claim, including items or services resulting from a violation of 42 U.S.C. § 1320a-7b, constitutes a false or fraudulent claim for purposes of the civil False Claims Act (discussed below) or the civil monetary penalties statute, which imposes fines against any person who is determined to have presented or caused to be presented claims to a federal healthcare program that the person knows or should know is for an item or service that was not provided as claimed or is false or fraudulent. The federal Anti-Kickback Statute and implementing regulations provide for certain exceptions for “safe harbors” for certain discounting, rebating or personal services arrangements, among other things, which were amended in 2020. However, the lack of uniform court interpretation of the Anti-Kickback Statute, coupled with novel enforcement theories by government authorities and stayed implementation of certain regulatory changes, make compliance with the law difficult. Violations of the federal Anti-Kickback Statute can result in significant criminal fines, exclusion from participation in Medicare and Medicaid and follow-on civil litigation, among other things, for both entities and individuals.</w:t>
      </w:r>
    </w:p>
    <w:p>
      <w:pPr>
        <w:spacing w:after="0" w:line="72"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 xml:space="preserve">The civil False Claims Act and similar state laws impose liability on any person or entity who, among other things, knowingly presents, or causes to be presented, a false or fraudulent claim for payment by a federal healthcare program.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provisions of the False Claims Act and similar state laws allow a private individual to bring civil actions on behalf of the federal or state government and to share in any monetary recovery. The Federal Physician Payments Sunshine Act and similar state laws impose reporting requirements for various types of payments to physicians and teaching hospitals. Failure to comply with reporting requirements under these laws could subject manufacturers and others to substantial civil money penalties. In addition, government entities and private litigants have asserted claims under state consumer protection statutes against pharmaceutical and medical device companies for alleged false or misleading statements in connection with the marketing, promotion and/or sale of pharmaceutical and medical device products, including state investigations of the Company regarding vaginal mesh devices previously sold by certain of our operating subsidiaries and investigations and litigation by certain government entities regarding the prior promotional practices of certain of our operating subsidiaries with respect to opioid products.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Regulations</w:t>
      </w:r>
    </w:p>
    <w:p>
      <w:pPr>
        <w:spacing w:after="0" w:line="117"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Through our international operations, the Company is subject to laws and regulations that differ from those under which the Company operates in the U.S. In most cases, non-U.S. regulatory agencies evaluate and monitor the safety, efficacy and quality of pharmaceutical products, govern the approval of clinical trials and product registrations and regulate pricing and reimbursement. Certain international markets have differing product preferences and requirements and operate in an environment of government-mandated, cost-containment programs, including price controls, such as the Patented Medicine Prices Review Board (PMPRB) in Canada.</w:t>
      </w:r>
    </w:p>
    <w:p>
      <w:pPr>
        <w:spacing w:after="0" w:line="80"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 xml:space="preserve">In Canada, the </w:t>
      </w:r>
      <w:r>
        <w:rPr>
          <w:rFonts w:ascii="Arial" w:cs="Arial" w:eastAsia="Arial" w:hAnsi="Arial"/>
          <w:sz w:val="16"/>
          <w:szCs w:val="16"/>
          <w:i w:val="1"/>
          <w:iCs w:val="1"/>
          <w:color w:val="auto"/>
        </w:rPr>
        <w:t>Regulations Amending the Patented Medicines Regulations (Additional Factors and Information Reporting Requirements)</w:t>
      </w:r>
      <w:r>
        <w:rPr>
          <w:rFonts w:ascii="Arial" w:cs="Arial" w:eastAsia="Arial" w:hAnsi="Arial"/>
          <w:sz w:val="16"/>
          <w:szCs w:val="16"/>
          <w:color w:val="auto"/>
        </w:rPr>
        <w:t xml:space="preserve"> (the Amendments) were originally scheduled to come into force on July 1, 2020. Due to the COVID-19 pandemic, the Amendments have been delayed and are now set to come into force on July 1, 2021. The Amendments will introduce a number of changes to the regulation of Canadian drug prices by the PMPRB. The PMPRB is an administrative board with a mandate to protect Canadians from excessive pricing of patented medicines. Pharmaceutical manufacturers that are patentees are required to report applicable patents and file sales information so the PMPRB can monitor for excessive pricing as long as the product is considered to be a patented medicine. If it is determined the average price for a patented medicine is too high based on pricing tests developed by the PMPRB, a payment must be made to the PMPRB to offset the excessive revenues that were generated and/or the price of the medicine must be reduced. The PMPRB’s authority to regulate the price of a drug product is linked to patent protection, specifically when there is a patent to an invention that is intended or capable of being used for medicine or for the preparation or production of medicine.</w:t>
      </w:r>
    </w:p>
    <w:p>
      <w:pPr>
        <w:spacing w:after="0" w:line="58" w:lineRule="exact"/>
        <w:rPr>
          <w:sz w:val="20"/>
          <w:szCs w:val="20"/>
          <w:color w:val="auto"/>
        </w:rPr>
      </w:pPr>
    </w:p>
    <w:p>
      <w:pPr>
        <w:ind w:right="80" w:firstLine="486"/>
        <w:spacing w:after="0" w:line="287" w:lineRule="auto"/>
        <w:rPr>
          <w:sz w:val="20"/>
          <w:szCs w:val="20"/>
          <w:color w:val="auto"/>
        </w:rPr>
      </w:pPr>
      <w:r>
        <w:rPr>
          <w:rFonts w:ascii="Arial" w:cs="Arial" w:eastAsia="Arial" w:hAnsi="Arial"/>
          <w:sz w:val="16"/>
          <w:szCs w:val="16"/>
          <w:color w:val="auto"/>
        </w:rPr>
        <w:t>For patented medicines approved by Health Canada after August 21, 2019 (a cutoff date tied to the date of publication of the Amendments and not impacted by the delayed coming-into-force date), the Amendments will allow the PMPRB to consider additional factors when assessing whether a price is excessive: pharmacoeconomic value of the medicine in Canada, the size of the market for the medicine in Canada and the gross domestic product (GDP) and GDP per capita of Canada. For all patented medicines (regardless of the date of marketing authorization), the Amendments change the set of countries that the PMPRB uses for international price comparisons when assessing whether the Canadian price is excessive. Under the current regulations, the price of a Canadian medicine is compared to the price of that medicine in seven other countries, including the U.S. and Switzerland. The Amendments define a new set of eleven comparator countries, and the U.S. and Switzerland are no longer part of this basket. The implementation of the new set of comparator countries is expected to cause a decrease to permissible ceiling prices in Canada. Based on updated draft guidelines published by the PMPRB in June 2020 (public consultations for which are now closed), the ceiling price for a medicine is expected to be established as the median international ex-factory list price of the eleven comparator countries for most patented medicines. According to the Regulatory Impact Analysis Statement that accompanied the publication of the Amendments, the Canadian government anticipates that the Amendments will result in 10-year total savings to public, private and out of pocket-payers of 8.8 billion Canadian dollars as a result of lower patented medicine costs.</w:t>
      </w:r>
    </w:p>
    <w:p>
      <w:pPr>
        <w:spacing w:after="0" w:line="60"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Certain governments have placed restrictions on physician prescription levels and patient reimbursements, emphasized greater use of generic products and enacted across-the-board price cuts as methods of cost control.</w:t>
      </w:r>
    </w:p>
    <w:p>
      <w:pPr>
        <w:spacing w:after="0" w:line="62"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Whether or not FDA approval has been obtained for a product, approval of the product by comparable regulatory authorities of other governments must be obtained prior to marketing the product in those jurisdictions. The approval process may be more or less rigorous than the U.S. process and the time required for approval may be longer or shorter than in the U.S.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1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operations are subject to substantial federal, state and local environmental laws and regulations concerning, among other matters, the generation, handling, storage, transportation, treatment and disposal of, and exposure to, hazardous substances. Violation of these laws and regulations, which may change, can lead to substantial fines and penalties. Many of our operations require environmental permits and controls to prevent and limit pollution of the environment. We believe that our facilities and the facilities of our third party service providers are in substantial compliance with applicable environmental laws and regulations and we do not believe that future compliance will have a material adverse effect on our business, financial condition, results of operations or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Agreements</w:t>
      </w:r>
    </w:p>
    <w:p>
      <w:pPr>
        <w:spacing w:after="0" w:line="121"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We contract with various third parties to provide certain critical services including manufacturing, supply, warehousing, distribution, customer service, certain financial functions, certain R&amp;D activities and medical affairs, among others.</w:t>
      </w:r>
    </w:p>
    <w:p>
      <w:pPr>
        <w:spacing w:after="0" w:line="62"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Refer to Note 12. License and Collaboration Agreements and Note 16. Commitments and Contingencies in the Consolidated Financial Statements included in Part IV, Item 15 of this report for additional information.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We primarily purchase our raw materials for the production and development of our products in the open market from third party suppliers. We attempt, when possible, to mitigate our raw material supply risks through inventory management and alternative sourcing strategies. However, some raw materials are only available from one source. We are required to identify the suppliers of all raw materials for our products in the drug applications that we file with the FDA. If the raw materials from an approved supplier for a particular product become unavailable, we would be required to qualify a substitute supplier with the FDA, which would likely interrupt manufacturing of the affected product. See Item 1A. Risk Factors for further discussion on the risks associated with the sourcing of our raw materials.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&amp; Collaboration Agreements and Acquisitions</w:t>
      </w:r>
    </w:p>
    <w:p>
      <w:pPr>
        <w:spacing w:after="0" w:line="121"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We continue to seek to enhance our product line and develop a diversified portfolio of products through product acquisitions and in-licensing or acquiring licenses to products, compounds and technologies from third parties. The Company enters into strategic alliances and collaborative arrangements with third parties, which give the Company rights to develop, manufacture, market and/or sell pharmaceutical products, the rights to which are primarily owned by these third parties. These alliances and arrangements can take many forms, including licensing arrangements, co-development and co-marketing agreements, co-promotion arrangements, research collaborations and joint ventures. Such alliances and arrangements enable us to share the risk of incurring all R&amp;D expenses that do not lead to revenue-generating products; however, because profits from alliance products are shared with the counter-parties to the collaborative arrangement, the gross margins on alliance products are generally lower, sometimes substantially so, than the gross margins that could be achieved had the Company not opted for a development partner. Refer to Note 12. License and Collaboration Agreements in the Consolidated Financial Statements included in Part IV, Item 15 of this report for additional information.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21"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As of February 18, 2021, we have 3,397 employees, of which 396 are engaged in R&amp;D and regulatory work, 465 in sales and marketing, 1,288 in manufacturing, 729 in quality assurance and 519 in general and administrative capacities. With the exception of certain production personnel in our Rochester, Michigan manufacturing facility, our employees are generally not represented by unions. We believe that our relations with our employees are good.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Wellness and Safety</w:t>
      </w:r>
    </w:p>
    <w:p>
      <w:pPr>
        <w:spacing w:after="0" w:line="11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want our team members to lead healthy lives so that, together as a team, we can better support our vision of helping everyone we serve live their best life. We offer programs intended to promote team members’ physical, personal and financial well-being including medical benefits, disease management programs, stress management support, smoking cessation assistance and discounts for gym memberships. We also want to support the financial well-being of our team members and offer educational sessions on how to take advantage of Endo’s Savings and Investment Plan, as well as our tax-free saving and spending accounts. We have a robust safety program designed to educate team members about best practices and to record and/or report safety issues so that we can learn from them and continuously improve.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Career Development</w:t>
      </w:r>
    </w:p>
    <w:p>
      <w:pPr>
        <w:spacing w:after="0" w:line="117"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Endo offers a fast-paced and challenging work environment in which people are encouraged to grow, both professionally and personally. The Company provides a variety of training programs and an educational assistance program to help team members improve their job-related skills and long-term career potential.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11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At Endo, our diversity unites us. We are committed to cultivating, valuing and embracing every person’s distinct voice. This includes promoting an environment where our team members welcome the various dimensions of our workplace culture driven by differences in races, genders (including gender identity or expression), national origin, color, sexual orientation, disability status, age and all other unique characteristics. We believe these varied perspectives are valuable and can fuel our innovation and help drive our success. We recently established a Diversity, Equity and Inclusion (DE&amp;I) Senior Leadership Council, sponsored by our Chief Executive Officer, and hired a Diversity, Equity and Inclusion Leader. Together, they are focused on promoting and maintaining a more diverse, equitable and inclusive culture at Endo.</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as of February 26, 2021, information about our executive officers: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8200" w:type="dxa"/>
            <w:vAlign w:val="bottom"/>
          </w:tcPr>
          <w:p>
            <w:pPr>
              <w:ind w:left="20"/>
              <w:spacing w:after="0"/>
              <w:rPr>
                <w:sz w:val="20"/>
                <w:szCs w:val="20"/>
                <w:color w:val="auto"/>
              </w:rPr>
            </w:pPr>
            <w:r>
              <w:rPr>
                <w:rFonts w:ascii="Arial" w:cs="Arial" w:eastAsia="Arial" w:hAnsi="Arial"/>
                <w:sz w:val="14"/>
                <w:szCs w:val="14"/>
                <w:b w:val="1"/>
                <w:bCs w:val="1"/>
                <w:color w:val="auto"/>
              </w:rPr>
              <w:t>Position and Offices</w:t>
            </w:r>
          </w:p>
        </w:tc>
      </w:tr>
      <w:tr>
        <w:trPr>
          <w:trHeight w:val="228"/>
        </w:trPr>
        <w:tc>
          <w:tcPr>
            <w:tcW w:w="2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Blaise Coleman</w:t>
            </w:r>
          </w:p>
        </w:tc>
        <w:tc>
          <w:tcPr>
            <w:tcW w:w="100" w:type="dxa"/>
            <w:vAlign w:val="bottom"/>
          </w:tcPr>
          <w:p>
            <w:pPr>
              <w:spacing w:after="0"/>
              <w:rPr>
                <w:sz w:val="19"/>
                <w:szCs w:val="19"/>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19"/>
                <w:szCs w:val="19"/>
                <w:color w:val="auto"/>
              </w:rPr>
            </w:pPr>
          </w:p>
        </w:tc>
        <w:tc>
          <w:tcPr>
            <w:tcW w:w="8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George Apostol, M.D.</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19"/>
                <w:szCs w:val="19"/>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Executive Vice President and Global Head of Research and Development</w:t>
            </w:r>
          </w:p>
        </w:tc>
      </w:tr>
      <w:tr>
        <w:trPr>
          <w:trHeight w:val="230"/>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Patrick Barry</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19"/>
                <w:szCs w:val="19"/>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Executive Vice President and President, Global Commercial Operations</w:t>
            </w:r>
          </w:p>
        </w:tc>
      </w:tr>
      <w:tr>
        <w:trPr>
          <w:trHeight w:val="229"/>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Mark Bradley</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19"/>
                <w:szCs w:val="19"/>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Matthew J. Maletta</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20"/>
                <w:szCs w:val="20"/>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Executive Vice President and Chief Legal Officer</w:t>
            </w:r>
          </w:p>
        </w:tc>
      </w:tr>
      <w:tr>
        <w:trPr>
          <w:trHeight w:val="729"/>
        </w:trPr>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0" w:type="dxa"/>
            <w:vAlign w:val="bottom"/>
          </w:tcPr>
          <w:p>
            <w:pPr>
              <w:ind w:left="2500"/>
              <w:spacing w:after="0"/>
              <w:rPr>
                <w:sz w:val="20"/>
                <w:szCs w:val="20"/>
                <w:color w:val="auto"/>
              </w:rPr>
            </w:pPr>
            <w:r>
              <w:rPr>
                <w:rFonts w:ascii="Arial" w:cs="Arial" w:eastAsia="Arial" w:hAnsi="Arial"/>
                <w:sz w:val="18"/>
                <w:szCs w:val="18"/>
                <w:color w:val="auto"/>
              </w:rPr>
              <w:t>15</w:t>
            </w:r>
          </w:p>
        </w:tc>
      </w:tr>
      <w:tr>
        <w:trPr>
          <w:trHeight w:val="115"/>
        </w:trPr>
        <w:tc>
          <w:tcPr>
            <w:tcW w:w="2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Blaise Coleman was appointed President and Chief Executive Officer and a member of the Board of Directors, effective March 2020. He previously served as Executive Vice President and Chief Financial Officer since December 2016. He joined Endo in January 2015 as Vice President of Corporate Financial Planning &amp; Analysis, and was then promoted to Senior Vice President, Global Finance Operations in November 2015. Prior to joining Endo, Mr. Coleman held a number of finance leadership roles with AstraZeneca, most recently as the Chief Financial Officer of the AstraZeneca/Bristol-Myers Squibb US Diabetes Alliance. Prior to that, he was the Head of Finance for the AstraZeneca Global Medicines Development organization based in Mölndal, Sweden. Mr. Coleman joined AstraZeneca in 2007 as Senior Director Commercial Finance for the US Cardiovascular Business. He joined AstraZeneca from Centocor, a wholly-owned subsidiary of Johnson &amp; Johnson, where he held positions in both the Licenses &amp; Acquisitions and Commercial Finance organizations. Mr. Coleman’s move to Centocor in early 2003 followed 7 years’ experience with the global public accounting firm, PricewaterhouseCoopers LLP. Mr. Coleman is a Certified Public Accountant; he holds a Bachelor of Science degree in accounting from Widener University and an M.B.A. from the Fuqua School of Business at Duke University.</w:t>
      </w:r>
    </w:p>
    <w:p>
      <w:pPr>
        <w:spacing w:after="0" w:line="77" w:lineRule="exact"/>
        <w:rPr>
          <w:sz w:val="20"/>
          <w:szCs w:val="20"/>
          <w:color w:val="auto"/>
        </w:rPr>
      </w:pPr>
    </w:p>
    <w:p>
      <w:pPr>
        <w:ind w:right="140" w:firstLine="486"/>
        <w:spacing w:after="0" w:line="270" w:lineRule="auto"/>
        <w:rPr>
          <w:sz w:val="20"/>
          <w:szCs w:val="20"/>
          <w:color w:val="auto"/>
        </w:rPr>
      </w:pPr>
      <w:r>
        <w:rPr>
          <w:rFonts w:ascii="Arial" w:cs="Arial" w:eastAsia="Arial" w:hAnsi="Arial"/>
          <w:sz w:val="17"/>
          <w:szCs w:val="17"/>
          <w:color w:val="auto"/>
        </w:rPr>
        <w:t>George Apostol, M.D. was appointed Global Head of Research and Development, effective May 2020, and Executive Vice President, effective November 2020. In this role, he has responsibility for all R&amp;D work for current and future products in the Company’s branded, generic, sterile injectables and aesthetics divisions. Prior to joining Endo, Dr. Apostol was the Vice President of Global Development at Takeda (formerly Shire) since May 2015, where he led three major development programs, from the pre-clinical stage through post-commercialization. Before that, he supported the neuroscience division of Novartis as the Franchise Medical Head in Europe and as the Global Program Medical Director. Dr. Apostol also held clinical development roles at Abbott, Pfizer and Eli Lilly and Company. Over nearly two decades in the pharmaceutical industry, Dr. Apostol has built broad drug development expertise, established multiple accomplished R&amp;D teams, published more than 20 articles in peer-reviewed medical journals and lectured at various scientific events, with a focus on rare diseases. He holds an M.D. degree from the Carol Davila Medical School in Romania and a M.S. in Clinical Research from University of Minnesota, Minneapolis.</w:t>
      </w:r>
    </w:p>
    <w:p>
      <w:pPr>
        <w:spacing w:after="0" w:line="73"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Patrick Barry was appointed Executive Vice President and President, Global Commercial Operations, effective April 2020. In this role, he has responsibility for the Company’s global commercial organization across each of Endo’s four reportable business segments, including Branded Pharmaceuticals, Sterile Injectables, Generic Pharmaceuticals and International Pharmaceuticals. He formerly served as Executive Vice President and Chief Commercial Officer, U.S. Branded Business since February 2018, after joining Endo in December 2016 as Senior Vice President, U.S. Branded Pharmaceuticals. Prior to joining Endo, Mr. Barry worked at Sanofi S.A. from 1992 until December 2016, holding roles of increasing responsibility in areas such as Sales Leadership, Commercial Operations, Marketing, Launch Planning and Training and Leadership Development. Most recently, he served at Sanofi S.A. as its General Manager and Head of North America General Medicines starting in September 2015 and as Vice President and Head of U.S. Specialty from April 2014 until August 2015. During this time, Mr. Barry oversaw three complex and diverse businesses with responsibility for leading sales and marketing activities for branded and generic products across the U.S. and Canada. He has a diverse therapeutic experience including aesthetics and dermatology, oncology, urology, orthopedics and medical device and surgical experience. He has an M.B.A. from Cornell University, Johnson School of Management and a B.A. in Public Relations and Marketing from McKendree University.</w:t>
      </w:r>
    </w:p>
    <w:p>
      <w:pPr>
        <w:spacing w:after="0" w:line="74"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Mark Bradley was appointed Executive Vice President and Chief Financial Officer, effective March 2020. He previously served as Senior Vice President, Corporate Development &amp; Treasurer since June 2017. Mr. Bradley joined Endo in January 2007 as a Finance Director and has held various positions of increasing responsibility since joining the Company. Prior to joining Endo, he spent nearly 7 years as a management consultant, most recently with Deloitte Consulting, providing a broad range of strategic and operational advice and services to senior executives across a number of industries. In addition, Mr. Bradley served as a Finance Director for an industrial products company for approximately 2 years. He spent the first 5 years of his career in public accounting at Ernst &amp; Young LLP. Mr. Bradley is a licensed Certified Public Accountant and holds a Bachelor of Science degree in Accounting from Saint Joseph’s University and a Master of Business Administration from The University of Texas at Austin.</w:t>
      </w:r>
    </w:p>
    <w:p>
      <w:pPr>
        <w:spacing w:after="0" w:line="69"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Matthew J. Maletta was appointed Executive Vice President and Chief Legal Officer, effective May 2015, where he has global responsibility for all legal matters affecting the Company. Prior to joining Endo in 2015, Mr. Maletta served as Vice President, Associate General Counsel and Corporate Secretary of Allergan. In this position, he served as an advisor to the Chief Executive Officer and Board of Directors and supervised several large transactions, including the $70 billion acquisition of Allergan by Actavis in 2015. Mr. Maletta also played a key role defending Allergan from an unsolicited takeover bid by Valeant Pharmaceuticals and Pershing Square Capital Management in 2014. Mr. Maletta joined Allergan in 2002 and during his tenure, held roles of increased responsibility, including serving as the lead commercial attorney for Allergan’s aesthetics businesses for several years and as Head of Human Resources in 2010. Prior to joining Allergan, Mr. Maletta was in private practice, focusing on general corporate matters, finance, governance, securities and transactions. He holds a B.A. degree in political science from the University of Minnesota, summa cum laude and Phi Beta Kappa, and a J.D. degree, cum laude, from the University of Minnesota Law School.</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employment agreements with each of our executive officers.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internet address is www.endo.com. The contents of our website are not part of this Annual Report on Form 10-K and our internet address is included in this document as an inactive textual reference only. We make our Annual Reports on Form 10-K, Quarterly Reports on Form 10-Q, Current Reports on Form 8-K, proxy reports and all amendments to those reports available free of charge on our website as soon as reasonably practicable after we file such reports with, or furnish such reports to, the SEC.</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You can access our filings through the SEC’s internet site: www.sec.gov </w:t>
      </w:r>
      <w:r>
        <w:rPr>
          <w:rFonts w:ascii="Arial" w:cs="Arial" w:eastAsia="Arial" w:hAnsi="Arial"/>
          <w:sz w:val="18"/>
          <w:szCs w:val="18"/>
          <w:i w:val="1"/>
          <w:iCs w:val="1"/>
          <w:color w:val="auto"/>
        </w:rPr>
        <w:t>(intended to be an inactive textual reference only).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You may also access copies of the Company’s filings with the Canadian Securities Administrators on SEDAR through their internet site: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www.sedar.com </w:t>
      </w:r>
      <w:r>
        <w:rPr>
          <w:rFonts w:ascii="Arial" w:cs="Arial" w:eastAsia="Arial" w:hAnsi="Arial"/>
          <w:sz w:val="18"/>
          <w:szCs w:val="18"/>
          <w:i w:val="1"/>
          <w:iCs w:val="1"/>
          <w:color w:val="auto"/>
        </w:rPr>
        <w:t>(intended to be an inactive textual reference only).</w:t>
      </w:r>
    </w:p>
    <w:p>
      <w:pPr>
        <w:spacing w:after="0" w:line="9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jc w:val="both"/>
        <w:ind w:right="280" w:firstLine="486"/>
        <w:spacing w:after="0" w:line="342" w:lineRule="auto"/>
        <w:rPr>
          <w:sz w:val="20"/>
          <w:szCs w:val="20"/>
          <w:color w:val="auto"/>
        </w:rPr>
      </w:pPr>
      <w:r>
        <w:rPr>
          <w:rFonts w:ascii="Arial" w:cs="Arial" w:eastAsia="Arial" w:hAnsi="Arial"/>
          <w:sz w:val="16"/>
          <w:szCs w:val="16"/>
          <w:color w:val="auto"/>
        </w:rPr>
        <w:t>The following is a summary of the risk factors contained in this Annual Report on Form 10-K that could adversely affect our business, financial condition, results of operations and cash flows. In addition to this summary, we encourage you to carefully review the full risk factors in their entirety.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Related Risks</w:t>
      </w:r>
    </w:p>
    <w:p>
      <w:pPr>
        <w:spacing w:after="0" w:line="63" w:lineRule="exact"/>
        <w:rPr>
          <w:sz w:val="20"/>
          <w:szCs w:val="20"/>
          <w:color w:val="auto"/>
        </w:rPr>
      </w:pPr>
    </w:p>
    <w:p>
      <w:pPr>
        <w:ind w:left="480" w:hanging="229"/>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operate in a highly competitive industry.</w:t>
      </w:r>
    </w:p>
    <w:p>
      <w:pPr>
        <w:spacing w:after="0" w:line="23" w:lineRule="exact"/>
        <w:rPr>
          <w:rFonts w:ascii="Arial" w:cs="Arial" w:eastAsia="Arial" w:hAnsi="Arial"/>
          <w:sz w:val="18"/>
          <w:szCs w:val="18"/>
          <w:color w:val="auto"/>
        </w:rPr>
      </w:pPr>
    </w:p>
    <w:p>
      <w:pPr>
        <w:ind w:left="480" w:hanging="229"/>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pharmaceutical companies may obtain approval for competing versions of our products.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Pharmacies or outsourcing facilities may produce compounded versions of our products.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fail to successfully identify, develop, maintain or introduce products.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Uncertainties exist regarding our acquisition and licensing strategy.</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Asset sales could adversely affect our prospects and opportunities for growth.</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 party reimbursement for our products is uncertain.</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levels may be reduced because of social or political pressures.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is highly dependent upon market perceptions of us, our brands and the safety and quality of our products.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and financial condition may be adversely affected by legislation.</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customer concentration may adversely affect us.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currently dependent on outside manufacturers for the manufacture of a significant amount of our products.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dependent on third parties to supply raw materials used in our products and to provide services.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limited experience in manufacturing biologic products and may encounter difficulties in our manufacturing processes.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DEA could limit the availability of active ingredients and the production of products.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rely on our ability to retain our key personnel and to continue to attract additional professional staff.</w:t>
      </w:r>
    </w:p>
    <w:p>
      <w:pPr>
        <w:spacing w:after="0" w:line="9" w:lineRule="exact"/>
        <w:rPr>
          <w:rFonts w:ascii="Arial" w:cs="Arial" w:eastAsia="Arial" w:hAnsi="Arial"/>
          <w:sz w:val="18"/>
          <w:szCs w:val="18"/>
          <w:color w:val="auto"/>
        </w:rPr>
      </w:pPr>
    </w:p>
    <w:p>
      <w:pPr>
        <w:ind w:left="500" w:hanging="249"/>
        <w:spacing w:after="0" w:line="250" w:lineRule="auto"/>
        <w:tabs>
          <w:tab w:leader="none" w:pos="4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operations could be disrupted if our information systems fail, if we are unsuccessful in implementing necessary upgrades or if we are subject to cyber-attacks.</w:t>
      </w:r>
    </w:p>
    <w:p>
      <w:pPr>
        <w:ind w:left="480" w:hanging="229"/>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subject to risks related to our global operations.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subject to risks regarding widespread health problems, including the recent global coronavirus.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Liability Related Risks</w:t>
      </w:r>
    </w:p>
    <w:p>
      <w:pPr>
        <w:spacing w:after="0" w:line="63" w:lineRule="exact"/>
        <w:rPr>
          <w:sz w:val="20"/>
          <w:szCs w:val="20"/>
          <w:color w:val="auto"/>
        </w:rPr>
      </w:pPr>
    </w:p>
    <w:p>
      <w:pPr>
        <w:ind w:left="500" w:right="360" w:hanging="249"/>
        <w:spacing w:after="0" w:line="258" w:lineRule="auto"/>
        <w:tabs>
          <w:tab w:leader="none" w:pos="4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expect to continue to be the subject of lawsuits, product liability claims, other significant legal proceedings, governmental investigations or product recalls.</w:t>
      </w:r>
    </w:p>
    <w:p>
      <w:pPr>
        <w:spacing w:after="0" w:line="1" w:lineRule="exact"/>
        <w:rPr>
          <w:rFonts w:ascii="Arial" w:cs="Arial" w:eastAsia="Arial" w:hAnsi="Arial"/>
          <w:sz w:val="18"/>
          <w:szCs w:val="18"/>
          <w:color w:val="auto"/>
        </w:rPr>
      </w:pPr>
    </w:p>
    <w:p>
      <w:pPr>
        <w:ind w:left="480" w:hanging="229"/>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have and may be unable to obtain or maintain insurance adequate to cover potential liabilities.</w:t>
      </w:r>
    </w:p>
    <w:p>
      <w:pPr>
        <w:spacing w:after="0" w:line="9" w:lineRule="exact"/>
        <w:rPr>
          <w:rFonts w:ascii="Arial" w:cs="Arial" w:eastAsia="Arial" w:hAnsi="Arial"/>
          <w:sz w:val="18"/>
          <w:szCs w:val="18"/>
          <w:color w:val="auto"/>
        </w:rPr>
      </w:pPr>
    </w:p>
    <w:p>
      <w:pPr>
        <w:ind w:left="500" w:hanging="249"/>
        <w:spacing w:after="0" w:line="260" w:lineRule="auto"/>
        <w:tabs>
          <w:tab w:leader="none" w:pos="4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Public concern around the abuse of opioids or other products, including law enforcement concerns over diversion or marketing practices, regulatory efforts to combat abuse and litigation could result in costs to our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Liquidity Related Risks</w:t>
      </w:r>
    </w:p>
    <w:p>
      <w:pPr>
        <w:spacing w:after="0" w:line="63" w:lineRule="exact"/>
        <w:rPr>
          <w:sz w:val="20"/>
          <w:szCs w:val="20"/>
          <w:color w:val="auto"/>
        </w:rPr>
      </w:pPr>
    </w:p>
    <w:p>
      <w:pPr>
        <w:ind w:left="500" w:right="100" w:hanging="249"/>
        <w:spacing w:after="0" w:line="258" w:lineRule="auto"/>
        <w:tabs>
          <w:tab w:leader="none" w:pos="4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fund our operations, maintain adequate liquidity and meet our financing obligations is reliant on our operations, which are subject to significant risks and uncertainties.</w:t>
      </w:r>
    </w:p>
    <w:p>
      <w:pPr>
        <w:spacing w:after="0" w:line="1" w:lineRule="exact"/>
        <w:rPr>
          <w:rFonts w:ascii="Arial" w:cs="Arial" w:eastAsia="Arial" w:hAnsi="Arial"/>
          <w:sz w:val="18"/>
          <w:szCs w:val="18"/>
          <w:color w:val="auto"/>
        </w:rPr>
      </w:pPr>
    </w:p>
    <w:p>
      <w:pPr>
        <w:ind w:left="480" w:hanging="229"/>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impairments of goodwill and other intangibles may significantly impact our profitability.</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substantial indebtedness could adversely affect our financial position.</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Replacement of or changes in the method of determining the London Interbank Offered Rate (LIBOR) could adversely affect us.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restricted by covenants in our debt agreements and a default may result in acceleration of certain of our indebtedness.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realize the anticipated benefits from our strategic actions.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Related Risks</w:t>
      </w:r>
    </w:p>
    <w:p>
      <w:pPr>
        <w:spacing w:after="0" w:line="63" w:lineRule="exact"/>
        <w:rPr>
          <w:sz w:val="20"/>
          <w:szCs w:val="20"/>
          <w:color w:val="auto"/>
        </w:rPr>
      </w:pPr>
    </w:p>
    <w:p>
      <w:pPr>
        <w:ind w:left="500" w:right="400" w:hanging="249"/>
        <w:spacing w:after="0" w:line="258" w:lineRule="auto"/>
        <w:tabs>
          <w:tab w:leader="none" w:pos="4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Agreements between branded pharmaceutical companies and generic pharmaceutical companies are facing increased government scrutiny and private litigation in the U.S. and abroad.</w:t>
      </w:r>
    </w:p>
    <w:p>
      <w:pPr>
        <w:spacing w:after="0" w:line="1" w:lineRule="exact"/>
        <w:rPr>
          <w:rFonts w:ascii="Arial" w:cs="Arial" w:eastAsia="Arial" w:hAnsi="Arial"/>
          <w:sz w:val="18"/>
          <w:szCs w:val="18"/>
          <w:color w:val="auto"/>
        </w:rPr>
      </w:pPr>
    </w:p>
    <w:p>
      <w:pPr>
        <w:ind w:left="480" w:hanging="229"/>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subject to various laws and regulations pertaining to the marketing of our products and services.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pharmaceutical industry is heavily regulated, which creates uncertainty and substantial compliance costs.</w:t>
      </w:r>
    </w:p>
    <w:p>
      <w:pPr>
        <w:sectPr>
          <w:pgSz w:w="11900" w:h="16838" w:orient="portrait"/>
          <w:cols w:equalWidth="0" w:num="1">
            <w:col w:w="11140"/>
          </w:cols>
          <w:pgMar w:left="320" w:top="118" w:right="4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type w:val="continuous"/>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480" w:hanging="229"/>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subject to complex reporting and payment obligations under Medicaid and other drug pricing programs.</w:t>
      </w:r>
    </w:p>
    <w:p>
      <w:pPr>
        <w:spacing w:after="0" w:line="23" w:lineRule="exact"/>
        <w:rPr>
          <w:rFonts w:ascii="Arial" w:cs="Arial" w:eastAsia="Arial" w:hAnsi="Arial"/>
          <w:sz w:val="18"/>
          <w:szCs w:val="18"/>
          <w:color w:val="auto"/>
        </w:rPr>
      </w:pPr>
    </w:p>
    <w:p>
      <w:pPr>
        <w:ind w:left="480" w:hanging="229"/>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Decreases in the degree to which individuals are covered by healthcare insurance could result in decreased use of our products.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or other factors may cause us to be unable to manufacture products or face interruptions in our manufacturing process.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fail to obtain regulatory approval or maintain compliance with requirements in non-U.S. jurisdictions.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use of generic products may be limited through legislative, regulatory and other efforts.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tariffs and evolving trade policy between the U.S. and other countries, including China, could adversely affect us.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subject to health information privacy and data protection laws that include penalties for noncompliance.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Related Risks</w:t>
      </w:r>
    </w:p>
    <w:p>
      <w:pPr>
        <w:spacing w:after="0" w:line="63" w:lineRule="exact"/>
        <w:rPr>
          <w:sz w:val="20"/>
          <w:szCs w:val="20"/>
          <w:color w:val="auto"/>
        </w:rPr>
      </w:pPr>
    </w:p>
    <w:p>
      <w:pPr>
        <w:ind w:left="480" w:hanging="229"/>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protect and maintain our proprietary and licensed third party technology, which is vital to our business, is uncertain.</w:t>
      </w:r>
    </w:p>
    <w:p>
      <w:pPr>
        <w:spacing w:after="0" w:line="23" w:lineRule="exact"/>
        <w:rPr>
          <w:rFonts w:ascii="Arial" w:cs="Arial" w:eastAsia="Arial" w:hAnsi="Arial"/>
          <w:sz w:val="18"/>
          <w:szCs w:val="18"/>
          <w:color w:val="auto"/>
        </w:rPr>
      </w:pPr>
    </w:p>
    <w:p>
      <w:pPr>
        <w:ind w:left="500" w:right="20" w:hanging="249"/>
        <w:spacing w:after="0" w:line="260" w:lineRule="auto"/>
        <w:tabs>
          <w:tab w:leader="none" w:pos="4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 party allegations of intellectual property infringement, unfavorable outcomes in litigation and “at-risk” product launches could adversely affect us.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Ordinary Shares</w:t>
      </w:r>
    </w:p>
    <w:p>
      <w:pPr>
        <w:spacing w:after="0" w:line="63" w:lineRule="exact"/>
        <w:rPr>
          <w:sz w:val="20"/>
          <w:szCs w:val="20"/>
          <w:color w:val="auto"/>
        </w:rPr>
      </w:pPr>
    </w:p>
    <w:p>
      <w:pPr>
        <w:ind w:left="480" w:hanging="229"/>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trading prices of our securities have been volatile, and investments in our securities could decline in value.</w:t>
      </w:r>
    </w:p>
    <w:p>
      <w:pPr>
        <w:spacing w:after="0" w:line="23" w:lineRule="exact"/>
        <w:rPr>
          <w:rFonts w:ascii="Arial" w:cs="Arial" w:eastAsia="Arial" w:hAnsi="Arial"/>
          <w:sz w:val="18"/>
          <w:szCs w:val="18"/>
          <w:color w:val="auto"/>
        </w:rPr>
      </w:pPr>
    </w:p>
    <w:p>
      <w:pPr>
        <w:ind w:left="480" w:hanging="229"/>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no plans to pay regular dividends on our ordinary shares or to conduct ordinary share repurchases.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Shareholder activism could cause us to incur significant expenses, hinder execution of our business strategy and impact our share price.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Related Risks</w:t>
      </w:r>
    </w:p>
    <w:p>
      <w:pPr>
        <w:spacing w:after="0" w:line="63" w:lineRule="exact"/>
        <w:rPr>
          <w:sz w:val="20"/>
          <w:szCs w:val="20"/>
          <w:color w:val="auto"/>
        </w:rPr>
      </w:pPr>
    </w:p>
    <w:p>
      <w:pPr>
        <w:ind w:left="480" w:hanging="229"/>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changes to tax laws could materially adversely affect us.</w:t>
      </w:r>
    </w:p>
    <w:p>
      <w:pPr>
        <w:spacing w:after="0" w:line="23" w:lineRule="exact"/>
        <w:rPr>
          <w:rFonts w:ascii="Arial" w:cs="Arial" w:eastAsia="Arial" w:hAnsi="Arial"/>
          <w:sz w:val="18"/>
          <w:szCs w:val="18"/>
          <w:color w:val="auto"/>
        </w:rPr>
      </w:pPr>
    </w:p>
    <w:p>
      <w:pPr>
        <w:ind w:left="480" w:hanging="229"/>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IRS may not agree with the conclusion that we should be treated as a non-U.S. corporation.</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 rate of taxation upon our results of operations is dependent on multi-national tax considerations.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IRS and other taxing authorities may continue to challenge our tax positions and we may not be able to successfully maintain such positions.</w:t>
      </w:r>
    </w:p>
    <w:p>
      <w:pPr>
        <w:spacing w:after="0" w:line="32" w:lineRule="exact"/>
        <w:rPr>
          <w:rFonts w:ascii="Arial" w:cs="Arial" w:eastAsia="Arial" w:hAnsi="Arial"/>
          <w:sz w:val="16"/>
          <w:szCs w:val="16"/>
          <w:color w:val="auto"/>
        </w:rPr>
      </w:pPr>
    </w:p>
    <w:p>
      <w:pPr>
        <w:ind w:left="480" w:hanging="229"/>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use U.S. tax attributes to offset U.S. taxable income may be limited.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Structural and Organizational Risks</w:t>
      </w:r>
    </w:p>
    <w:p>
      <w:pPr>
        <w:spacing w:after="0" w:line="63" w:lineRule="exact"/>
        <w:rPr>
          <w:sz w:val="20"/>
          <w:szCs w:val="20"/>
          <w:color w:val="auto"/>
        </w:rPr>
      </w:pPr>
    </w:p>
    <w:p>
      <w:pPr>
        <w:ind w:left="480" w:hanging="229"/>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Irish law differs from the laws in effect in the U.S. and may afford less protection to our shareholders.</w:t>
      </w:r>
    </w:p>
    <w:p>
      <w:pPr>
        <w:spacing w:after="0" w:line="23" w:lineRule="exact"/>
        <w:rPr>
          <w:rFonts w:ascii="Arial" w:cs="Arial" w:eastAsia="Arial" w:hAnsi="Arial"/>
          <w:sz w:val="18"/>
          <w:szCs w:val="18"/>
          <w:color w:val="auto"/>
        </w:rPr>
      </w:pPr>
    </w:p>
    <w:p>
      <w:pPr>
        <w:ind w:left="480" w:hanging="229"/>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Takeover attempts will be subject to Irish Takeover Rules and subject to review by the Irish Takeover Panel.</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an Irish company and it may be difficult to enforce judgments against us or certain of our officers and directors.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The following risk factors could adversely affect our business, financial condition, results of operations and cash flows. These are not the only risks facing the Company. Risks and uncertainties not currently known to us or that we currently deem to be immaterial could also adversely affect our business, financial condition, results of operations and cash flows.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Related Risks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industry.</w:t>
      </w:r>
    </w:p>
    <w:p>
      <w:pPr>
        <w:spacing w:after="0" w:line="12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pharmaceutical industry is intensely competitive and we face competition in both our U.S. and international branded and generic pharmaceutical business. Competitive factors include, without limitation, product development, technological innovation, safety, efficacy, commercialization, marketing, promotion, product quality, price, cost-effectiveness, reputation, service, patient convenience and access to scientific and technical information. Many of our competitors have, and future competitors may have, greater resources than we do, and we cannot predict with certainty the timing or impact of competitors’ products and commercialization strategies. Furthermore, recent market consolidation in this industry may further concentrate financial, technical and market strength and increase competitive pressure in the industry. In addition, our competitors may make greater R&amp;D investments and have more efficient or superior processes and systems and more experience in the development of new products that permit them to respond more quickly to new or emerging technologies and changes in customer demand which may make our products or technologies uncompetitive or obsolete. Furthermore, academic institutions, government agencies and other public and private organizations conducting research may seek patent protection and may establish collaborative arrangements for competitive products or programs. If we fail to compete successfully, it could have a material adverse effect on our business, financial condition, results of operations and cash flows.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Many of our branded products do not currently compete with on-market generic products but are likely to face generic competition in the future. While the entrance of generic competitors could occur at any time and cannot be predicted with certainty, generic competition often follows shortly after the loss of patent protection. See “Patents, Trademarks, Licenses and Proprietary Property” in Part I, Item 1 of this report “Business” for additional information. Similarly, generic products we currently sell with generic exclusivity could in the future be subject to competition from other generic competitors. Some of our other products, including both branded and generic products, face generic competition and the risk of additional generic competitors entering the market. Manufacturers of generic products typically invest far less in R&amp;D than research-based companies. Additionally, generic competitors, including Asian or other overseas generic competitors, may be able to manufacture products at costs lower than us. For these reasons, competitors may price their products lower than ours, and such differences could be significant. Due to lower prices, generic versions, where available, may be substituted by pharmacies or required in preference to branded versions under third-party reimbursement programs. As a result, generic competition could have a material adverse effect on our business, financial condition, results of operations and cash flows. Legislation encouraging early and rapid approval of generic drugs could also increase the degree of generic competition we face. See the risk factor “If other pharmaceutical companies use litigation and regulatory means to obtain approval for generic, biosimilar, OTC or other competing versions of our products, our sales may suffer” for more information.</w:t>
      </w:r>
    </w:p>
    <w:p>
      <w:pPr>
        <w:spacing w:after="0" w:line="78"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In addition, our generics business faces competition from brand-name pharmaceutical companies, which have taken and may continue to take aggressive steps to thwart or delay competition from generic equivalents of their brand-name products, including bringing litigation alleging patent infringement or other violations of intellectual property rights. The actions taken by competing brand-name pharmaceutical companies may increase the costs and risks associated with our efforts to introduce generic products and may delay or prevent such introduction altogether. For example, if a brand-name pharmaceutical company’s patent were held to be valid and infringed by our generic products in a particular jurisdiction, we would be required to either obtain a license from the patent holder or delay or cease the manufacture and sale of such generic product. Any of these factors could have a material adverse effect on our business, financial condition, results of operations and cash flows.</w:t>
      </w:r>
    </w:p>
    <w:p>
      <w:pPr>
        <w:spacing w:after="0" w:line="69" w:lineRule="exact"/>
        <w:rPr>
          <w:sz w:val="20"/>
          <w:szCs w:val="20"/>
          <w:color w:val="auto"/>
        </w:rPr>
      </w:pPr>
    </w:p>
    <w:p>
      <w:pPr>
        <w:jc w:val="both"/>
        <w:ind w:right="460" w:firstLine="486"/>
        <w:spacing w:after="0" w:line="311" w:lineRule="auto"/>
        <w:rPr>
          <w:sz w:val="20"/>
          <w:szCs w:val="20"/>
          <w:color w:val="auto"/>
        </w:rPr>
      </w:pPr>
      <w:r>
        <w:rPr>
          <w:rFonts w:ascii="Arial" w:cs="Arial" w:eastAsia="Arial" w:hAnsi="Arial"/>
          <w:sz w:val="16"/>
          <w:szCs w:val="16"/>
          <w:color w:val="auto"/>
        </w:rPr>
        <w:t>Our sales may also suffer as a result of changes in consumer demand for our products, including as a result of fluctuations in consumer buying patterns, changes in market conditions or actions taken by our competitors, including the introduction of new products or price reductions for existing products. Any of these factors could have a material adverse effect on our business, financial condition, results of operations and cash flows.</w:t>
      </w:r>
    </w:p>
    <w:p>
      <w:pPr>
        <w:spacing w:after="0" w:line="37"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If other pharmaceutical companies use litigation and regulatory means to obtain approval for generic, biosimilar, OTC or other competing versions of our products, our sales may suffer.</w:t>
      </w:r>
    </w:p>
    <w:p>
      <w:pPr>
        <w:spacing w:after="0" w:line="58"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color w:val="auto"/>
        </w:rPr>
        <w:t>Various manufacturers have filed ANDAs seeking FDA approval for generic versions of certain of our key pharmaceutical products including, but not limited to, LIDODERM</w:t>
      </w:r>
      <w:r>
        <w:rPr>
          <w:rFonts w:ascii="Arial" w:cs="Arial" w:eastAsia="Arial" w:hAnsi="Arial"/>
          <w:sz w:val="10"/>
          <w:szCs w:val="10"/>
          <w:color w:val="auto"/>
        </w:rPr>
        <w:t>®</w:t>
      </w:r>
      <w:r>
        <w:rPr>
          <w:rFonts w:ascii="Arial" w:cs="Arial" w:eastAsia="Arial" w:hAnsi="Arial"/>
          <w:sz w:val="18"/>
          <w:szCs w:val="18"/>
          <w:color w:val="auto"/>
        </w:rPr>
        <w:t>, VASOSTRICT</w:t>
      </w:r>
      <w:r>
        <w:rPr>
          <w:rFonts w:ascii="Arial" w:cs="Arial" w:eastAsia="Arial" w:hAnsi="Arial"/>
          <w:sz w:val="10"/>
          <w:szCs w:val="10"/>
          <w:color w:val="auto"/>
        </w:rPr>
        <w:t>®</w:t>
      </w:r>
      <w:r>
        <w:rPr>
          <w:rFonts w:ascii="Arial" w:cs="Arial" w:eastAsia="Arial" w:hAnsi="Arial"/>
          <w:sz w:val="18"/>
          <w:szCs w:val="18"/>
          <w:color w:val="auto"/>
        </w:rPr>
        <w:t>, ADRENALIN</w:t>
      </w:r>
      <w:r>
        <w:rPr>
          <w:rFonts w:ascii="Arial" w:cs="Arial" w:eastAsia="Arial" w:hAnsi="Arial"/>
          <w:sz w:val="10"/>
          <w:szCs w:val="10"/>
          <w:color w:val="auto"/>
        </w:rPr>
        <w:t>®</w:t>
      </w:r>
      <w:r>
        <w:rPr>
          <w:rFonts w:ascii="Arial" w:cs="Arial" w:eastAsia="Arial" w:hAnsi="Arial"/>
          <w:sz w:val="18"/>
          <w:szCs w:val="18"/>
          <w:color w:val="auto"/>
        </w:rPr>
        <w:t xml:space="preserve"> and AVEED</w:t>
      </w:r>
      <w:r>
        <w:rPr>
          <w:rFonts w:ascii="Arial" w:cs="Arial" w:eastAsia="Arial" w:hAnsi="Arial"/>
          <w:sz w:val="10"/>
          <w:szCs w:val="10"/>
          <w:color w:val="auto"/>
        </w:rPr>
        <w:t>®</w:t>
      </w:r>
      <w:r>
        <w:rPr>
          <w:rFonts w:ascii="Arial" w:cs="Arial" w:eastAsia="Arial" w:hAnsi="Arial"/>
          <w:sz w:val="18"/>
          <w:szCs w:val="18"/>
          <w:color w:val="auto"/>
        </w:rPr>
        <w:t>. In connection with such filings, these manufacturers have challenged the validity and/or enforceability of one or more of the underlying patents protecting our products. In the case of LIDODERM</w:t>
      </w:r>
      <w:r>
        <w:rPr>
          <w:rFonts w:ascii="Arial" w:cs="Arial" w:eastAsia="Arial" w:hAnsi="Arial"/>
          <w:sz w:val="10"/>
          <w:szCs w:val="10"/>
          <w:color w:val="auto"/>
        </w:rPr>
        <w:t>®</w:t>
      </w:r>
      <w:r>
        <w:rPr>
          <w:rFonts w:ascii="Arial" w:cs="Arial" w:eastAsia="Arial" w:hAnsi="Arial"/>
          <w:sz w:val="18"/>
          <w:szCs w:val="18"/>
          <w:color w:val="auto"/>
        </w:rPr>
        <w:t>, we no longer have patent protection in the markets where we sell these products and our revenues related to LIDODERM</w:t>
      </w:r>
      <w:r>
        <w:rPr>
          <w:rFonts w:ascii="Arial" w:cs="Arial" w:eastAsia="Arial" w:hAnsi="Arial"/>
          <w:sz w:val="10"/>
          <w:szCs w:val="10"/>
          <w:color w:val="auto"/>
        </w:rPr>
        <w:t>®</w:t>
      </w:r>
      <w:r>
        <w:rPr>
          <w:rFonts w:ascii="Arial" w:cs="Arial" w:eastAsia="Arial" w:hAnsi="Arial"/>
          <w:sz w:val="18"/>
          <w:szCs w:val="18"/>
          <w:color w:val="auto"/>
        </w:rPr>
        <w:t xml:space="preserve"> have been significantly impacted by competing generic versions.</w:t>
      </w:r>
    </w:p>
    <w:p>
      <w:pPr>
        <w:spacing w:after="0" w:line="80"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Any launch of competing OTC versions of any of our products could decrease the revenue of such products, which could have a material adverse effect on our business, financial condition, results of operations and cash flows.</w:t>
      </w:r>
    </w:p>
    <w:p>
      <w:pPr>
        <w:spacing w:after="0" w:line="62"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Our practice is to vigorously defend and pursue all available legal and regulatory avenues in defense of the intellectual property rights protecting our products. Despite our efforts, litigation is inherently uncertain, and we cannot predict the timing or outcome of our efforts. If we are not successful in defending our intellectual property rights or opt to settle, or if a product’s marketing or data exclusivity rights expire or become otherwise unenforceable, our competitors could ultimately launch generic, biosimilar, OTC or other competing versions of our products. Upon the loss or expiration of patent protection for one of our products, or upon the “at-risk” launch (despite pending patent infringement litigation against the generic product) by a generic manufacturer of a generic version of one of our patented products, our sales and revenues of the affected products would likely decline rapidly and materially, which could require us to write off a portion or all of the intangible assets associated with the affected product and could have a material adverse effect on our business, financial condition, results of operations and cash flows.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2" w:lineRule="auto"/>
        <w:rPr>
          <w:sz w:val="20"/>
          <w:szCs w:val="20"/>
          <w:color w:val="auto"/>
        </w:rPr>
      </w:pPr>
      <w:r>
        <w:rPr>
          <w:rFonts w:ascii="Arial" w:cs="Arial" w:eastAsia="Arial" w:hAnsi="Arial"/>
          <w:sz w:val="16"/>
          <w:szCs w:val="16"/>
          <w:color w:val="auto"/>
        </w:rPr>
        <w:t>In the case of VASOSTRICT</w:t>
      </w:r>
      <w:r>
        <w:rPr>
          <w:rFonts w:ascii="Arial" w:cs="Arial" w:eastAsia="Arial" w:hAnsi="Arial"/>
          <w:sz w:val="9"/>
          <w:szCs w:val="9"/>
          <w:color w:val="auto"/>
        </w:rPr>
        <w:t>®</w:t>
      </w:r>
      <w:r>
        <w:rPr>
          <w:rFonts w:ascii="Arial" w:cs="Arial" w:eastAsia="Arial" w:hAnsi="Arial"/>
          <w:sz w:val="16"/>
          <w:szCs w:val="16"/>
          <w:color w:val="auto"/>
        </w:rPr>
        <w:t>, beginning in April 2018, Par Sterile Products, LLC (PSP LLC) and Par Pharmaceutical, Inc. (PPI) received notice letters from Eagle Pharmaceuticals, Inc., Sandoz, Inc., Amphastar Pharmaceuticals, Inc., Amneal Pharmaceuticals LLC, American Regent, Fresenius, Dr. Reddy’s Laboratories, Inc. and Aurobindo Pharma Limited advising of the filing by such companies of ANDAs/NDAs for generic versions of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(vasopressin IV solution (infusion)) 20 units/ml and/or 200 units/10 ml. Beginning in May 2018, PSP LLC, PPI and Endo Par Innovation Company, LLC (EPIC) filed lawsuits against Eagle Pharmaceuticals, Inc., Sandoz, Inc., Amphastar Pharmaceuticals, Inc., Amneal Pharmaceuticals LLC, American Regent and Fresenius in the U.S. District Court for the District of Delaware or New Jersey within the 45-day deadline to invoke a 30-month stay of FDA approval pursuant to the Hatch-Waxman legislative scheme. In December 2020, we separately filed suit against Eagle Pharmaceuticals, Inc., Amneal Pharmaceuticals LLC, Dr. Reddy’s Laboratories, Inc. and Aurobindo Pharma Limited in the U.S. District Court for the District of New Jersey in connection with a newly issued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genotyping patent. Beginning in May 2020 through January 2021, we reached settlements with American Regent, Sandoz, Inc., Amphastar Pharmaceuticals, Inc., Fresenius, Aurobindo Pharma Limited and Dr. Reddy’s Laboratories, Inc. We have voluntarily dismissed all cases pending against those defendants. The remaining Delaware cases against Eagle Pharmaceuticals, Inc. and Amneal Pharmaceuticals LLC have been consolidated and trial is presently scheduled for July 2021; however, a trial may occur later as timing remains uncertain due to the impact of COVID-19 and other factors. We intend to pursue all available legal, business and regulatory avenues in defense of VASOSTRICT</w:t>
      </w:r>
      <w:r>
        <w:rPr>
          <w:rFonts w:ascii="Arial" w:cs="Arial" w:eastAsia="Arial" w:hAnsi="Arial"/>
          <w:sz w:val="9"/>
          <w:szCs w:val="9"/>
          <w:color w:val="auto"/>
        </w:rPr>
        <w:t>®</w:t>
      </w:r>
      <w:r>
        <w:rPr>
          <w:rFonts w:ascii="Arial" w:cs="Arial" w:eastAsia="Arial" w:hAnsi="Arial"/>
          <w:sz w:val="16"/>
          <w:szCs w:val="16"/>
          <w:color w:val="auto"/>
        </w:rPr>
        <w:t>, including enforcement of our intellectual property rights. However, there can be no assurance that we will be successful. The introduction of any competing versions of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could result in significant reductions to our market share, revenues and cash flows, both in the short term and long term, and could have a material adverse effect on our business, financial condition, results of operations and cash flows.</w:t>
      </w:r>
    </w:p>
    <w:p>
      <w:pPr>
        <w:spacing w:after="0" w:line="71" w:lineRule="exact"/>
        <w:rPr>
          <w:sz w:val="20"/>
          <w:szCs w:val="20"/>
          <w:color w:val="auto"/>
        </w:rPr>
      </w:pPr>
    </w:p>
    <w:p>
      <w:pPr>
        <w:ind w:right="660" w:firstLine="486"/>
        <w:spacing w:after="0" w:line="311" w:lineRule="auto"/>
        <w:rPr>
          <w:sz w:val="20"/>
          <w:szCs w:val="20"/>
          <w:color w:val="auto"/>
        </w:rPr>
      </w:pPr>
      <w:r>
        <w:rPr>
          <w:rFonts w:ascii="Arial" w:cs="Arial" w:eastAsia="Arial" w:hAnsi="Arial"/>
          <w:sz w:val="16"/>
          <w:szCs w:val="16"/>
          <w:color w:val="auto"/>
        </w:rPr>
        <w:t>There are currently ongoing legal proceedings brought by us and/or our subsidiaries and, in certain cases, our third party partners, against manufacturers seeking FDA approval for generic versions of our products. For a description of the material related legal proceedings, see Note 16. Commitments and Contingencies in the Consolidated Financial Statements included in Part IV, Item 15 of this report.</w:t>
      </w:r>
    </w:p>
    <w:p>
      <w:pPr>
        <w:spacing w:after="0" w:line="41" w:lineRule="exact"/>
        <w:rPr>
          <w:sz w:val="20"/>
          <w:szCs w:val="20"/>
          <w:color w:val="auto"/>
        </w:rPr>
      </w:pPr>
    </w:p>
    <w:p>
      <w:pPr>
        <w:ind w:right="840" w:firstLine="486"/>
        <w:spacing w:after="0" w:line="308" w:lineRule="auto"/>
        <w:rPr>
          <w:sz w:val="20"/>
          <w:szCs w:val="20"/>
          <w:color w:val="auto"/>
        </w:rPr>
      </w:pPr>
      <w:r>
        <w:rPr>
          <w:rFonts w:ascii="Arial" w:cs="Arial" w:eastAsia="Arial" w:hAnsi="Arial"/>
          <w:sz w:val="17"/>
          <w:szCs w:val="17"/>
          <w:color w:val="auto"/>
        </w:rPr>
        <w:t>We also believe it is likely that manufacturers may seek FDA approvals for generic, OTC or other competing versions of other of our key pharmaceutical products, either through the filing of ANDAs, through the OTC monograph process or through the use of other means.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pharmacies or outsourcing facilities produce compounded versions of our products, our sales may suffer.</w:t>
      </w:r>
    </w:p>
    <w:p>
      <w:pPr>
        <w:spacing w:after="0" w:line="121"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Compounded drugs do not typically require the same R&amp;D investments as either branded or generic drugs and, therefore, can compete favorably on price with both branded and generic versions of a drug. See “Governmental Regulation” in Part I, Item 1. While we have successfully challenged an FDA interim policy that would have permitted the compounding of vasopressin, the active ingredient in VASOSTRICT</w:t>
      </w:r>
      <w:r>
        <w:rPr>
          <w:rFonts w:ascii="Arial" w:cs="Arial" w:eastAsia="Arial" w:hAnsi="Arial"/>
          <w:sz w:val="10"/>
          <w:szCs w:val="10"/>
          <w:color w:val="auto"/>
        </w:rPr>
        <w:t>®</w:t>
      </w:r>
      <w:r>
        <w:rPr>
          <w:rFonts w:ascii="Arial" w:cs="Arial" w:eastAsia="Arial" w:hAnsi="Arial"/>
          <w:sz w:val="18"/>
          <w:szCs w:val="18"/>
          <w:color w:val="auto"/>
        </w:rPr>
        <w:t>, the introduction of compounded versions of our products by pharmacies or outsourcing facilities could have a material adverse effect on our business, financial condition, results of operations and cash flows.</w:t>
      </w:r>
    </w:p>
    <w:p>
      <w:pPr>
        <w:spacing w:after="0" w:line="76"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If we fail to successfully identify and develop additional branded and generic pharmaceutical products, obtain and maintain exclusive marketing rights for our branded and generic products or fail to introduce branded and generic products on a timely basis, our revenues, gross margin and operating results may decline.</w:t>
      </w:r>
    </w:p>
    <w:p>
      <w:pPr>
        <w:spacing w:after="0" w:line="72" w:lineRule="exact"/>
        <w:rPr>
          <w:sz w:val="20"/>
          <w:szCs w:val="20"/>
          <w:color w:val="auto"/>
        </w:rPr>
      </w:pPr>
    </w:p>
    <w:p>
      <w:pPr>
        <w:ind w:right="20" w:firstLine="486"/>
        <w:spacing w:after="0" w:line="252" w:lineRule="auto"/>
        <w:rPr>
          <w:sz w:val="20"/>
          <w:szCs w:val="20"/>
          <w:color w:val="auto"/>
        </w:rPr>
      </w:pPr>
      <w:r>
        <w:rPr>
          <w:rFonts w:ascii="Arial" w:cs="Arial" w:eastAsia="Arial" w:hAnsi="Arial"/>
          <w:sz w:val="17"/>
          <w:szCs w:val="17"/>
          <w:color w:val="auto"/>
        </w:rPr>
        <w:t>Our financial results depend, to a significant extent, upon our ability, and the ability of our partners, to identify, develop, obtain regulatory approval for, launch and commercialize a pipeline of commercially successful branded and generic products, including first-to-file or first-to-market opportunities. Due to the significant competition we face and the importance of being the first (or one of the first) to market, no assurances can be given that we will be able to develop, introduce and maintain commercially successful products in the future. For example, in the case of colchicine tablets (the authorized generic of Takeda’s Colcrys</w:t>
      </w:r>
      <w:r>
        <w:rPr>
          <w:rFonts w:ascii="Arial" w:cs="Arial" w:eastAsia="Arial" w:hAnsi="Arial"/>
          <w:sz w:val="22"/>
          <w:szCs w:val="22"/>
          <w:color w:val="auto"/>
          <w:vertAlign w:val="superscript"/>
        </w:rPr>
        <w:t>®</w:t>
      </w:r>
      <w:r>
        <w:rPr>
          <w:rFonts w:ascii="Arial" w:cs="Arial" w:eastAsia="Arial" w:hAnsi="Arial"/>
          <w:sz w:val="17"/>
          <w:szCs w:val="17"/>
          <w:color w:val="auto"/>
        </w:rPr>
        <w:t>), we face competition from Viatris and other manufacturers. In November 2019, Viatris launched its generic version of Colcrys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but agreed to temporarily suspend its sales pending the outcome of preliminary injunction proceedings in the litigation by Takeda against Viatris. These orders have since been lifted as of March 2020 and Viatris and other manufacturers have entered or re-entered the market, which significantly impacted our revenues from colchicine tablets. Similar competition could cause our revenues to decrease significantly, which could have a material adverse effect on our business, financial condition, results of operations and cash flows.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Identifying and developing additional product candidates are prone to risks of failure inherent in product development. We conduct R&amp;D to enable us to manufacture and market pharmaceutical products in accordance with specific government regulations. Much of our product development effort is focused on technically difficult-to-formulate products and/or products that require advanced manufacturing technology. Typically, expenses related to research, development and regulatory approval of compounds for our branded products are significantly greater than those expenses associated with generic products. Should we expand our R&amp;D efforts, our research expenses are likely to increase. Because of the inherent risk associated with R&amp;D efforts in the healthcare industry, particularly with respect to new products, our R&amp;D expenditures may not result in the successful regulatory approval and introduction of new products and failure in the development of any new product can occur at any point in the process, including late in the process after substantial investment. Also, after we submit a regulatory application, the relevant governmental health authority may require that we conduct additional studies, including, for example, studies to assess the product’s interaction with alcohol. As a result, we may be unable to reasonably predict the total R&amp;D costs to develop a particular product and there is a significant risk that the funds we invest in R&amp;D will not generate financial returns. In addition, our operating results and financial condition may fluctuate as the amount we spend to research and develop, commercialize, acquire or license new products, technologies and businesses changes.</w:t>
      </w:r>
    </w:p>
    <w:p>
      <w:pPr>
        <w:spacing w:after="0" w:line="71"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The process of developing and obtaining regulatory approvals for new products is time-consuming, costly and inherently unpredictable. Even if we are able to identify and develop additional product candidates, we may fail to obtain exclusive marketing rights, such as the 180-day ANDA first-filer marketing exclusivity period provided for in the Hatch-Waxman amendments to the FFDCA or the 180-day exclusivity for competitive generic therapies established by the FDA Reauthorization Act of 2017, for such product candidates. Even if we were to secure such exclusivities, risks associated with securing timely approval, as well as risks of unfavorable litigation dispositions, put such exclusivities at risk of being forfeited. The approval of our ANDAs may also be stayed by the FDA for up to 30 months if such ANDAs become the subject of patent litigation. Even where we are awarded marketing exclusivity, we may be required to share our exclusivity period with other ANDA applicants or with authorized generics that are not prohibited from sale during the 180-day marketing exclusivity period. Our revenues have historically included sales of generic products with limited competition resulting from marketing exclusivity or other factors, and the failure to timely and effectively file any NDA, ANDA, BLA or Supplemental Biologics License Application (sBLA) with the FDA or similar filings with other regulatory agencies, or to partner with parties that have obtained marketing exclusivity, could have a material adverse effect on our business, financial condition, results of operations and cash flows.</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Furthermore, the successful commercialization of a product is subject to a number of factors, including:</w:t>
      </w:r>
    </w:p>
    <w:p>
      <w:pPr>
        <w:spacing w:after="0" w:line="23" w:lineRule="exact"/>
        <w:rPr>
          <w:sz w:val="20"/>
          <w:szCs w:val="20"/>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ease of use and safety of our products as compared to existing products;</w:t>
      </w:r>
    </w:p>
    <w:p>
      <w:pPr>
        <w:spacing w:after="0" w:line="9" w:lineRule="exact"/>
        <w:rPr>
          <w:rFonts w:ascii="Arial" w:cs="Arial" w:eastAsia="Arial" w:hAnsi="Arial"/>
          <w:sz w:val="18"/>
          <w:szCs w:val="18"/>
          <w:color w:val="auto"/>
        </w:rPr>
      </w:pPr>
    </w:p>
    <w:p>
      <w:pPr>
        <w:ind w:left="900" w:right="40" w:hanging="244"/>
        <w:spacing w:after="0" w:line="250" w:lineRule="auto"/>
        <w:tabs>
          <w:tab w:leader="none" w:pos="8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customer demand and the willingness of physicians and customers to adopt our products over products with which they may have more loyalty or familiarity and overcoming any biases toward competitors’ products or against our products;</w:t>
      </w: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our products compared to alternative products and the pricing and commercialization strategies of our competitors;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success of our launch and marketing efforts;</w:t>
      </w:r>
    </w:p>
    <w:p>
      <w:pPr>
        <w:spacing w:after="0" w:line="9" w:lineRule="exact"/>
        <w:rPr>
          <w:rFonts w:ascii="Arial" w:cs="Arial" w:eastAsia="Arial" w:hAnsi="Arial"/>
          <w:sz w:val="18"/>
          <w:szCs w:val="18"/>
          <w:color w:val="auto"/>
        </w:rPr>
      </w:pPr>
    </w:p>
    <w:p>
      <w:pPr>
        <w:ind w:left="900" w:right="60" w:hanging="244"/>
        <w:spacing w:after="0" w:line="250" w:lineRule="auto"/>
        <w:tabs>
          <w:tab w:leader="none" w:pos="8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publicity about us, our products, our competitors and their products or the industry as a whole or favorable publicity about competitors or their products;</w:t>
      </w: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advent of new and innovative alternative products;</w:t>
      </w:r>
    </w:p>
    <w:p>
      <w:pPr>
        <w:spacing w:after="0" w:line="9" w:lineRule="exact"/>
        <w:rPr>
          <w:rFonts w:ascii="Arial" w:cs="Arial" w:eastAsia="Arial" w:hAnsi="Arial"/>
          <w:sz w:val="18"/>
          <w:szCs w:val="18"/>
          <w:color w:val="auto"/>
        </w:rPr>
      </w:pPr>
    </w:p>
    <w:p>
      <w:pPr>
        <w:ind w:left="900" w:right="80" w:hanging="244"/>
        <w:spacing w:after="0" w:line="250" w:lineRule="auto"/>
        <w:tabs>
          <w:tab w:leader="none" w:pos="8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unforeseen issues or adverse developments in connection with our products and any resulting litigation, regulatory scrutiny and/or harm to our reputation; and</w:t>
      </w:r>
    </w:p>
    <w:p>
      <w:pPr>
        <w:ind w:left="900" w:hanging="244"/>
        <w:spacing w:after="0" w:line="255" w:lineRule="auto"/>
        <w:tabs>
          <w:tab w:leader="none" w:pos="8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risks that may be out of our control, including the decision by a collaboration partner to make substantial changes to a product’s formulation or design, or a collaboration partner refusing to perform its obligations under our collaboration agreement, which may cause delays and additional costs in developing and marketing a product.</w:t>
      </w:r>
    </w:p>
    <w:p>
      <w:pPr>
        <w:spacing w:after="0" w:line="77" w:lineRule="exact"/>
        <w:rPr>
          <w:sz w:val="20"/>
          <w:szCs w:val="20"/>
          <w:color w:val="auto"/>
        </w:rPr>
      </w:pPr>
    </w:p>
    <w:p>
      <w:pPr>
        <w:ind w:right="160" w:firstLine="486"/>
        <w:spacing w:after="0" w:line="216" w:lineRule="auto"/>
        <w:rPr>
          <w:sz w:val="20"/>
          <w:szCs w:val="20"/>
          <w:color w:val="auto"/>
        </w:rPr>
      </w:pPr>
      <w:r>
        <w:rPr>
          <w:rFonts w:ascii="Arial" w:cs="Arial" w:eastAsia="Arial" w:hAnsi="Arial"/>
          <w:sz w:val="18"/>
          <w:szCs w:val="18"/>
          <w:color w:val="auto"/>
        </w:rPr>
        <w:t>In particular, the commercial success of QWO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depends upon several factors, including our success in educating aesthetic specialty physicians and clinicians, as well as consumers, about the benefits, administration and safety of QWO</w:t>
      </w:r>
      <w:r>
        <w:rPr>
          <w:rFonts w:ascii="Arial" w:cs="Arial" w:eastAsia="Arial" w:hAnsi="Arial"/>
          <w:sz w:val="23"/>
          <w:szCs w:val="23"/>
          <w:color w:val="auto"/>
          <w:vertAlign w:val="superscript"/>
        </w:rPr>
        <w:t>®</w:t>
      </w:r>
      <w:r>
        <w:rPr>
          <w:rFonts w:ascii="Arial" w:cs="Arial" w:eastAsia="Arial" w:hAnsi="Arial"/>
          <w:sz w:val="18"/>
          <w:szCs w:val="18"/>
          <w:color w:val="auto"/>
        </w:rPr>
        <w:t>; the willingness of consumers to pay for QWO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relative to other discretionary items; the results of QWO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development programs for potential additional medical aesthetics indications; and our ability to maintain compliance with regulatory requirements applicable to QWO</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2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The success of our acquisition and licensing strategy is subject to uncertainty and acquisitions or licenses may reduce our earnings, be difficult to integrate, not perform as expected or require us to obtain additional financing.</w:t>
      </w:r>
    </w:p>
    <w:p>
      <w:pPr>
        <w:spacing w:after="0" w:line="58"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regularly evaluate selective acquisitions and look to continue to enhance our product line by acquiring rights to additional products and compounds. Such acquisitions may be carried out through corporate acquisitions, asset acquisitions, licensing or joint venture arrangements. However, we may not be able to complete acquisitions, obtain licenses or enter into arrangements that meet our target criteria on satisfactory terms, if at all. For example, we may not be able to identify suitable acquisition candidates. In addition, any acquisition of assets and rights to products and compounds may fail to accomplish our strategic objective and may not perform as expected. Further, if we are unable to maintain, on commercially reasonable terms, product, compound or other licenses that we have acquired, our ability to develop or commercialize our products may be inhibited. In order to continue to develop and broaden our product range, we must compete to acquire assets. Our competitors may have greater resources than us and therefore be better able to complete acquisitions or licenses, which could cause us to be unable to consummate acquisitions, licensing agreements or cause the ultimate price we pay to increase. If we fail to achieve our acquisition or licensing goals, our growth may be limited.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00" w:firstLine="486"/>
        <w:spacing w:after="0" w:line="253" w:lineRule="auto"/>
        <w:rPr>
          <w:sz w:val="20"/>
          <w:szCs w:val="20"/>
          <w:color w:val="auto"/>
        </w:rPr>
      </w:pPr>
      <w:r>
        <w:rPr>
          <w:rFonts w:ascii="Arial" w:cs="Arial" w:eastAsia="Arial" w:hAnsi="Arial"/>
          <w:sz w:val="18"/>
          <w:szCs w:val="18"/>
          <w:color w:val="auto"/>
        </w:rPr>
        <w:t>Acquisitions of companies may expose us to additional risks, which may be beyond our control and may have a material adverse effect on our business, financial condition, results of operations and cash flows. The combination of two independent businesses is a complex, costly and time-consuming process. As a result, we may be required to devote significant management attention and resources to the integration of an acquired business into our practices and operations. Any integration process may be disruptive and may not achieve realization of expected benefits. The difficulties of combining operations of companies include, among others:</w:t>
      </w:r>
    </w:p>
    <w:p>
      <w:pPr>
        <w:spacing w:after="0" w:line="3" w:lineRule="exact"/>
        <w:rPr>
          <w:sz w:val="20"/>
          <w:szCs w:val="20"/>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management’s attention to integration matters;</w:t>
      </w:r>
    </w:p>
    <w:p>
      <w:pPr>
        <w:spacing w:after="0" w:line="9" w:lineRule="exact"/>
        <w:rPr>
          <w:rFonts w:ascii="Arial" w:cs="Arial" w:eastAsia="Arial" w:hAnsi="Arial"/>
          <w:sz w:val="18"/>
          <w:szCs w:val="18"/>
          <w:color w:val="auto"/>
        </w:rPr>
      </w:pPr>
    </w:p>
    <w:p>
      <w:pPr>
        <w:ind w:left="900" w:right="320" w:hanging="244"/>
        <w:spacing w:after="0" w:line="250" w:lineRule="auto"/>
        <w:tabs>
          <w:tab w:leader="none" w:pos="8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achieving anticipated cost or tax savings, synergies, business opportunities and growth prospects from the combination of the businesses;</w:t>
      </w: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the integration of operations and systems;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pre-existing legal and/or regulatory issues;</w:t>
      </w:r>
    </w:p>
    <w:p>
      <w:pPr>
        <w:spacing w:after="0" w:line="9" w:lineRule="exact"/>
        <w:rPr>
          <w:rFonts w:ascii="Arial" w:cs="Arial" w:eastAsia="Arial" w:hAnsi="Arial"/>
          <w:sz w:val="18"/>
          <w:szCs w:val="18"/>
          <w:color w:val="auto"/>
        </w:rPr>
      </w:pPr>
    </w:p>
    <w:p>
      <w:pPr>
        <w:ind w:left="900" w:right="360" w:hanging="244"/>
        <w:spacing w:after="0" w:line="250" w:lineRule="auto"/>
        <w:tabs>
          <w:tab w:leader="none" w:pos="8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conforming standards, controls, procedures and accounting and other policies, business cultures and compensation structures between the companies;</w:t>
      </w: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the assimilation of employees and retention of key personnel;</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managing the expanded operations of a larger and more complex company;</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in retaining existing customers and obtaining new customers;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unknown liabilities or larger liabilities than projected;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increases to expenses or other adverse consequences associated with the transaction;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coordinating a geographically dispersed organization.</w:t>
      </w:r>
    </w:p>
    <w:p>
      <w:pPr>
        <w:spacing w:after="0" w:line="103"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In addition, any acquisitions may result in material unanticipated problems, expenses, liabilities, competitive responses and loss or disruption of relationships with customers, suppliers, partners, regulators and others with whom we have business or other dealings.</w:t>
      </w:r>
    </w:p>
    <w:p>
      <w:pPr>
        <w:spacing w:after="0" w:line="62"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The benefits of mergers and acquisitions are also subject to a variety of other factors, many of which are beyond our ability to control, such as changes in the rate of economic growth in jurisdictions in which the combined company will do business, the financial performance of the combined business in various jurisdictions, currency exchange rate fluctuations and significant changes in trade, monetary or fiscal policies, including changes in interest rates and tax law of the jurisdictions in which the combined company will do business. The impact of these factors, individually and in the aggregate, is difficult to predict, in part because the occurrence of the events or circumstances relating to such factors may be interrelated, and the impact to the combined company of the occurrence of any one of these events or circumstances could be compounded or, alternatively, reduced, offset or more than offset by the occurrence of one or more of the other events or circumstances relating to such factors.</w:t>
      </w:r>
    </w:p>
    <w:p>
      <w:pPr>
        <w:spacing w:after="0" w:line="6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addition, based on current acquisition prices in the pharmaceutical industry, acquisitions could decrease our net income per share and add significant intangible assets and related amortization or impairment charges. Our acquisition strategy may require us to obtain additional debt or equity financing, resulting in additional debt obligations, increased interest expense or dilution of equity ownership. We may not be able to finance acquisitions on terms satisfactory to us, or at all.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decide to sell assets, which could adversely affect our prospects and opportunities for growth.</w:t>
      </w:r>
    </w:p>
    <w:p>
      <w:pPr>
        <w:spacing w:after="0" w:line="121"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may from time to time consider selling certain assets if we determine that such assets are not critical to our strategy or we believe the opportunity to monetize the asset is attractive or for various other reasons, including for the reduction of indebtedness. For example, in 2017, we divested of both Litha Healthcare Group Limited and certain assets acquired from Aspen Holdings in October 2015 (Litha) and Grupo Farmacéutico Somar, S.A.P.I. de C.V.</w:t>
      </w:r>
    </w:p>
    <w:p>
      <w:pPr>
        <w:spacing w:after="0" w:line="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(Somar). We have also divested of certain intellectual property rights throughout 2018, 2019 and 2020. We will continue to explore the sale of certain non-core assets. Although our expectation is to engage in asset sales only if they advance or otherwise support our overall strategy, we may be forced to sell assets in response to liquidation or other claims described herein, and any such sale could reduce the size or scope of our business, our market share in particular markets or our opportunities with respect to certain markets, products or therapeutic categories. As a result, any such sale could have a material adverse effect on our business, financial condition, results of operations and cash flows.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availability of third party reimbursement for our products is uncertain, and we may find it difficult to maintain current price levels.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Additionally, the market may not accept those products for which third party reimbursement is not adequately provided.</w:t>
      </w:r>
    </w:p>
    <w:p>
      <w:pPr>
        <w:spacing w:after="0" w:line="103"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ability to commercialize our products depends, in part, on the extent to which reimbursement for the costs of these products is available from government healthcare programs, such as Medicaid and Medicare, private health insurers and others. We cannot be certain that, over time, third party reimbursements for our products will be adequate for us to maintain price levels sufficient for realization of an appropriate return on our investment. Government payers, private insurers and other third party payers are increasingly attempting to contain healthcare costs by: (i) limiting both coverage and the level of reimbursement (including adjusting co-pays) for products, (ii) refusing, in some cases, to provide any coverage for off-label uses for products and (iii) requiring or encouraging, through more favorable reimbursement levels or otherwise, the substitution of generic alternatives to branded products. For instance, government agencies or third-party payers could attempt to reduce reimbursement for physician administered products through their interpretation of complex government price reporting obligations and payment and reimbursement coding rules, and could attempt to reduce reimbursement for separate physician administered products that share an active ingredient by requiring the blending of sales and pricing information in the same payment and reimbursement code.</w:t>
      </w:r>
    </w:p>
    <w:p>
      <w:pPr>
        <w:spacing w:after="0" w:line="77" w:lineRule="exact"/>
        <w:rPr>
          <w:sz w:val="20"/>
          <w:szCs w:val="20"/>
          <w:color w:val="auto"/>
        </w:rPr>
      </w:pPr>
    </w:p>
    <w:p>
      <w:pPr>
        <w:ind w:right="40" w:firstLine="486"/>
        <w:spacing w:after="0" w:line="267" w:lineRule="auto"/>
        <w:rPr>
          <w:sz w:val="20"/>
          <w:szCs w:val="20"/>
          <w:color w:val="auto"/>
        </w:rPr>
      </w:pPr>
      <w:r>
        <w:rPr>
          <w:rFonts w:ascii="Arial" w:cs="Arial" w:eastAsia="Arial" w:hAnsi="Arial"/>
          <w:sz w:val="17"/>
          <w:szCs w:val="17"/>
          <w:color w:val="auto"/>
        </w:rPr>
        <w:t>There have been several recent U.S. Congressional inquiries, hearings and proposed and enacted federal and state legislation and rules, as well as executive orders, designed to, among other things: (i) reduce or limit the prices of drugs and make them more affordable for patients, such as by tying the prices that Medicare reimburses for physician administered drugs to the prices of drugs in other countries; (ii) reform the structure and financing of Medicare Part D pharmaceutical benefits, including through increasing manufacturer contributions to offset Medicare beneficiary costs; (iii) bring more transparency to how manufacturers price their medicines; (iv) enable the government to directly negotiate prices for drugs covered under Medicare; (v) revise rules associated with the calculation of Medicaid Average Manufacturer Price and Best Price, including with regard to the manner in which pharmaceutical manufacturers may provide copayment assistance to patients and the identification of “line extension” drugs, which affect the amount of rebates that manufacturers must pay on prescription drugs under Medicaid; (vi) eliminate anti-kickback statute discount safe harbor protection for manufacturer rebate arrangements with Medicare Part D Plan Sponsors and pharmacy benefit managers on behalf of Part D Plan Sponsors; (vii) create new anti-kickback statute safe harbors applicable to certain point-of-sale discounts to patients and fixed-fee administrative fee payment arrangements with pharmacy benefit managers; and (viii) and facilitate the importation of certain lower-cost drugs from other countries. In addition, state legislatures have enacted legislation and regulations designed to control pharmaceutical and biological product pricing, including restrictions on pricing or reimbursement at the state government level, marketing cost disclosure and transparency measures, and, in some cases, policies to encourage importation of drugs from other countries (subject to federal approval) and bulk purchasing, including the National Medicaid Pooling Initiative. While we cannot predict the final form of pending legislative, regulatory and/or administrative measures, some of the pending and enacted legislative proposals or executive rulemaking, such as those incorporating International Pricing Index or Most-Favored-Nation models, could significantly reduce the coverage and levels of reimbursement for products.</w:t>
      </w:r>
    </w:p>
    <w:p>
      <w:pPr>
        <w:spacing w:after="0" w:line="83"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unavailability of or a reduction in the reimbursement of our products could have a material adverse effect on our business, financial condition, results of operations and cash flows.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pricing pressure on our products due to social or political pressures, which would reduce our revenue and future profitability.</w:t>
      </w:r>
    </w:p>
    <w:p>
      <w:pPr>
        <w:spacing w:after="0" w:line="144"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We may experience downward pricing pressure on our products due to social or political pressures, which would reduce our revenue and future profitability. Price increases have resulted in increased public and governmental scrutiny of the cost of pharmaceutical products. For example, U.S. federal prosecutors have issued subpoenas to pharmaceutical companies in connection with an investigation into pricing practices conducted by the DOJ. Several state attorneys general also have commenced drug pricing investigations and filed lawsuits against pharmaceutical companies, including PPI, and the U.S. Senate has investigated a number of pharmaceutical companies relating to price increases and pricing practices. Our revenue and future profitability could be negatively affected if these or other inquiries were to result in legislative or regulatory proposals limiting our ability to increase or maintain the prices of our products.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In addition, the federal government and a number of federal legislators have continued to scrutinize pharmaceutical prices and are seeking ways to lower prices. For example, the former Trump Administration’s “Blueprint” on pharmaceutical prices describes a number of mechanisms for lowering manufacturer list prices and reducing patient out-of-pocket costs. Although the Blueprint contains a number of policy objectives, we cannot know whether the Biden Administration will issue any new requirements, the form that any new requirements will take or the effect that they may have on our business. In September 2020, the former Trump Administration, through the FDA, released a final rule and final guidance that set forth procedures for the legal importation of certain pharmaceutical products in an effort to control costs. It is unclear what effect these procedures may have on our business, financial condition, results of operations and cash flows. In addition, the U.S. Congress has held a number of hearings related to pharmaceutical prices and a bipartisan group of U.S. Senators introduced legislation that would require pharmaceutical manufacturers to justify certain price increases. A large number of individual states also have introduced legislation aimed at pharmaceutical pricing regulation, transparency or both. For example, California, Oregon, Vermont and Nevada have enacted such laws. Our revenue and future profitability could be negatively affected by the passage of these laws or similar federal or state legislation. Pressure from social activist groups and future government regulations may also put downward pressure on the prices of pharmaceutical products in the future.</w:t>
      </w:r>
    </w:p>
    <w:p>
      <w:pPr>
        <w:spacing w:after="0" w:line="6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Our business is highly dependent upon market perceptions of us, our brands and the safety and quality of our products and similar products, and may be adversely impacted by negative publicity or findings.</w:t>
      </w:r>
    </w:p>
    <w:p>
      <w:pPr>
        <w:spacing w:after="0" w:line="58"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color w:val="auto"/>
        </w:rPr>
        <w:t>We are dependent on market perceptions, and negative publicity or findings associated with product quality, patient illness or other adverse effects resulting from, or perceived to be resulting from, our products, or similar products, or our partners’ and suppliers’ manufacturing facilities, could have a material adverse effect on our business, financial condition, results of operations and cash flows.</w:t>
      </w:r>
    </w:p>
    <w:p>
      <w:pPr>
        <w:spacing w:after="0" w:line="76"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Market perceptions are very important to our business, especially market perceptions of our company and brands and the safety and quality of our products. If we, our partners and suppliers or our brands suffer negative publicity, or if any of our products or similar products are subject to market withdrawal or recall or are proven to be, or are claimed to be, ineffective or harmful to consumers, it could have a material adverse effect on our business, financial condition, results of operations and cash flows.</w:t>
      </w:r>
    </w:p>
    <w:p>
      <w:pPr>
        <w:spacing w:after="0" w:line="79"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For example, the pharmaceutical supply chain has been increasingly challenged by the vulnerability of distribution channels to illegal counterfeiting and the presence of counterfeit products in a growing number of markets and over the internet. Third parties may illegally distribute and sell counterfeit versions of our products that do not meet the rigorous manufacturing and testing standards that our products undergo. Counterfeit products are frequently unsafe or ineffective and can be potentially life-threatening. Counterfeit medicines may contain harmful substances, the wrong dose of API or no API at all. However, to distributors and users, counterfeit products may be visually indistinguishable from the authentic version.</w:t>
      </w:r>
    </w:p>
    <w:p>
      <w:pPr>
        <w:spacing w:after="0" w:line="53"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In addition, negative posts or comments about us on any social networking website could seriously damage our reputation. The inappropriate use of certain social media vehicles could cause brand damage or information leakage or could lead to legal implications from the improper collection and/or dissemination of personally identifiable information or the improper dissemination of material non-public information.</w:t>
      </w:r>
    </w:p>
    <w:p>
      <w:pPr>
        <w:spacing w:after="0" w:line="57"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Furthermore, unfavorable media coverage about opioid abuse could negatively affect our business, financial condition and results of operations. In recent years, opioid abuse has received a high degree of media coverage. Unfavorable publicity regarding, for example, the use or misuse of oxycodone or other prescription opioid medications, the limitations of abuse-deterrent forms, public inquiries and investigations into drug abuse, including the abuse of prescription products, litigation or regulatory activity could adversely affect our reputation. Additionally, increased scrutiny of opioids generally, whether focused on our products or otherwise, could negatively impact our relationship with healthcare providers and other members of the healthcare community. Such negative publicity could have an adverse effect on the potential size of the market for new or existing products and could decrease revenues and royalties, any of which could have a material adverse effect on our business, financial condition, results of operations and cash flows.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and financial condition may be adversely affected by legislation.</w:t>
      </w:r>
    </w:p>
    <w:p>
      <w:pPr>
        <w:spacing w:after="0" w:line="121" w:lineRule="exact"/>
        <w:rPr>
          <w:sz w:val="20"/>
          <w:szCs w:val="20"/>
          <w:color w:val="auto"/>
        </w:rPr>
      </w:pPr>
    </w:p>
    <w:p>
      <w:pPr>
        <w:jc w:val="both"/>
        <w:ind w:right="200" w:firstLine="486"/>
        <w:spacing w:after="0" w:line="311" w:lineRule="auto"/>
        <w:rPr>
          <w:sz w:val="20"/>
          <w:szCs w:val="20"/>
          <w:color w:val="auto"/>
        </w:rPr>
      </w:pPr>
      <w:r>
        <w:rPr>
          <w:rFonts w:ascii="Arial" w:cs="Arial" w:eastAsia="Arial" w:hAnsi="Arial"/>
          <w:sz w:val="16"/>
          <w:szCs w:val="16"/>
          <w:color w:val="auto"/>
        </w:rPr>
        <w:t>We cannot predict with any certainty how existing laws may be applied or how laws or legal standards may change in the future. Current or future legislation, whether state or federal, or in any of the non-U.S. jurisdictions with authority over our operations, may have a material adverse effect on our business, financial condition, results of operations and cash flows. For example, the effect of H.R. 6, enacted in October 2018, is still uncertain.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In addition, in April 2018, New York enacted a statute called the Opioid Stewardship Act (the Stewardship Act), which, among other things, provided for certain manufacturers and distributors of certain opioids in the state of New York (the Contributing Parties) to make payments to a newly created Opioid Stewardship Fund (the Fund). By its terms, the Stewardship Act required Contributing Parties to pay a combined total of up to $100 million annually into the Fund, with each Contributing Party’s share based on the total amount of morphine milligram equivalents (MME) of certain opioids sold or distributed by the Contributing Party in the state of New York during the preceding calendar year, subject to potential adjustments by the New York State Department of Health. Failure of a Contributing Party to make required reports or pay its ratable share, or a Contributing Party passing on the cost of its ratable share to a purchaser, could subject the Contributing Party to penalties. In December 2018, the U.S. District Court for the Southern District of New York held the Stewardship Act unconstitutional and the ruling is currently on appeal. If the decision is reversed, we may be deemed to be a Contributing Party under the Stewardship Act and even if we are not considered to be a Contributing Party, or such a determination is never made, other entities may attempt to seek reimbursement from Endo for payments made related to products manufactured by Endo and distributed in New York. Furthermore, the application of the Stewardship Act may require additional regulatory guidance, which could be substantially delayed, increasing the uncertainty as to the ultimate effect of the Stewardship Act on us. If we are ultimately deemed to be a Contributing Party under the Stewardship Act, or similar legislation that could be enacted by New York or other jurisdictions, compliance with those laws could have a material adverse effect on our business, financial condition, results of operations and cash flows.</w:t>
      </w:r>
    </w:p>
    <w:p>
      <w:pPr>
        <w:spacing w:after="0" w:line="76"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In the meantime, in April 2019, New York enacted an excise tax on the first sale of every opioid unit in New York at the rate of one quarter of a cent per MME where wholesale acquisition cost (WAC) is less than $0.50 and one and one half cents per MME where WAC is equal to or greater than $0.50. For purposes of this statute, “opioid” does not include buprenorphine, methadone or morphine and “sale” does not include transfers of title from a manufacturer in New York to a purchaser outside New York when the opioid unit will be used or consumed outside New York.</w:t>
      </w:r>
    </w:p>
    <w:p>
      <w:pPr>
        <w:spacing w:after="0" w:line="63"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In October 2018, the Canadian province of British Columbia enacted a statute called the Opioid Damages and Health Care Costs Recovery Act, which allows the British Columbia government to file a direct action against opioid manufacturers and wholesalers to recover the health care costs it has incurred, and will incur, resulting from an “opioid-related wrong.” The statute defines “opioid-related wrong” to include any breach of a common law, equitable or statutory duty or obligation owed to persons in British Columbia who have been or might be exposed to an opioid product. The statute, among other effects, erases limitation periods for certain claims, reverses certain burdens of proof as to causation, allows the use of population-based evidence and restricts discovery of certain documents. Similar legislation has been enacted in other Canadian provinces including Alberta, Manitoba, Newfoundland and Labrador, Nova Scotia, Ontario and Saskatchewan. It is possible that these statutes, or similar statutes enacted by other jurisdictions, and resultant litigation, could have a material adverse effect on our business, financial condition, results of operations and cash flows.</w:t>
      </w:r>
    </w:p>
    <w:p>
      <w:pPr>
        <w:spacing w:after="0" w:line="57"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In Canada, the prices of patented pharmaceutical products are subject to regulation by the PMPRB. Under the Canadian Patent Act and Patented Medicines Regulations, patentees of inventions that pertain to pharmaceutical products sold in Canada are required to file price and sales information about their patented pharmaceutical products with the PMPRB. The PMPRB reviews this information on an ongoing basis to ensure that the prices of patented pharmaceuticals sold in Canada are not excessive, based upon price tests established by the PMPRB. There is a risk that the price of our pharmaceutical products could be found to be excessive because the price as set at launch is non-compliant with the PMPRB’s guidelines, or because our average sale prices over time are not compliant with the guidelines. Furthermore, amendments expected to come into force on July 1, 2021 will introduce a number of changes to the regulation of Canadian drug prices by the PMPRB. The PMPRB guidelines will be updated to introduce new price tests to account for changes introduced by the amendments. The application of the new price tests under the guidelines could result in the current prices of our pharmaceutical products being deemed to be excessive. Failure by us to comply with the current or future guidelines could ultimately result in us reducing the prices of the pharmaceutical products we sell in Canada and/or making a payment to the Canadian government to offset revenues deemed by the PMPRB to be excessive, which could ultimately reduce the revenues and cash flows of our International Pharmaceuticals segment and could have a material adverse effect on our business, financial condition, results of operations and cash flows.</w:t>
      </w:r>
    </w:p>
    <w:p>
      <w:pPr>
        <w:spacing w:after="0" w:line="60"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It is possible that these or other changes in law could have a material adverse effect on our business, financial condition, results of operations and cash flows. See “Governmental Regulation” in Part I, Item 1.</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 concentration may adversely affect our financial condition and results of operations.</w:t>
      </w:r>
    </w:p>
    <w:p>
      <w:pPr>
        <w:spacing w:after="0" w:line="121"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We primarily sell our branded and generic products to wholesalers, retail drug store chains, supermarket chains, mass merchandisers, distributors, mail order accounts, hospitals and government agencies. Our wholesalers and distributors purchase products from us and, in turn, supply products to retail drug store chains, independent pharmacies and MCOs. Our current customer group reflects significant consolidation in recent years, marked by mergers and acquisitions and other alliances. For example, we understand that McKesson Corporation and Wal-Mart Stores, Inc. are parties to an agreement to jointly source generic pharmaceuticals, and Express Scripts, through a wholly-owned subsidiary, Innovative Product Alignment, LLC, participates in the Walgreens Boots Alliance Development GmbH GPO. Consolidations and joint purchasing arrangements such as these have resulted in increased pricing and other competitive pressures on pharmaceutical companies, including us. Additionally, the emergence of large buying groups representing independent retail pharmacies and other distributors and the prevalence and influence of MCOs and similar institutions have increased the negotiating power of these groups, enabling them to attempt to extract various demands, including without limitation price discounts, rebates and other restrictive pricing terms. These competitive trends could continue in the future and could have a material adverse effect on our business, financial condition, results of operations and cash flows.</w:t>
      </w:r>
    </w:p>
    <w:p>
      <w:pPr>
        <w:spacing w:after="0" w:line="74"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Net revenues from direct customers that accounted for 10% or more of our total consolidated revenues during the years ended December 31, 2020, 2019 and 2018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15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229"/>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AmerisourceBergen Corporation</w:t>
            </w:r>
          </w:p>
        </w:tc>
        <w:tc>
          <w:tcPr>
            <w:tcW w:w="9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29"/>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McKesson Corporation</w:t>
            </w:r>
          </w:p>
        </w:tc>
        <w:tc>
          <w:tcPr>
            <w:tcW w:w="480" w:type="dxa"/>
            <w:vAlign w:val="bottom"/>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Cardinal Health, Inc.</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bl>
    <w:p>
      <w:pPr>
        <w:spacing w:after="0" w:line="94"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Revenues from these customers are included within each of our segments. Accordingly, our revenues, financial condition or results of operations may also be unduly affected by fluctuations in the buying or distribution patterns of these customers. These fluctuations may result from seasonality, pricing, wholesaler inventory objectives or other factors. In addition, if we were to lose the business of any of these customers, or if any were to fail to pay us on a timely basis, it could have a material adverse effect on our business, financial condition, results of operations and cash flows.</w:t>
      </w:r>
    </w:p>
    <w:p>
      <w:pPr>
        <w:spacing w:after="0" w:line="4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We are currently dependent on outside manufacturers for the manufacture of a significant amount of our products; therefore, we have and will continue to have limited control of the manufacturing process and related costs. Certain of our manufacturers currently constitute the sole source of one or more of our products.</w:t>
      </w:r>
    </w:p>
    <w:p>
      <w:pPr>
        <w:spacing w:after="0" w:line="72" w:lineRule="exact"/>
        <w:rPr>
          <w:sz w:val="20"/>
          <w:szCs w:val="20"/>
          <w:color w:val="auto"/>
        </w:rPr>
      </w:pPr>
    </w:p>
    <w:p>
      <w:pPr>
        <w:ind w:firstLine="486"/>
        <w:spacing w:after="0" w:line="282" w:lineRule="auto"/>
        <w:rPr>
          <w:sz w:val="20"/>
          <w:szCs w:val="20"/>
          <w:color w:val="auto"/>
        </w:rPr>
      </w:pPr>
      <w:r>
        <w:rPr>
          <w:rFonts w:ascii="Arial" w:cs="Arial" w:eastAsia="Arial" w:hAnsi="Arial"/>
          <w:sz w:val="16"/>
          <w:szCs w:val="16"/>
          <w:color w:val="auto"/>
        </w:rPr>
        <w:t>Third party manufacturers currently manufacture a significant amount of our products pursuant to contractual arrangements. Certain of our manufacturers currently constitute the sole source of our products. For example, Teikoku Seiyaku Co., Ltd. is our sole source of LIDODERM</w:t>
      </w:r>
      <w:r>
        <w:rPr>
          <w:rFonts w:ascii="Arial" w:cs="Arial" w:eastAsia="Arial" w:hAnsi="Arial"/>
          <w:sz w:val="19"/>
          <w:szCs w:val="19"/>
          <w:color w:val="auto"/>
          <w:vertAlign w:val="superscript"/>
        </w:rPr>
        <w:t>®</w:t>
      </w:r>
      <w:r>
        <w:rPr>
          <w:rFonts w:ascii="Arial" w:cs="Arial" w:eastAsia="Arial" w:hAnsi="Arial"/>
          <w:sz w:val="16"/>
          <w:szCs w:val="16"/>
          <w:color w:val="auto"/>
        </w:rPr>
        <w:t>. Because of contractual restraints and the lead-time necessary to obtain FDA approval and/or DEA registration of a new manufacturer, there are no readily accessible alternatives to these manufacturers and replacement of any of these manufacturers may be expensive and time consuming and may cause interruptions in our supply of products to customers. Our business and financial viability are dependent on these third party manufacturers for continued manufacture of our products, the continued regulatory compliance of these manufacturers and the strength, validity and terms of our various contracts with these manufacturers. Any interruption or failure by these manufacturers to meet their obligations pursuant to various agreements with us on schedule or in accordance with our expectations, or any termination by these manufacturers of our supply arrangements, which, in each case, could be the result of one or many factors outside of our control, could delay or prevent our ability to achieve sales expectations, cause interruptions in our supply of products to customers, cause us to incur failure-to-supply penalties, disrupt our operations or cause reputational harm to our company, any or all of which could have a material adverse effect on our business, financial condition, results of operations and cash flows.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ind w:right="220"/>
        <w:spacing w:after="0" w:line="314" w:lineRule="auto"/>
        <w:rPr>
          <w:sz w:val="20"/>
          <w:szCs w:val="20"/>
          <w:color w:val="auto"/>
        </w:rPr>
      </w:pPr>
      <w:r>
        <w:rPr>
          <w:rFonts w:ascii="Arial" w:cs="Arial" w:eastAsia="Arial" w:hAnsi="Arial"/>
          <w:sz w:val="16"/>
          <w:szCs w:val="16"/>
          <w:b w:val="1"/>
          <w:bCs w:val="1"/>
          <w:color w:val="auto"/>
        </w:rPr>
        <w:t>We are dependent on third parties to supply raw materials used in our products and to provide services for certain core aspects of our business. Any interruption or failure by these suppliers, distributors and collaboration partners to meet their obligations pursuant to various agreements with us could have a material adverse effect on our business, financial condition, results of operations and cash flows.</w:t>
      </w:r>
    </w:p>
    <w:p>
      <w:pPr>
        <w:spacing w:after="0" w:line="38"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We rely on third parties to supply raw materials used in our products. In addition, we rely on third party suppliers, distributors and collaboration partners to provide services for certain core aspects of our business, including manufacturing, warehousing, distribution, customer service support, medical affairs services, clinical studies, sales and other technical and financial services. All third party suppliers and contractors are subject to FDA and very often DEA requirements. Our business and financial viability are dependent on the continued supply of goods and services by these third parties, the regulatory compliance of these third parties and on the strength, validity and terms of our various contracts with these third parties. Any interruption or failure by our suppliers, distributors and collaboration partners to meet their obligations pursuant to various agreements with us on schedule or in accordance with our expectations, or any termination by these third parties of their arrangements with us, which, in each case, could be the result of one or many factors outside of our control, could delay or prevent the development, approval, manufacture or commercialization of our products, result in non-compliance with applicable laws and regulations, cause us to incur failure-to-supply penalties, disrupt our operations or cause reputational harm to our company, any or all of which could have a material adverse effect on our business, financial condition, results of operations and cash flows. We may also be unsuccessful in resolving any underlying issues with such suppliers, distributors and partners or replacing them within a reasonable time and on commercially reasonable terms.</w:t>
      </w:r>
    </w:p>
    <w:p>
      <w:pPr>
        <w:spacing w:after="0" w:line="7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APIs imported into the European Union (EU) must be certified as complying with the good manufacturing practice standards established by the EU, as stipulated by the International Conference for Harmonization. These regulations place the certification requirement on the regulatory bodies of the exporting countries. Accordingly, the national regulatory authorities of each exporting country must: (i) ensure that all manufacturing plants within their borders that export API into the EU comply with EU manufacturing standards and (ii) for each API exported, present a written document confirming that the exporting plant conforms to EU manufacturing standards. The imposition of this responsibility on the governments of the nations exporting API may cause a shortage of API necessary to manufacture our products, as certain governments may not be willing or able to comply with the regulation in a timely fashion, or at all. A shortage in API may cause us to cease manufacturing of certain products or to incur costs and delays to qualify other suppliers to substitute for those API manufacturers unable to export. This could have a material adverse effect on our business, financial condition, results of operations and cash flows.</w:t>
      </w:r>
    </w:p>
    <w:p>
      <w:pPr>
        <w:spacing w:after="0" w:line="88"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are dependent on third parties to provide us with various estimates as a basis for our financial reporting. While we undertake certain procedures to review the reasonableness of this information, we cannot obtain absolute assurance over the accounting methods and controls over the information provided to us by third parties. As a result, we are at risk of them providing us with erroneous data which could impact our reporting. Refer to “CRITICAL ACCOUNTING ESTIMATES” in Part II, Item 7 of this report “Management’s Discussion and Analysis of Financial Condition and Results of Operations” for information about our most significant accounting estimates.</w:t>
      </w:r>
    </w:p>
    <w:p>
      <w:pPr>
        <w:spacing w:after="0" w:line="76"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We have limited experience in manufacturing biologic products and may encounter difficulties in our manufacturing processes, which could materially adversely affect our results of operations or delay or disrupt the manufacture and supply of those products which are reliant upon our manufacturing operations.</w:t>
      </w:r>
    </w:p>
    <w:p>
      <w:pPr>
        <w:spacing w:after="0" w:line="72" w:lineRule="exact"/>
        <w:rPr>
          <w:sz w:val="20"/>
          <w:szCs w:val="20"/>
          <w:color w:val="auto"/>
        </w:rPr>
      </w:pPr>
    </w:p>
    <w:p>
      <w:pPr>
        <w:ind w:right="40" w:firstLine="486"/>
        <w:spacing w:after="0"/>
        <w:rPr>
          <w:sz w:val="20"/>
          <w:szCs w:val="20"/>
          <w:color w:val="auto"/>
        </w:rPr>
      </w:pPr>
      <w:r>
        <w:rPr>
          <w:rFonts w:ascii="Arial" w:cs="Arial" w:eastAsia="Arial" w:hAnsi="Arial"/>
          <w:sz w:val="17"/>
          <w:szCs w:val="17"/>
          <w:color w:val="auto"/>
        </w:rPr>
        <w:t>The manufacture of biologic products requires significant expertise and capital investment. Although we manufacture CCH, which is included in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QWO</w:t>
      </w:r>
      <w:r>
        <w:rPr>
          <w:rFonts w:ascii="Arial" w:cs="Arial" w:eastAsia="Arial" w:hAnsi="Arial"/>
          <w:sz w:val="22"/>
          <w:szCs w:val="22"/>
          <w:color w:val="auto"/>
          <w:vertAlign w:val="superscript"/>
        </w:rPr>
        <w:t>®</w:t>
      </w:r>
      <w:r>
        <w:rPr>
          <w:rFonts w:ascii="Arial" w:cs="Arial" w:eastAsia="Arial" w:hAnsi="Arial"/>
          <w:sz w:val="17"/>
          <w:szCs w:val="17"/>
          <w:color w:val="auto"/>
        </w:rPr>
        <w:t>, in our Horsham, Pennsylvania facility, QWO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a new product and we have limited experience in manufacturing CCH or any other biologic products. Biologics, such as CCH, require processing steps that are highly complex and generally more difficult than those required for most chemical pharmaceuticals. In addition, TESTOPEL</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manufactured using a unique, proprietary process. If the manufacturing processes are disrupted at the facilities where our biologic products are manufactured, it may be difficult to find alternate manufacturing sites. We may encounter difficulties with the manufacture of CCH and the active ingredient of TESTOPEL</w:t>
      </w:r>
      <w:r>
        <w:rPr>
          <w:rFonts w:ascii="Arial" w:cs="Arial" w:eastAsia="Arial" w:hAnsi="Arial"/>
          <w:sz w:val="22"/>
          <w:szCs w:val="22"/>
          <w:color w:val="auto"/>
          <w:vertAlign w:val="superscript"/>
        </w:rPr>
        <w:t>®</w:t>
      </w:r>
      <w:r>
        <w:rPr>
          <w:rFonts w:ascii="Arial" w:cs="Arial" w:eastAsia="Arial" w:hAnsi="Arial"/>
          <w:sz w:val="17"/>
          <w:szCs w:val="17"/>
          <w:color w:val="auto"/>
        </w:rPr>
        <w:t>, which could delay, disrupt or halt our manufacture of such products and/or product candidates, result in supply disruption or delay, product recalls or product liability claims, require write-offs or otherwise have a material adverse effect on our business, financial condition, results of operations and cash flows.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40"/>
        <w:spacing w:after="0" w:line="312" w:lineRule="auto"/>
        <w:rPr>
          <w:sz w:val="20"/>
          <w:szCs w:val="20"/>
          <w:color w:val="auto"/>
        </w:rPr>
      </w:pPr>
      <w:r>
        <w:rPr>
          <w:rFonts w:ascii="Arial" w:cs="Arial" w:eastAsia="Arial" w:hAnsi="Arial"/>
          <w:sz w:val="17"/>
          <w:szCs w:val="17"/>
          <w:b w:val="1"/>
          <w:bCs w:val="1"/>
          <w:color w:val="auto"/>
        </w:rPr>
        <w:t>The DEA limits the availability of the active ingredients used in many of our products as well as the production of these products, and, as a result, our procurement and production quotas may not be sufficient to meet commercial demand or complete clinical trials.</w:t>
      </w:r>
    </w:p>
    <w:p>
      <w:pPr>
        <w:spacing w:after="0" w:line="36" w:lineRule="exact"/>
        <w:rPr>
          <w:sz w:val="20"/>
          <w:szCs w:val="20"/>
          <w:color w:val="auto"/>
        </w:rPr>
      </w:pPr>
    </w:p>
    <w:p>
      <w:pPr>
        <w:ind w:right="140" w:firstLine="486"/>
        <w:spacing w:after="0" w:line="270" w:lineRule="auto"/>
        <w:rPr>
          <w:sz w:val="20"/>
          <w:szCs w:val="20"/>
          <w:color w:val="auto"/>
        </w:rPr>
      </w:pPr>
      <w:r>
        <w:rPr>
          <w:rFonts w:ascii="Arial" w:cs="Arial" w:eastAsia="Arial" w:hAnsi="Arial"/>
          <w:sz w:val="17"/>
          <w:szCs w:val="17"/>
          <w:color w:val="auto"/>
        </w:rPr>
        <w:t>The DEA limits the availability of the active ingredients used in many of our products and sets a quota on the production of these products. We, or our contract manufacturing organizations, must annually apply to the DEA for procurement and production quotas in order to obtain these substances and produce our products. In addition, H.R. 6 amended the CSA with respect to quotas by requiring the DEA to estimate the amount and impact of diversion (including overdose deaths and abuse and overall public health impact) of fentanyl, oxycodone, hydrocodone, oxymorphone or hydromorphone and to make appropriate quota reductions. As a result, our procurement and production quotas may not be sufficient to meet commercial demand or to complete clinical trials. Moreover, the DEA may adjust these quotas from time to time during the year. Any delay or refusal by the DEA in establishing our quotas, or modification of our quotas, for controlled substances could delay or result in the stoppage of clinical trials or product launches, or could cause trade inventory disruptions for those products that have already been launched, which could have a material adverse effect on our business, financial condition, results of operations and cash flows.</w:t>
      </w:r>
    </w:p>
    <w:p>
      <w:pPr>
        <w:spacing w:after="0" w:line="69"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If we are unable to retain our key personnel and continue to attract additional professional staff, we may be unable to maintain or expand our business.</w:t>
      </w:r>
    </w:p>
    <w:p>
      <w:pPr>
        <w:spacing w:after="0" w:line="58"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Because of the specialized scientific nature of our business, our ability to develop products and to compete with our current and future competitors will remain highly dependent, in large part, upon our ability to attract and retain qualified scientific, technical and commercial personnel. The loss of key scientific, technical and commercial personnel or the failure to recruit additional key scientific, technical and commercial personnel could have a material adverse effect on our business, financial condition, results of operations and cash flows. While we have consulting agreements with certain key individuals and institutions and have employment agreements with our key executives, we may be unsuccessful in retaining personnel or their services under existing agreements. There is intense competition for qualified personnel in our industry, and we may be unable to continue to attract and retain the qualified personnel necessary for the successful development of our business.</w:t>
      </w:r>
    </w:p>
    <w:p>
      <w:pPr>
        <w:spacing w:after="0" w:line="6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operations could be disrupted if our information systems fail, if we are unsuccessful in implementing necessary upgrades or if we are subject to cyber-attacks.</w:t>
      </w:r>
    </w:p>
    <w:p>
      <w:pPr>
        <w:spacing w:after="0" w:line="58" w:lineRule="exact"/>
        <w:rPr>
          <w:sz w:val="20"/>
          <w:szCs w:val="20"/>
          <w:color w:val="auto"/>
        </w:rPr>
      </w:pPr>
    </w:p>
    <w:p>
      <w:pPr>
        <w:ind w:right="380" w:firstLine="486"/>
        <w:spacing w:after="0" w:line="257" w:lineRule="auto"/>
        <w:rPr>
          <w:sz w:val="20"/>
          <w:szCs w:val="20"/>
          <w:color w:val="auto"/>
        </w:rPr>
      </w:pPr>
      <w:r>
        <w:rPr>
          <w:rFonts w:ascii="Arial" w:cs="Arial" w:eastAsia="Arial" w:hAnsi="Arial"/>
          <w:sz w:val="18"/>
          <w:szCs w:val="18"/>
          <w:color w:val="auto"/>
        </w:rPr>
        <w:t>Our business depends on the efficient and uninterrupted operation of our computer and communications systems and networks, hardware and software systems and our other information technology. As such, we continuously invest financial and other resources to maintain, enhance, further develop, replace or add to our information technology infrastructure. Such efforts carry risks such as cost overruns, project delays and business interruptions, which could have a material adverse effect on our business, financial condition, results of operations and cash flows. Additionally, these measures are not guaranteed to protect against all cybersecurity incidents.</w:t>
      </w:r>
    </w:p>
    <w:p>
      <w:pPr>
        <w:spacing w:after="0" w:line="80"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In the ordinary course of our business, we collect and maintain information, which includes confidential, proprietary and personal information regarding our customers and employees, in digital form. Data maintained in digital form is subject to risk of cyber-attacks, which are increasing in frequency and sophistication and are made by groups and individuals with a wide range of motives and expertise, including criminal groups, “hackers” and others. Cyber-attacks could include the deployment of harmful malware, viruses, worms, denial-of-service attacks, ransomware, social engineering and other means to affect service reliability and threaten data confidentiality, integrity and availability. Despite our efforts to monitor and safeguard our systems to prevent data compromise, the possibility of a future data compromise cannot be eliminated entirely, and risks associated with intrusion, tampering and theft remain. If our systems were to fail or we are unable to successfully expand the capacity of these systems, or we are unable to integrate new technologies into our existing systems, our operations and financial results could suffer.</w:t>
      </w:r>
    </w:p>
    <w:p>
      <w:pPr>
        <w:spacing w:after="0" w:line="70"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We also have outsourced certain elements and functions of our operations, including elements of our information technology infrastructure, to third parties, some of which operate outside the U.S. As a result, we manage many independent vendor relationships with third parties who may or could have access to our confidential information. The size and complexity of our and our vendors’ systems make such systems potentially vulnerable to service interruptions and to security breaches from inadvertent or intentional actions by our employees, our partners, our vendors or other third parties, or from attacks by malicious third parties.</w:t>
      </w:r>
    </w:p>
    <w:p>
      <w:pPr>
        <w:spacing w:after="0" w:line="80" w:lineRule="exact"/>
        <w:rPr>
          <w:sz w:val="20"/>
          <w:szCs w:val="20"/>
          <w:color w:val="auto"/>
        </w:rPr>
      </w:pPr>
    </w:p>
    <w:p>
      <w:pPr>
        <w:ind w:right="260" w:firstLine="486"/>
        <w:spacing w:after="0" w:line="311" w:lineRule="auto"/>
        <w:rPr>
          <w:sz w:val="20"/>
          <w:szCs w:val="20"/>
          <w:color w:val="auto"/>
        </w:rPr>
      </w:pPr>
      <w:r>
        <w:rPr>
          <w:rFonts w:ascii="Arial" w:cs="Arial" w:eastAsia="Arial" w:hAnsi="Arial"/>
          <w:sz w:val="16"/>
          <w:szCs w:val="16"/>
          <w:color w:val="auto"/>
        </w:rPr>
        <w:t>The Company and its vendors’ information technology operations are spread across multiple, sometimes inconsistent platforms, which pose difficulties in maintaining data integrity across systems. The ever-increasing use and evolution of technology, including cloud-based computing, creates opportunities for the unintentional or improper dissemination or destruction of confidential information stored in the Company’s systems.</w:t>
      </w:r>
    </w:p>
    <w:p>
      <w:pPr>
        <w:spacing w:after="0" w:line="41" w:lineRule="exact"/>
        <w:rPr>
          <w:sz w:val="20"/>
          <w:szCs w:val="20"/>
          <w:color w:val="auto"/>
        </w:rPr>
      </w:pPr>
    </w:p>
    <w:p>
      <w:pPr>
        <w:ind w:right="180" w:firstLine="486"/>
        <w:spacing w:after="0" w:line="296" w:lineRule="auto"/>
        <w:rPr>
          <w:sz w:val="20"/>
          <w:szCs w:val="20"/>
          <w:color w:val="auto"/>
        </w:rPr>
      </w:pPr>
      <w:r>
        <w:rPr>
          <w:rFonts w:ascii="Arial" w:cs="Arial" w:eastAsia="Arial" w:hAnsi="Arial"/>
          <w:sz w:val="16"/>
          <w:szCs w:val="16"/>
          <w:color w:val="auto"/>
        </w:rPr>
        <w:t>Any breach of our security measures or the accidental loss, inadvertent disclosure, unapproved dissemination, misappropriation or misuse of trade secrets, proprietary information or other confidential information, whether as a result of theft, hacking, fraud, trickery or other forms of deception, or for any other cause, could enable others to produce competing products, use our proprietary technology or information and/or adversely affect our business position. Further, any such interruption, security breach, loss or disclosure of confidential information could result in financial, legal, business and reputational harm to our company and could have a material adverse effect on our business, financial condition, results of operations and cash flows.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risks related to our global operations may adversely impact our revenues, results of operations and financial condition.</w:t>
      </w:r>
    </w:p>
    <w:p>
      <w:pPr>
        <w:spacing w:after="0" w:line="121"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In 2020, approximately 3% of our total revenues were from customers outside the U.S. Some of these sales were to governmental entities and other organizations with extended payment terms. Conducting business internationally, including the sourcing, manufacturing, development, sale and distribution of our products and services across international borders, subjects us to extensive U.S. and foreign governmental trade regulations, such as various anti-bribery laws, including the U.S. Foreign Corrupt Practices Act (FCPA), export control laws, customs and import laws, and anti-boycott laws. The FCPA and similar anti-corruption laws in other jurisdictions generally prohibit companies and their intermediaries from making improper payments to government officials for the purpose of obtaining or retaining business. We cannot provide assurance that our internal controls and procedures will always protect us from criminal acts committed by our employees or third parties with whom we work. If we are found liable for violations of the FCPA or other applicable laws and regulations, either due to our own acts or out of inadvertence, or due to the acts or inadvertence of others, we could suffer significant criminal, civil and administrative penalties, including, but not limited to, imprisonment of individuals, fines, denial of export privileges, seizure of shipments, restrictions on certain business activities and exclusion or debarment from government contracting, as well as reputational harm. Also, the failure to comply with applicable legal and regulatory obligations could result in the disruption of our shipping and sales activities.</w:t>
      </w:r>
    </w:p>
    <w:p>
      <w:pPr>
        <w:spacing w:after="0" w:line="64"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In addition, some countries where we source, develop, manufacture or sell products are subject to political, economic and/or social instability. Our non-U.S. R&amp;D, manufacturing and sales operations expose us and our employees, representatives, agents and distributors to risks inherent in operating in non-U.S. jurisdictions. For example, our operations in India include R&amp;D functions and manufacturing, which we expect will expand in the future. A disruption in our Indian operations could have a material adverse effect on our business, financial condition, results of operations and cash flows. These risks include:</w:t>
      </w:r>
    </w:p>
    <w:p>
      <w:pPr>
        <w:spacing w:after="0" w:line="3" w:lineRule="exact"/>
        <w:rPr>
          <w:sz w:val="20"/>
          <w:szCs w:val="20"/>
          <w:color w:val="auto"/>
        </w:rPr>
      </w:pP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imposition of additional U.S. and non-U.S. governmental controls or regulations;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imposition of costly and lengthy new export licensing requirements;</w:t>
      </w:r>
    </w:p>
    <w:p>
      <w:pPr>
        <w:spacing w:after="0" w:line="9" w:lineRule="exact"/>
        <w:rPr>
          <w:rFonts w:ascii="Arial" w:cs="Arial" w:eastAsia="Arial" w:hAnsi="Arial"/>
          <w:sz w:val="18"/>
          <w:szCs w:val="18"/>
          <w:color w:val="auto"/>
        </w:rPr>
      </w:pPr>
    </w:p>
    <w:p>
      <w:pPr>
        <w:ind w:left="900" w:hanging="244"/>
        <w:spacing w:after="0" w:line="250" w:lineRule="auto"/>
        <w:tabs>
          <w:tab w:leader="none" w:pos="8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we do business that would restrict or prohibit continued business with the sanctioned country, company, person or entity;</w:t>
      </w:r>
    </w:p>
    <w:p>
      <w:pPr>
        <w:ind w:left="900" w:right="140" w:hanging="244"/>
        <w:spacing w:after="0" w:line="281" w:lineRule="auto"/>
        <w:tabs>
          <w:tab w:leader="none" w:pos="895" w:val="left"/>
        </w:tabs>
        <w:numPr>
          <w:ilvl w:val="0"/>
          <w:numId w:val="26"/>
        </w:numPr>
        <w:rPr>
          <w:rFonts w:ascii="Arial" w:cs="Arial" w:eastAsia="Arial" w:hAnsi="Arial"/>
          <w:sz w:val="16"/>
          <w:szCs w:val="16"/>
          <w:color w:val="auto"/>
        </w:rPr>
      </w:pPr>
      <w:r>
        <w:rPr>
          <w:rFonts w:ascii="Arial" w:cs="Arial" w:eastAsia="Arial" w:hAnsi="Arial"/>
          <w:sz w:val="16"/>
          <w:szCs w:val="16"/>
          <w:color w:val="auto"/>
        </w:rPr>
        <w:t>economic and political instability or disruptions, including local and regional instability, or disruptions due to natural disasters, such as severe weather and geological events, disruptions due to civil unrest and hostilities, rioting, military activity, terror attacks or armed hostilities;</w:t>
      </w:r>
    </w:p>
    <w:p>
      <w:pPr>
        <w:spacing w:after="0" w:line="1" w:lineRule="exact"/>
        <w:rPr>
          <w:rFonts w:ascii="Arial" w:cs="Arial" w:eastAsia="Arial" w:hAnsi="Arial"/>
          <w:sz w:val="16"/>
          <w:szCs w:val="16"/>
          <w:color w:val="auto"/>
        </w:rPr>
      </w:pP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duties and tariffs, license obligations and other non-tariff barriers to trade;</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imposition of new trade restrictions including foreign exchange controls;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supply disruptions and increases in energy and transportation costs;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imposition of restrictions on the activities of foreign agents, representatives and distributors;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global tax laws and/or the imposition by tax authorities of significant fines, penalties and additional taxes;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pricing pressure that we may experience internationally;</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competition from local, regional and international competitors;</w:t>
      </w:r>
    </w:p>
    <w:p>
      <w:pPr>
        <w:spacing w:after="0" w:line="9" w:lineRule="exact"/>
        <w:rPr>
          <w:rFonts w:ascii="Arial" w:cs="Arial" w:eastAsia="Arial" w:hAnsi="Arial"/>
          <w:sz w:val="18"/>
          <w:szCs w:val="18"/>
          <w:color w:val="auto"/>
        </w:rPr>
      </w:pPr>
    </w:p>
    <w:p>
      <w:pPr>
        <w:ind w:left="900" w:right="100" w:hanging="244"/>
        <w:spacing w:after="0" w:line="250" w:lineRule="auto"/>
        <w:tabs>
          <w:tab w:leader="none" w:pos="8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including cultural differences and additional employment regulations, union workforce negotiations and potential disputes in the jurisdictions in which we operate;</w:t>
      </w: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exposure to different legal and political standards due to our conducting business in foreign countries.</w:t>
      </w:r>
    </w:p>
    <w:p>
      <w:pPr>
        <w:spacing w:after="0" w:line="103"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We also face the risk that some of our competitors have more experience with operations in such countries or with international operations generally and may be able to manage unexpected crises more easily. Furthermore, whether due to language, cultural or other differences, public and other statements that we make may be misinterpreted, misconstrued or taken out of context in different jurisdictions. Moreover, the internal political stability of, or the relationship between, any country or countries where we conduct business operations may deteriorate, including relationships between the U.S. and other countries. Changes in other countries’ economic conditions, product pricing, political stability or the state of relations between any such countries are difficult to predict and could adversely affect our operations, payment and credit terms and our ability to collect foreign receivables. Any such changes could lead to a decline in our profitability and/or adversely impact our ability to do business. Any meaningful deterioration of the political or social stability in and/or diplomatic relations between any countries in which we or our partners and suppliers do business could have a material adverse effect on our business, financial condition, results of operations and cash flows. A substantial slowdown of the global economy, or major national economies, could negatively affect growth in the markets in which we operate. Such a slowdown could result in national governments making significant cuts to their public spending, including national healthcare budgets, or reducing the level of reimbursement they are willing and able to provide to us for our products and, as a result, adversely affect our revenues, financial condition or results of operations. We have little influence over these factors and changes could have a material adverse effect on our business, financial condition, results of operations and cash flows.</w:t>
      </w:r>
    </w:p>
    <w:p>
      <w:pPr>
        <w:spacing w:after="0" w:line="66" w:lineRule="exact"/>
        <w:rPr>
          <w:sz w:val="20"/>
          <w:szCs w:val="20"/>
          <w:color w:val="auto"/>
        </w:rPr>
      </w:pPr>
    </w:p>
    <w:p>
      <w:pPr>
        <w:ind w:right="980" w:firstLine="486"/>
        <w:spacing w:after="0" w:line="342" w:lineRule="auto"/>
        <w:rPr>
          <w:sz w:val="20"/>
          <w:szCs w:val="20"/>
          <w:color w:val="auto"/>
        </w:rPr>
      </w:pPr>
      <w:r>
        <w:rPr>
          <w:rFonts w:ascii="Arial" w:cs="Arial" w:eastAsia="Arial" w:hAnsi="Arial"/>
          <w:sz w:val="16"/>
          <w:szCs w:val="16"/>
          <w:color w:val="auto"/>
        </w:rPr>
        <w:t>We cannot provide assurance that one or more of these factors will not harm our business. Any material decrease in our non-U.S. R&amp;D, manufacturing or sales could have a material adverse effect on our business, financial condition, results of operations and cash flows.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Widespread health problems, including the recent global coronavirus, could materially and adversely affect our business.</w:t>
      </w:r>
    </w:p>
    <w:p>
      <w:pPr>
        <w:spacing w:after="0" w:line="121"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Public health outbreaks, epidemics or pandemics, such as the coronavirus, could materially and adversely impact our business. For example, the COVID-19 pandemic has resulted in global business and economic disruption and extreme volatility in the financial markets as many jurisdictions have placed restrictions on travel and non-essential business operations and implemented social distancing, shelter-in-place, quarantine and other similar measures for their residents to contain the spread of the virus. In response to these public health directives and orders, we have implemented alternative working practices and work-from-home requirements for appropriate employees, as well as temperature screenings, health questionnaires, social distancing, modified schedules, shift rotation and other similar policies at our manufacturing facilities. We launched a hybrid approach selling model as of June 1, 2020 for our field employees, which allows virtual and/or live engagement with healthcare providers and other customers. We have also limited international and domestic travel. The effects of COVID-19, including these public health directives and orders and our policies, have had an impact on our business and may in the future materially disrupt our business (including our manufacturing and supply chain operations by significantly reducing our output), negatively impact our productivity and delay our product development programs.</w:t>
      </w:r>
    </w:p>
    <w:p>
      <w:pPr>
        <w:spacing w:after="0" w:line="77"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 xml:space="preserve">The pandemic may have significant impacts on third-party arrangements, including those with our manufacturing, supply chain and distribution partners, information technology and other service providers and business partners. For example, there may be significant disruptions in the ability of any or all of these third-party providers to meet their obligations to us on a timely basis, or at all, which may be caused by their own financial or operational difficulties, including any closures of their facilities pursuant to a governmental order or otherwise. Due to these disruptions and other factors, including changes in our workforce availability and increased demand for some of our critical care products during this pandemic, our ability to meet our obligations to third-party distribution partners may be negatively impacted. As a result, we have delivered, and in the future we or our third-party providers may deliver, notices of the occurrence of a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or similar events under certain of our third-party contracts, which could result in prolonged commercial disputes and ultimately legal proceedings to enforce contractual performance and/or recover losses. Any such occurrences could result in significant management distraction and use of resources and, in the event of an adverse judgment, could result in significant cash payments. Further, the publicity of any such dispute could harm our reputation and make the negotiation of any replacement contracts more difficult and costly, thereby prolonging the effects of any resulting disruption in our operations. Such disruptions could be acute with respect to certain of our raw material suppliers where we may not have readily accessible alternatives or alternatives may take longer to source than usual. While we attempt, when possible, to mitigate our raw material supply risks through stock management and alternative sourcing strategies, some raw materials are only available from one source. Any of these disruptions could harm our ability to meet consumer demand, including any increase in demand for any of our products, including our critical care products used during a pandemic.</w:t>
      </w:r>
    </w:p>
    <w:p>
      <w:pPr>
        <w:spacing w:after="0" w:line="74" w:lineRule="exact"/>
        <w:rPr>
          <w:sz w:val="20"/>
          <w:szCs w:val="20"/>
          <w:color w:val="auto"/>
        </w:rPr>
      </w:pPr>
    </w:p>
    <w:p>
      <w:pPr>
        <w:ind w:firstLine="486"/>
        <w:spacing w:after="0" w:line="261" w:lineRule="auto"/>
        <w:rPr>
          <w:sz w:val="20"/>
          <w:szCs w:val="20"/>
          <w:color w:val="auto"/>
        </w:rPr>
      </w:pPr>
      <w:r>
        <w:rPr>
          <w:rFonts w:ascii="Arial" w:cs="Arial" w:eastAsia="Arial" w:hAnsi="Arial"/>
          <w:sz w:val="17"/>
          <w:szCs w:val="17"/>
          <w:color w:val="auto"/>
        </w:rPr>
        <w:t>We have experienced, and expect to continue to experience, changes in customer demand as the COVID-19 pandemic continues to evolve, which are difficult to predict. The current economic crisis and increased unemployment rates resulting from COVID-19 have the potential to significantly reduce individual disposable income and depress consumer confidence, which could limit the ability of some consumers to purchase certain pharmaceutical products and reduce consumer spend on certain medical procedures in both the short- and medium-term. Additionally, as part of the measures to address COVID-19, certain healthcare providers are not currently performing various medical procedures, including those that use certain of our products. For example, beginning in the last two weeks of the first quarter of 2020, certain of our products that are physician administered, including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SUPPRELIN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LA, experienced significantly decreased sales volumes due to reduced physician office activity and patient office visits compared to the prior year because of the COVID-19 pandemic. Furthermore, we are unable to predict the impact that COVID-19 may have going forward on the business, results of operations or financial position of any of our major customers, which could impact each customer to varying degrees and at different times and could ultimately impact our own financial performance. Certain of our competitors may also be better equipped to weather the impact of COVID-19 both domestically and abroad and better able to address changes in customer demand.</w:t>
      </w:r>
    </w:p>
    <w:p>
      <w:pPr>
        <w:spacing w:after="0" w:line="83" w:lineRule="exact"/>
        <w:rPr>
          <w:sz w:val="20"/>
          <w:szCs w:val="20"/>
          <w:color w:val="auto"/>
        </w:rPr>
      </w:pPr>
    </w:p>
    <w:p>
      <w:pPr>
        <w:ind w:firstLine="486"/>
        <w:spacing w:after="0" w:line="281" w:lineRule="auto"/>
        <w:rPr>
          <w:sz w:val="20"/>
          <w:szCs w:val="20"/>
          <w:color w:val="auto"/>
        </w:rPr>
      </w:pPr>
      <w:r>
        <w:rPr>
          <w:rFonts w:ascii="Arial" w:cs="Arial" w:eastAsia="Arial" w:hAnsi="Arial"/>
          <w:sz w:val="16"/>
          <w:szCs w:val="16"/>
          <w:color w:val="auto"/>
        </w:rPr>
        <w:t>Additionally, our product development programs have been, and may continue to be, adversely affected by the pandemic and the prioritization of production during this pandemic. The public health directives in response to COVID-19 requiring social distancing and restricting non-essential business operations have in certain cases caused and may continue to cause delays, increased costs and additional challenges in our product development programs, including obtaining adequate patient enrollment and successfully bringing product candidates to market. In addition, we may face additional challenges receiving regulatory approvals as previously scheduled dates or anticipated deadlines for action by the FDA on our applications and products in development could be subject to delays beyond our control as regulators, such as the FDA, focus on COVID-19. For example, as a result of COVID-19 and its impact on medical aesthetics physician office closures and consumer spending, we moved the anticipated product launch of QWO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to spring 2021. In addition, we have assessed, and expect to continue to assess, the timeline for commercialization of other products.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To the extent our operating cash flows, together with our cash, cash equivalents, restricted cash and restricted cash equivalents, become insufficient to cover our liquidity and capital requirements, including funds for any future acquisitions and other corporate transactions, we may be required to seek third-party financing, including additional draws on our Revolving Credit Facility (as defined below) or additional credit facilities, and/or engage in one or more capital market transactions. There can be no assurance that we would be able to obtain any required financing on a timely basis or at all. Further, lenders and other financial institutions could require us to agree to more restrictive covenants, grant liens on our assets as collateral (resulting in an increase in our total outstanding secured indebtedness) and/or accept other terms that are not commercially beneficial to us in order to obtain financing. Such terms could further restrict our operations and exacerbate any impact on our results of operations and liquidity that may result from COVID-19. In addition, a recession or market correction resulting from the spread of COVID-19 could materially affect our business and the value of our ordinary shares.</w:t>
      </w:r>
    </w:p>
    <w:p>
      <w:pPr>
        <w:spacing w:after="0" w:line="5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Additionally, COVID-19 could increase the magnitude of many of the other risks described herein and have other adverse effects on our operations that we are not able to predict. For example, the global economic disruptions and volatility in the financial markets could further depress our ability to obtain or renew insurance on satisfactory terms or at all. Further, we may be required to delay or limit our internal strategies in the short- and medium-term by, for example, redirecting significant resources and management attention away from implementing our strategic priorities or executing opportunistic corporate development transactions.</w:t>
      </w:r>
    </w:p>
    <w:p>
      <w:pPr>
        <w:spacing w:after="0" w:line="80"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The magnitude of the effect of COVID-19 on our business will depend, in part, on the length and severity of the restrictions (including the effects of any “re-opening” actions and plans) and other limitations on our ability to conduct our business in the ordinary course, as well as the availability of effective treatments or vaccines. The longer the pandemic continues or resurges, the more severe the impacts described above will be on both our domestic and international business. The extent, length and consequences of the pandemic are uncertain and impossible to predict, but could be material. COVID-19 and other similar outbreaks, epidemics or pandemics could have a material adverse effect on our business, financial condition, results of operations and cash flows and could cause significant volatility in the trading prices of our securities.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Liability Related Risks</w:t>
      </w:r>
    </w:p>
    <w:p>
      <w:pPr>
        <w:spacing w:after="0" w:line="113" w:lineRule="exact"/>
        <w:rPr>
          <w:sz w:val="20"/>
          <w:szCs w:val="20"/>
          <w:color w:val="auto"/>
        </w:rPr>
      </w:pPr>
    </w:p>
    <w:p>
      <w:pPr>
        <w:ind w:right="520"/>
        <w:spacing w:after="0" w:line="312" w:lineRule="auto"/>
        <w:rPr>
          <w:sz w:val="20"/>
          <w:szCs w:val="20"/>
          <w:color w:val="auto"/>
        </w:rPr>
      </w:pPr>
      <w:r>
        <w:rPr>
          <w:rFonts w:ascii="Arial" w:cs="Arial" w:eastAsia="Arial" w:hAnsi="Arial"/>
          <w:sz w:val="17"/>
          <w:szCs w:val="17"/>
          <w:b w:val="1"/>
          <w:bCs w:val="1"/>
          <w:color w:val="auto"/>
        </w:rPr>
        <w:t>We have been and expect to continue to be the subject of lawsuits, product liability claims, other significant legal proceedings, governmental investigations or product recalls, any of which could have a material adverse effect on our company.</w:t>
      </w:r>
    </w:p>
    <w:p>
      <w:pPr>
        <w:spacing w:after="0" w:line="36"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Our business exposes us to significant potential risks from lawsuits, product liability claims, other significant legal proceedings, governmental investigations and/or product recalls, including, but not limited to, matters associated with the testing, manufacturing, marketing, sale and use of our products. Some plaintiffs have received substantial damage awards against or entered into significant settlements with healthcare companies based upon various legal theories including, without limitation, claims for injuries allegedly caused by the use of their products. We have been, and expect to continue to be subject to various lawsuits, product liability claims, other significant legal proceedings, governmental investigations or product recalls, any of which could have a material adverse effect on our company or cause us to take significant corporate transactions and remedial measures.</w:t>
      </w:r>
    </w:p>
    <w:p>
      <w:pPr>
        <w:spacing w:after="0" w:line="56"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For example, we, along with other manufacturers of prescription opioid medications, as well as distributors and other sellers of such medications, are the subject of lawsuits and have received subpoenas and other requests for information from various federal, state and local government agencies regarding the sale, marketing and/or distribution of prescription opioid medications. Numerous claims against opioid manufacturers, including us, have been and may continue to be filed by or on behalf of various plaintiffs, including states, counties, cities, Native American tribes, other government-related persons or entities, hospitals, health systems, unions, health and welfare funds, other third-party payers and/or individuals. See Note 16. Commitments and Contingencies in the Consolidated Financial Statements included in Part IV, Item 15 of this report for more information. In these cases, plaintiffs generally seek various remedies including, without limitation, declaratory and/or injunctive relief; compensatory, punitive and/or treble damages; restitution, disgorgement, civil penalties, abatement, attorneys’ fees, costs and/or other relief. In these cases, settlement demands and discussions often seek significant monetary and other remedies. At any given time, we may be engaged in settlement or similar discussions. We have in the past and may in the future receive settlement offers that are on terms that we do not consider reasonable under the circumstances or indicative of the merits or potential outcome of any court proceeding with respect to the underlying claims. Additionally, while we have made the decision to settle some claims, there can be no assurance that settlement opportunities will continue to be available generally, or be consistent with our historic experience. We may not be able to settle all of our opioid claims successfully, and as a result, we may go to trial in certain of these cases. Awards against and settlements by us or our competitors could also incentivize parties to bring additional claims against us. In addition to the risks of direct expenditures for defense costs, settlements and/or judgments in connection with these claims, proceedings and investigations, there is a possibility of loss of revenues, injunctions and disruption of business. Additionally, we have, and may continue to receive, claims or requests for indemnification from certain of our customers. Furthermore, we and other manufacturers of prescription opioid medications have been, and will likely continue to be, subject to negative publicity and press, which could harm our brand and the demand for our products. Certain other manufacturers of prescription opioid medications have publicly commenced, or announced their intention to commence, cases to seek the protections under Chapter 11 of the Bankruptcy Code to address the claims being asserted against such manufacturers in these opioid lawsuits.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87" w:lineRule="auto"/>
        <w:rPr>
          <w:sz w:val="20"/>
          <w:szCs w:val="20"/>
          <w:color w:val="auto"/>
        </w:rPr>
      </w:pPr>
      <w:r>
        <w:rPr>
          <w:rFonts w:ascii="Arial" w:cs="Arial" w:eastAsia="Arial" w:hAnsi="Arial"/>
          <w:sz w:val="16"/>
          <w:szCs w:val="16"/>
          <w:color w:val="auto"/>
        </w:rPr>
        <w:t>Our current and former products may cause or appear to cause serious adverse side effects or potentially dangerous drug interactions if misused or improperly prescribed or as a result of faulty surgical technique. We are subject to various risks associated with having operated a medical device manufacturing business, including potential and actual product liability claims for defective or allegedly defective goods and increased government scrutiny and/or potential claims regarding the marketing of medical devices. For example, we and certain other manufacturers have been named as defendants in multiple lawsuits in various federal and state courts alleging personal injury resulting from the use of transvaginal surgical mesh products designed to treat pelvic organ prolapse (POP) and stress urinary incontinence (SUI). The FDA held a public advisory committee meeting in February 2019 during which the members of the Obstetrics and Gynecology Devices Panel of the Medical Devices Advisory Committee discussed and made recommendations regarding the safety and effectiveness of surgical mesh to treat POP. In April 2019, following the meeting, the FDA ordered that the manufacturers of all remaining surgical mesh products indicated for the transvaginal repair of POP cease selling and distributing their products in the U.S. effective immediately. Although we have not sold transvaginal surgical mesh products since March 2016, it is possible that the FDA’s order and any additional FDA actions based on the outcome of the advisory committee meeting could result in additional litigation against the Company. See Note 16. Commitments and Contingencies in the Consolidated Financial Statements included in Part IV, Item 15 of this report for more information.</w:t>
      </w:r>
    </w:p>
    <w:p>
      <w:pPr>
        <w:spacing w:after="0" w:line="60" w:lineRule="exact"/>
        <w:rPr>
          <w:sz w:val="20"/>
          <w:szCs w:val="20"/>
          <w:color w:val="auto"/>
        </w:rPr>
      </w:pPr>
    </w:p>
    <w:p>
      <w:pPr>
        <w:ind w:right="320" w:firstLine="486"/>
        <w:spacing w:after="0" w:line="308" w:lineRule="auto"/>
        <w:rPr>
          <w:sz w:val="20"/>
          <w:szCs w:val="20"/>
          <w:color w:val="auto"/>
        </w:rPr>
      </w:pPr>
      <w:r>
        <w:rPr>
          <w:rFonts w:ascii="Arial" w:cs="Arial" w:eastAsia="Arial" w:hAnsi="Arial"/>
          <w:sz w:val="17"/>
          <w:szCs w:val="17"/>
          <w:color w:val="auto"/>
        </w:rPr>
        <w:t>Any failure to effectively identify, analyze, report and protect adverse event data and/or to fully comply with relevant laws, rules and regulations around adverse event reporting could expose the Company to legal proceedings, penalties, fines and/or reputational damage.</w:t>
      </w:r>
    </w:p>
    <w:p>
      <w:pPr>
        <w:spacing w:after="0" w:line="38"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addition, in the age of social media, plaintiffs’ attorneys have a wide variety of tools to advertise their services and solicit new clients for litigation, including using judgments and settlements obtained in litigation against us or other pharmaceutical companies as an advertising tool. For these or other reasons, any product liability or other litigation in which we are a defendant could have a larger number of plaintiffs than such actions have seen historically and we could also see an increase in the number of cases filed against us because of the increasing use of widespread and media-varied advertising. This could also complicate any settlement discussions we may be engaged in. Furthermore, a ruling against other pharmaceutical companies in product liability or other litigation, or any related settlement, in which we are not a defendant could have a negative impact on pending litigation where we are a defendant.</w:t>
      </w:r>
    </w:p>
    <w:p>
      <w:pPr>
        <w:spacing w:after="0" w:line="87"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In addition, in certain circumstances, such as in the case of products that do not meet approved specifications or which subsequent data demonstrate may be unsafe, ineffective or misused, it may be necessary for us to initiate voluntary or mandatory recalls or withdraw such products from the market. Any such recall or withdrawal could result in adverse publicity, costs connected to the recall and loss of revenue. Adverse publicity could also result in an increased number of additional product liability claims, whether or not these claims have a basis in scientific fact. See the risk factor “Public concern around the abuse of opioids or other products including, without limitation, law enforcement concerns over diversion or marketing practices, regulatory efforts to combat abuse and litigation could result in costs to our business” for more information.</w:t>
      </w:r>
    </w:p>
    <w:p>
      <w:pPr>
        <w:spacing w:after="0" w:line="70"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If we are found liable in any lawsuits, including product liability claims or actions related to our sales, marketing or pricing practices or the sale, marketing and/or distribution of prescription opioid medications, or if we are subject to governmental investigations or product recalls, it could result in the imposition of material damages, including punitive damages, fines, reputational harm, civil lawsuits, criminal penalties, interruptions of business, modification of business practices, equitable remedies and other sanctions against us or our personnel as well as significant legal and other costs. At any given time, we may be engaged in settlement or similar discussions, and we may voluntarily settle cases even if we believe that we have meritorious defenses because of the significant legal and other costs that may be required to defend such actions. Any judgments, claims, settlements and related costs could be well in excess of any applicable insurance. As a result, we may experience significant negative impacts on our operations or financial position. To satisfy judgments or settlements, we also may need to seek financing or bonding, which may not be available on terms acceptable to us, or at all, when required, particularly given the extreme volatility in the capital markets. Judgments also could cause defaults under our debt agreements and/or restrictions on product use or business practices and we could incur losses as a result. Any of the risks above could have a material adverse effect on our business, financial condition, results of operations and cash flows and could be further exacerbated by the impact of COVID-19.</w:t>
      </w:r>
    </w:p>
    <w:p>
      <w:pPr>
        <w:spacing w:after="0" w:line="64"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The occurrence or possibility of any such result may cause us to engage in a strategic review that ultimately results in our pursuing one or more significant corporate transactions or remedial measures. Any such actions or measures could include reorganization or restructuring activities, asset sales or other divestitures, cost-saving initiatives or other corporate realignments, seeking strategic partnerships and exiting certain product or geographic markets. See the risk factor “Our ability to fund our operations, maintain adequate liquidity and meet our financing obligations is reliant on our operations, which are subject to significant risks and uncertainties” for more information. Any such actions may be complex, could entail significant costs and charges or could otherwise negatively impact shareholder value, and there can be no assurance that we will be able to accomplish any of these alternatives on terms acceptable to us, or at all, or that they will result in their intended benefits.</w:t>
      </w:r>
    </w:p>
    <w:p>
      <w:pPr>
        <w:spacing w:after="0" w:line="69"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See Note 16. Commitments and Contingencies in the Consolidated Financial Statements included in Part IV, Item 15 of this report for further discussion of the foregoing and other material legal proceedings.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have and may be unable to obtain or maintain insurance adequate to cover potential liabilities.</w:t>
      </w:r>
    </w:p>
    <w:p>
      <w:pPr>
        <w:spacing w:after="0" w:line="121"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may not have and may be unable to obtain or maintain insurance on acceptable terms or with adequate coverage against potential liabilities or other losses, such as the cost of a recall, if any claim is brought against us, regardless of the success or failure of the claim. For example, we generally no longer have product liability insurance to cover claims in connection with the mesh-related litigation described above. Additionally, we may be limited by the surviving insurance policies of our acquired subsidiaries, which may not be adequate to cover against potential liabilities or other losses. Even where claims are submitted to insurance carriers for defense and indemnity, there can be no assurance that the claims will be fully covered by insurance or that the indemnitors or insurers will remain financially viable. The failure to generate sufficient cash flow or to obtain other financing could affect our ability to pay the amounts due under those liabilities not covered by insurance.</w:t>
      </w:r>
    </w:p>
    <w:p>
      <w:pPr>
        <w:spacing w:after="0" w:line="6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Public concern around the abuse of opioids or other products including, without limitation, law enforcement concerns over diversion or marketing practices, regulatory efforts to combat abuse and litigation could result in costs to our business.</w:t>
      </w:r>
    </w:p>
    <w:p>
      <w:pPr>
        <w:spacing w:after="0" w:line="58" w:lineRule="exact"/>
        <w:rPr>
          <w:sz w:val="20"/>
          <w:szCs w:val="20"/>
          <w:color w:val="auto"/>
        </w:rPr>
      </w:pPr>
    </w:p>
    <w:p>
      <w:pPr>
        <w:ind w:right="220" w:firstLine="486"/>
        <w:spacing w:after="0" w:line="273" w:lineRule="auto"/>
        <w:rPr>
          <w:sz w:val="20"/>
          <w:szCs w:val="20"/>
          <w:color w:val="auto"/>
        </w:rPr>
      </w:pPr>
      <w:r>
        <w:rPr>
          <w:rFonts w:ascii="Arial" w:cs="Arial" w:eastAsia="Arial" w:hAnsi="Arial"/>
          <w:sz w:val="17"/>
          <w:szCs w:val="17"/>
          <w:color w:val="auto"/>
        </w:rPr>
        <w:t>Media stories regarding drug abuse and diversion, including the abuse and diversion of prescription opioid medications and other controlled substances, are commonplace. Aggressive enforcement and unfavorable publicity regarding, for example, the use or misuse of opioids, the limitations of abuse-deterrent formulations, the ability of abusers to discover previously unknown ways to abuse our products, public inquiries and investigations into drug abuse or litigation or regulatory or enforcement activity regarding sales, marketing, distribution or storage of opioids could have a material adverse effect on our reputation, on the results of litigation and on our ability to attract or maintain relationships with third-party partners, including suppliers, vendors, advisors, distributors, manufacturers, collaboration partners, administrators and agents.</w:t>
      </w:r>
    </w:p>
    <w:p>
      <w:pPr>
        <w:spacing w:after="0" w:line="70"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Manufacturers of prescription opioid medications have been the subject of significant civil and criminal investigatory and enforcement actions even in cases where such medications have received approval from the FDA or similar regulatory authorities. Numerous governmental and private persons and entities are pursuing litigation against opioid manufacturers, including us, as well as distributors and others, asserting alleged violations of various laws and regulations relating to opioids and/or other prescription medicines, relying on common law theories, and seeking to hold the defendants accountable for, among other things, societal costs associated with the misuse and abuse of prescription opioid medications as well as non-prescription opioids. There is a risk we will be subject to similar investigations, enforcement actions or litigations in the future, that we will suffer adverse decisions or verdicts of substantial amounts or that we will enter into monetary settlements. Any unfavorable outcomes as a result of such proceedings could have a material adverse effect on our business, financial condition, results of operations and cash flows. In 2019, several manufacturers of prescription opioid medications commenced cases under Title 11 of the U.S. Code in order to address the large volume of claims asserted against them in such litigation. See Note 16. Commitments and Contingencies in the Consolidated Financial Statements included in Part IV, Item 15 of this report for more information.</w:t>
      </w:r>
    </w:p>
    <w:p>
      <w:pPr>
        <w:spacing w:after="0" w:line="60"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Regulatory actions at the federal, state and local level may seek to limit or restrict the manufacturing, distribution or sale of opioids, both directly and indirectly, and/or to impose novel policy or regulatory mechanisms regarding the manufacturing, distribution or sales of opioids. For example, in April 2019, New York enacted an excise tax on opioids. See the risk factor “Our business and financial condition may be adversely affected by legislation” for more information. Many state legislatures are considering various bills intended to reduce opioid abuse, such as by establishing prescription drug monitoring programs and mandating prescriber education.</w:t>
      </w:r>
    </w:p>
    <w:p>
      <w:pPr>
        <w:spacing w:after="0" w:line="80" w:lineRule="exact"/>
        <w:rPr>
          <w:sz w:val="20"/>
          <w:szCs w:val="20"/>
          <w:color w:val="auto"/>
        </w:rPr>
      </w:pPr>
    </w:p>
    <w:p>
      <w:pPr>
        <w:ind w:right="180" w:firstLine="486"/>
        <w:spacing w:after="0" w:line="296" w:lineRule="auto"/>
        <w:rPr>
          <w:sz w:val="20"/>
          <w:szCs w:val="20"/>
          <w:color w:val="auto"/>
        </w:rPr>
      </w:pPr>
      <w:r>
        <w:rPr>
          <w:rFonts w:ascii="Arial" w:cs="Arial" w:eastAsia="Arial" w:hAnsi="Arial"/>
          <w:sz w:val="16"/>
          <w:szCs w:val="16"/>
          <w:color w:val="auto"/>
        </w:rPr>
        <w:t>Various government entities, including the U.S. Congress, state legislatures or other policy-making bodies in the U.S. or elsewhere may hold hearings, conduct investigations and/or issue reports calling attention to opioid misuse and abuse, and may mention or criticize the role of manufacturers, including us, in supplying or marketing opioid medications or failing to take adequate steps to detect or report suspicious orders or to prevent abuse and diversion. Press organizations have reported and likely will continue to report on these issues, and such reporting has and may further result in adverse publicity which could have a material adverse effect on our business, financial condition, results of operations and cash flows.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Liquidity Related Risks</w:t>
      </w:r>
    </w:p>
    <w:p>
      <w:pPr>
        <w:spacing w:after="0" w:line="11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ability to fund our operations, maintain adequate liquidity and meet our financing obligations is reliant on our operations, which are subject to significant risks and uncertainties.</w:t>
      </w:r>
    </w:p>
    <w:p>
      <w:pPr>
        <w:spacing w:after="0" w:line="58" w:lineRule="exact"/>
        <w:rPr>
          <w:sz w:val="20"/>
          <w:szCs w:val="20"/>
          <w:color w:val="auto"/>
        </w:rPr>
      </w:pPr>
    </w:p>
    <w:p>
      <w:pPr>
        <w:ind w:firstLine="486"/>
        <w:spacing w:after="0" w:line="242" w:lineRule="auto"/>
        <w:rPr>
          <w:sz w:val="20"/>
          <w:szCs w:val="20"/>
          <w:color w:val="auto"/>
        </w:rPr>
      </w:pPr>
      <w:r>
        <w:rPr>
          <w:rFonts w:ascii="Arial" w:cs="Arial" w:eastAsia="Arial" w:hAnsi="Arial"/>
          <w:sz w:val="18"/>
          <w:szCs w:val="18"/>
          <w:color w:val="auto"/>
        </w:rPr>
        <w:t>We rely on cash from operations as well as access to the financial markets to fund our operations, maintain liquidity and meet our financial obligations. Our operations are subject to many significant risks and uncertainties described in this “Risk Factors” section, including those related to generic competition and legal challenges that could impact our key products, including VASOSTRICT</w:t>
      </w:r>
      <w:r>
        <w:rPr>
          <w:rFonts w:ascii="Arial" w:cs="Arial" w:eastAsia="Arial" w:hAnsi="Arial"/>
          <w:sz w:val="23"/>
          <w:szCs w:val="23"/>
          <w:color w:val="auto"/>
          <w:vertAlign w:val="superscript"/>
        </w:rPr>
        <w:t>®</w:t>
      </w:r>
      <w:r>
        <w:rPr>
          <w:rFonts w:ascii="Arial" w:cs="Arial" w:eastAsia="Arial" w:hAnsi="Arial"/>
          <w:sz w:val="18"/>
          <w:szCs w:val="18"/>
          <w:color w:val="auto"/>
        </w:rPr>
        <w:t>, outstanding and future legal proceedings and governmental investigations, including those related to our sale, marketing and/or distribution of prescription opioid medications, and others. Any negative development or outcome in connection with any or all of these risks and uncertainties could result in significant consequences, including one or more of the following:</w:t>
      </w:r>
    </w:p>
    <w:p>
      <w:pPr>
        <w:ind w:left="900" w:right="240" w:hanging="244"/>
        <w:spacing w:after="0" w:line="255" w:lineRule="auto"/>
        <w:tabs>
          <w:tab w:leader="none" w:pos="8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causing a substantial portion of our cash flows from operations to be dedicated to the payment of legal or related expenses and therefore unavailable for other purposes, including the payment of principal and interest on our indebtedness, our operations, capital expenditures and future business opportunities;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900" w:right="300" w:hanging="244"/>
        <w:spacing w:after="0" w:line="255" w:lineRule="auto"/>
        <w:tabs>
          <w:tab w:leader="none" w:pos="8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our ability to adjust to changing market conditions, causing us to be more vulnerable to periods of negative or slow growth in the general economy or in our business, causing us to be unable to carry out capital spending that is important to our growth and placing us at a competitive disadvantage;</w:t>
      </w:r>
    </w:p>
    <w:p>
      <w:pPr>
        <w:spacing w:after="0" w:line="2" w:lineRule="exact"/>
        <w:rPr>
          <w:rFonts w:ascii="Arial" w:cs="Arial" w:eastAsia="Arial" w:hAnsi="Arial"/>
          <w:sz w:val="18"/>
          <w:szCs w:val="18"/>
          <w:color w:val="auto"/>
        </w:rPr>
      </w:pPr>
    </w:p>
    <w:p>
      <w:pPr>
        <w:ind w:left="900" w:hanging="244"/>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our ability to attract and retain key personnel;</w:t>
      </w:r>
    </w:p>
    <w:p>
      <w:pPr>
        <w:spacing w:after="0" w:line="9" w:lineRule="exact"/>
        <w:rPr>
          <w:rFonts w:ascii="Arial" w:cs="Arial" w:eastAsia="Arial" w:hAnsi="Arial"/>
          <w:sz w:val="18"/>
          <w:szCs w:val="18"/>
          <w:color w:val="auto"/>
        </w:rPr>
      </w:pPr>
    </w:p>
    <w:p>
      <w:pPr>
        <w:ind w:left="900" w:right="60" w:hanging="244"/>
        <w:spacing w:after="0" w:line="250" w:lineRule="auto"/>
        <w:tabs>
          <w:tab w:leader="none" w:pos="8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causing us to be unable to maintain compliance with or making it more difficult for us to satisfy our financial obligations under certain of our outstanding debt obligations, causing a downgrade of our debt and long-term corporate ratings (which could increase our cost of capital) and exposing us to potential events of default (if not cured or waived) under financial and operating covenants contained in our or our subsidiaries’ outstanding indebtedness;</w:t>
      </w:r>
    </w:p>
    <w:p>
      <w:pPr>
        <w:spacing w:after="0" w:line="1" w:lineRule="exact"/>
        <w:rPr>
          <w:rFonts w:ascii="Arial" w:cs="Arial" w:eastAsia="Arial" w:hAnsi="Arial"/>
          <w:sz w:val="18"/>
          <w:szCs w:val="18"/>
          <w:color w:val="auto"/>
        </w:rPr>
      </w:pPr>
    </w:p>
    <w:p>
      <w:pPr>
        <w:ind w:left="900" w:right="40" w:hanging="244"/>
        <w:spacing w:after="0" w:line="250" w:lineRule="auto"/>
        <w:tabs>
          <w:tab w:leader="none" w:pos="8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our ability to incur additional borrowings under the covenants in our then-existing facilities or to obtain additional debt or equity financing for working capital, capital expenditures, business development, debt service requirements, acquisitions or general corporate or other purposes, or to refinance our indebtedness; and/or</w:t>
      </w:r>
    </w:p>
    <w:p>
      <w:pPr>
        <w:spacing w:after="0" w:line="1" w:lineRule="exact"/>
        <w:rPr>
          <w:rFonts w:ascii="Arial" w:cs="Arial" w:eastAsia="Arial" w:hAnsi="Arial"/>
          <w:sz w:val="18"/>
          <w:szCs w:val="18"/>
          <w:color w:val="auto"/>
        </w:rPr>
      </w:pPr>
    </w:p>
    <w:p>
      <w:pPr>
        <w:ind w:left="900" w:right="220" w:hanging="244"/>
        <w:spacing w:after="0" w:line="260" w:lineRule="auto"/>
        <w:tabs>
          <w:tab w:leader="none" w:pos="8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causing a significant reduction in our short-term and long-term revenues and/or otherwise causing us to be unable to fund our operations and liquidity needs, such as future capital expenditures and payment of our indebtedness.</w:t>
      </w:r>
    </w:p>
    <w:p>
      <w:pPr>
        <w:spacing w:after="0" w:line="77"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The occurrence or possibility of any such result may cause us to engage in a strategic review that ultimately results in our pursuing one or more significant corporate transactions or remedial measures. Any such actions or measures could include reorganization or restructuring activities, asset sales or other divestitures, cost-saving initiatives or other corporate realignments, seeking strategic partnerships and exiting certain product or geographic markets. Additionally, we may need to refinance all or part of our then-existing indebtedness, reduce or delay capital expenditures or seek to raise additional capital. Any refinancing of our substantial indebtedness could be at significantly higher interest rates, which will depend on the conditions of the markets and our financial condition at such time, and may require us to comply with more onerous covenants, which could further restrict our business operations. Any refinancing may also increase the amount of our secured indebtedness. Negative developments in legal or other proceedings could also make it more difficult to consummate any of these transactions. In addition, the terms of existing or future debt agreements may restrict us from consummating any of these alternatives. Likewise, any reorganizations or restructuring activities, corporate realignments, asset sales or divestitures, strategic partnerships or other actions that we take may be complex, could entail significant costs and charges or could otherwise negatively impact shareholder value, and there can be no assurance that we will be able to accomplish any of these alternatives on terms acceptable to us, or at all, or that they will result in their intended benefits.</w:t>
      </w:r>
    </w:p>
    <w:p>
      <w:pPr>
        <w:spacing w:after="0" w:line="6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We have significant goodwill and other intangible assets. Consequently, potential impairments of goodwill and other intangibles may significantly impact our profitability.</w:t>
      </w:r>
    </w:p>
    <w:p>
      <w:pPr>
        <w:spacing w:after="0" w:line="58"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color w:val="auto"/>
        </w:rPr>
        <w:t>Goodwill and other intangibles represent a significant portion of our assets. As of December 31, 2020 and 2019, goodwill and other intangibles comprised approximately 68% and 66%, respectively, of our total assets. Goodwill and other indefinite-lived intangible assets are subject to impairment tests at least annually. Additionally, impairment tests must be performed for certain assets whenever events or changes in circumstances indicate such assets’ carrying amounts may not be recoverable.</w:t>
      </w:r>
    </w:p>
    <w:p>
      <w:pPr>
        <w:spacing w:after="0" w:line="79"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For the years ended December 31, 2020, 2019 and 2018, we recorded asset impairment charges of $0.1 billion, $0.5 billion and $0.9 billion, respectively, which related primarily to goodwill and other intangible assets. Refer to Note 11. Goodwill and Other Intangibles in the Consolidated Financial Statements included in Part IV, Item 15 of this report for examples and a discussion of material impairment tests and impairment charges during the years ended December 31, 2020, 2019 and 2018. The procedures and assumptions used in our goodwill and other intangible assets impairment testing are discussed in Part II, Item 7 of this report “Management’s Discussion and Analysis of Financial Condition and Results of Operations” under the caption “CRITICAL ACCOUNTING ESTIMATES” and in Note 11. Goodwill and Other Intangibles in the Consolidated Financial Statements included in Part IV, Item 15 of this report.</w:t>
      </w:r>
    </w:p>
    <w:p>
      <w:pPr>
        <w:spacing w:after="0" w:line="87"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Events giving rise to asset impairments are an inherent risk in the pharmaceutical industry and often cannot be predicted. As a result of the significance of goodwill and other intangible assets, our results of operations and financial position in future periods could be negatively impacted should additional impairments of our goodwill or other intangible assets occur.</w:t>
      </w:r>
    </w:p>
    <w:p>
      <w:pPr>
        <w:spacing w:after="0" w:line="72"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b w:val="1"/>
          <w:bCs w:val="1"/>
          <w:color w:val="auto"/>
        </w:rPr>
        <w:t>We have a substantial amount of indebtedness which could adversely affect our financial position and prevent us from fulfilling our obligations under such indebtedness, which may require us to refinance all or part of our then-outstanding indebtedness. Any refinancing of this substantial indebtedness could be at significantly higher interest rates. Additionally, we have a significant amount of floating rate indebtedness and an increase in interest rates would increase the cost of servicing our indebtedness. Despite our current level of indebtedness, we may still be able to incur substantially more indebtedness and increase the associated risks.</w:t>
      </w:r>
    </w:p>
    <w:p>
      <w:pPr>
        <w:spacing w:after="0" w:line="64" w:lineRule="exact"/>
        <w:rPr>
          <w:sz w:val="20"/>
          <w:szCs w:val="20"/>
          <w:color w:val="auto"/>
        </w:rPr>
      </w:pPr>
    </w:p>
    <w:p>
      <w:pPr>
        <w:ind w:right="220" w:firstLine="486"/>
        <w:spacing w:after="0" w:line="258" w:lineRule="auto"/>
        <w:rPr>
          <w:sz w:val="20"/>
          <w:szCs w:val="20"/>
          <w:color w:val="auto"/>
        </w:rPr>
      </w:pPr>
      <w:r>
        <w:rPr>
          <w:rFonts w:ascii="Arial" w:cs="Arial" w:eastAsia="Arial" w:hAnsi="Arial"/>
          <w:sz w:val="18"/>
          <w:szCs w:val="18"/>
          <w:color w:val="auto"/>
        </w:rPr>
        <w:t>We currently have a substantial amount of indebtedness. As of December 31, 2020, we have total debt of approximately $8.38 billion in aggregate principal amount. Our substantial indebtedness may:</w:t>
      </w:r>
    </w:p>
    <w:p>
      <w:pPr>
        <w:spacing w:after="0" w:line="1" w:lineRule="exact"/>
        <w:rPr>
          <w:sz w:val="20"/>
          <w:szCs w:val="20"/>
          <w:color w:val="auto"/>
        </w:rPr>
      </w:pPr>
    </w:p>
    <w:p>
      <w:pPr>
        <w:ind w:left="900" w:hanging="244"/>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make it difficult for us to satisfy our financial obligations, including making scheduled principal and interest payments on our indebtedness;</w:t>
      </w:r>
    </w:p>
    <w:p>
      <w:pPr>
        <w:spacing w:after="0" w:line="32" w:lineRule="exact"/>
        <w:rPr>
          <w:rFonts w:ascii="Arial" w:cs="Arial" w:eastAsia="Arial" w:hAnsi="Arial"/>
          <w:sz w:val="16"/>
          <w:szCs w:val="16"/>
          <w:color w:val="auto"/>
        </w:rPr>
      </w:pPr>
    </w:p>
    <w:p>
      <w:pPr>
        <w:ind w:left="900" w:hanging="244"/>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limit our ability to borrow additional funds for working capital, capital expenditures, acquisitions or other general business purposes;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900" w:right="560" w:hanging="244"/>
        <w:spacing w:after="0" w:line="258" w:lineRule="auto"/>
        <w:tabs>
          <w:tab w:leader="none" w:pos="8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our ability to use our cash flow or obtain additional financing for future working capital, capital expenditures, acquisitions or other general business purposes;</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expose us to the risk of rising interest rates with respect to the borrowings under our variable rate indebtedness;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us to use a substantial portion of our cash on hand and/or from future operations to make debt service payments;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less leveraged competitors; and</w:t>
      </w:r>
    </w:p>
    <w:p>
      <w:pPr>
        <w:spacing w:after="0" w:line="9" w:lineRule="exact"/>
        <w:rPr>
          <w:rFonts w:ascii="Arial" w:cs="Arial" w:eastAsia="Arial" w:hAnsi="Arial"/>
          <w:sz w:val="18"/>
          <w:szCs w:val="18"/>
          <w:color w:val="auto"/>
        </w:rPr>
      </w:pPr>
    </w:p>
    <w:p>
      <w:pPr>
        <w:ind w:left="900" w:right="240" w:hanging="244"/>
        <w:spacing w:after="0" w:line="260" w:lineRule="auto"/>
        <w:tabs>
          <w:tab w:leader="none" w:pos="8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and industry conditions, such as those resulting from the COVID-19 pandemic, which may further limit our ability to satisfy our financial obligations.</w:t>
      </w:r>
    </w:p>
    <w:p>
      <w:pPr>
        <w:spacing w:after="0" w:line="77" w:lineRule="exact"/>
        <w:rPr>
          <w:sz w:val="20"/>
          <w:szCs w:val="20"/>
          <w:color w:val="auto"/>
        </w:rPr>
      </w:pPr>
    </w:p>
    <w:p>
      <w:pPr>
        <w:ind w:right="80" w:firstLine="486"/>
        <w:spacing w:after="0" w:line="286" w:lineRule="auto"/>
        <w:rPr>
          <w:sz w:val="20"/>
          <w:szCs w:val="20"/>
          <w:color w:val="auto"/>
        </w:rPr>
      </w:pPr>
      <w:r>
        <w:rPr>
          <w:rFonts w:ascii="Arial" w:cs="Arial" w:eastAsia="Arial" w:hAnsi="Arial"/>
          <w:sz w:val="16"/>
          <w:szCs w:val="16"/>
          <w:color w:val="auto"/>
        </w:rPr>
        <w:t>If we are unable to pay amounts due under our outstanding indebtedness or to fund other liquidity needs, such as future capital expenditures or contingent liabilities as a result of adverse business developments, including expenses related to our ongoing and future legal proceedings and governmental investigations, decreased revenues or increased costs and expenses related to the impact of COVID-19 on our business, as well as increased pricing pressures or otherwise, we may be required to refinance all or part of our then-existing indebtedness, sell assets, reduce or delay capital expenditures or seek to raise additional capital, any of which could have a material adverse effect on our business, financial condition, results of operations and cash flows. There can be no assurance that we will be able to accomplish any of these alternatives on terms acceptable to us, or at all. Any refinancing of this substantial indebtedness could be at significantly higher interest rates, which will depend on the conditions of the markets and our financial condition at such time. In addition, we may be able to incur substantial additional indebtedness in the future, including secured indebtedness. If new indebtedness is added to our current debt levels, the related risks that we and our subsidiaries now face could intensify. At any time and from time to time, we may also be pursuing activities to extend our debt maturities, lower principal balances, reduce interest expense or obtain covenant flexibility. Activities could include, without limitation, one or more tender offers, exchange offers, debt-for-equity exchanges or consent solicitations. The terms of any such transactions, including the amount of any exchange consideration and terms of any refinanced debt, could be negatively impacted by a downgrade of our debt ratings or a decrease in investor interest, be less favorable than we have been able to obtain in the past or result in an increase in our total outstanding secured indebtedness. We cannot predict if or when we would conduct any such activities, whether any such activities will achieve their intended results or whether any such activities could impact our financial results or be dilutive.</w:t>
      </w:r>
    </w:p>
    <w:p>
      <w:pPr>
        <w:spacing w:after="0" w:line="59"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While interest rates have been at record low levels, this low interest rate environment likely will not continue indefinitely. At December 31, 2020, approximately $3.3 billion and $0.3 billion of principal amounts outstanding under the Term Loan Facility (as defined below) and the Revolving Credit Facility, respectively, bear interest at variable rates. Any future borrowings by the Company could also have variable interest rates. As a result, to the extent we have not hedged against rising interest rates, an increase in the applicable benchmark interest rates would increase our cost of servicing our indebtedness and could have a material adverse effect on our business, financial condition, results of operations and cash flows.</w:t>
      </w:r>
    </w:p>
    <w:p>
      <w:pPr>
        <w:spacing w:after="0" w:line="64"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Replacement of or changes in the method of determining LIBOR may materially adversely affect our interest expense related to our outstanding debt.</w:t>
      </w:r>
    </w:p>
    <w:p>
      <w:pPr>
        <w:spacing w:after="0" w:line="58" w:lineRule="exact"/>
        <w:rPr>
          <w:sz w:val="20"/>
          <w:szCs w:val="20"/>
          <w:color w:val="auto"/>
        </w:rPr>
      </w:pPr>
    </w:p>
    <w:p>
      <w:pPr>
        <w:jc w:val="both"/>
        <w:ind w:right="120" w:firstLine="486"/>
        <w:spacing w:after="0" w:line="286" w:lineRule="auto"/>
        <w:rPr>
          <w:sz w:val="20"/>
          <w:szCs w:val="20"/>
          <w:color w:val="auto"/>
        </w:rPr>
      </w:pPr>
      <w:r>
        <w:rPr>
          <w:rFonts w:ascii="Arial" w:cs="Arial" w:eastAsia="Arial" w:hAnsi="Arial"/>
          <w:sz w:val="17"/>
          <w:szCs w:val="17"/>
          <w:color w:val="auto"/>
        </w:rPr>
        <w:t>A significant portion of our outstanding indebtedness, including, at December 31, 2020, $3.3 billion outstanding under the Term Loan Facility and $0.3 billion outstanding under the Revolving Credit Facility, bears interest rates in relation to LIBOR. Any future amounts borrowed under the Term Loan Facility or Revolving Credit Facility would also bear interest rates in relation to LIBOR, depending on our interest election.</w:t>
      </w:r>
    </w:p>
    <w:p>
      <w:pPr>
        <w:spacing w:after="0" w:line="57"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On July 27, 2017, the Financial Conduct Authority (FCA) in the United Kingdom announced that it would phase out LIBOR as a benchmark by the end of 2021. On November 30, 2020, ICE Benchmark Administration, the administrator of LIBOR, with the support of the U.S. Federal Reserve and the FCA, announced plans to consult on ceasing publication of LIBOR on December 31, 2021 for only the one week and two month LIBOR tenors, and on June 30, 2023 for all other LIBOR tenors. While this announcement extends the transition period to June 2023, the U.S. Federal Reserve concurrently issued a statement advising banks to stop new LIBOR issuances by the end of 2021. The Alternative Reference Rates Committee (ARRC), a steering committee comprised of large U.S. financial institutions, has proposed replacing LIBOR with a new index calculated by short-term repurchase agreements (the Secured Overnight Financing Rate (SOFR)). At this time, no consensus exists as to what rate or rates may become accepted alternatives to LIBOR, and it is impossible to predict whether and to what extent banks will continue to provide LIBOR submissions to the administrator of LIBOR, whether LIBOR rates will cease to be published or supported before or after 2021 or whether any additional reforms to LIBOR may be enacted in the United Kingdom or elsewhere. Such developments and any other legal or regulatory changes in the method by which LIBOR is determined or the transition from LIBOR to a successor benchmark may result in, among other things, a sudden or prolonged increase or decrease in LIBOR, a delay in the publication of LIBOR and changes in the rules or methodologies in LIBOR, which may discourage market participants from continuing to administer or to participate in LIBOR’s determination and, in certain situations, could result in LIBOR no longer being determined and published.</w:t>
      </w:r>
    </w:p>
    <w:p>
      <w:pPr>
        <w:spacing w:after="0" w:line="66"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If LIBOR ceases to exist, we may need to renegotiate the Credit Agreement (as defined below) and we may not be able to do so on terms that are favorable to us. The overall financial market may be disrupted and there could be significant increases in benchmark rates or borrowing costs to borrowers as a result of the phase-out or replacement of LIBOR. Disruption in the financial market, significant increases in benchmark rates or borrowing costs or our inability to refinance the Credit Agreement with favorable terms could have a material adverse effect on our business, financial condition, results of operations and cash flows.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Covenants in our debt agreements restrict our business in many ways, a default of which may result in acceleration of certain of our indebtedness.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are subject to various covenants in the instruments governing our debt that limit our and/or our subsidiaries’ ability to, among other things:</w:t>
      </w:r>
    </w:p>
    <w:p>
      <w:pPr>
        <w:spacing w:after="0" w:line="35" w:lineRule="exact"/>
        <w:rPr>
          <w:sz w:val="20"/>
          <w:szCs w:val="20"/>
          <w:color w:val="auto"/>
        </w:rPr>
      </w:pPr>
    </w:p>
    <w:p>
      <w:pPr>
        <w:ind w:left="900" w:hanging="244"/>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incur or assume liens or additional debt or provide guarantees in respect of obligations of other persons;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 redeemable stock and preferred stock;</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dividends or distributions or redeem or repurchase capital stock;</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prepay, redeem or repurchase debt;</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loans, investments and capital expenditures;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our subsidiaries;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sell assets and capital stock of our subsidiaries;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enter into certain transactions with affiliates;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w:t>
      </w:r>
    </w:p>
    <w:p>
      <w:pPr>
        <w:spacing w:after="0" w:line="103"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A breach of any of these covenants could result in a default under our indebtedness. If there were an event of default under any of the agreements relating to our outstanding indebtedness, the holders of the defaulted debt could cause all amounts outstanding with respect to that debt to be due and payable immediately, terminate all commitments to extend further credit, foreclose against all the assets comprising the collateral securing or otherwise supporting the debt and pursue other legal remedies. The instruments governing our debt may contain cross-default or cross-acceleration provisions that may cause all of the debt issued under such instruments to become immediately due and payable as a result of a default under an unrelated debt instrument. Our assets and cash flows may be insufficient to fully repay borrowings under our outstanding debt instruments if the obligations thereunder were accelerated upon an event of default. We may need to conduct asset sales or pursue other alternatives, including proceedings under applicable insolvency laws relating to some or all of our business. The covenants are also subject to a number of exceptions, including the ability to incur certain additional amounts of secured and unsecured indebtedness, which could exacerbate any of these risks. Any or all of the above could have a material adverse effect on our business, financial condition, results of operations and cash flows. For a description of our indebtedness, see Note 15. Debt in the Consolidated Financial Statements included in Part IV, Item 15 of this report.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the anticipated benefits from our strategic actions.</w:t>
      </w:r>
    </w:p>
    <w:p>
      <w:pPr>
        <w:spacing w:after="0" w:line="121"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We continuously seek to optimize our operations and increase our overall efficiency through strategic actions. These actions may involve decisions to exit manufacturing or research sites, transfer the manufacture of products to other internal and external sites within our manufacturing network and simplify business process activities. For example, we announced plans on November 5, 2020 to optimize our generic retail business cost structure, transfer certain transaction processing activities to third-party global business process service providers and further integrate the Company’s commercial, operations and research and development functions, respectively. There can be no assurance that we will achieve the benefits and savings of such actions in the amounts and with the expected timing, if at all. We will also incur certain charges in connection with such actions and future costs could also be incurred. It is also possible that charges and cash expenditures associated with such actions could be higher than estimated. Any of these risks could ultimately have a material adverse effect on our business, financial condition, results of operations and cash flows.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Related Risks</w:t>
      </w:r>
    </w:p>
    <w:p>
      <w:pPr>
        <w:spacing w:after="0" w:line="11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Agreements between branded pharmaceutical companies and generic pharmaceutical companies are facing increased government scrutiny and private litigation in the U.S. and abroad.</w:t>
      </w:r>
    </w:p>
    <w:p>
      <w:pPr>
        <w:spacing w:after="0" w:line="58"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We are and may in the future be involved in patent litigations in which generic companies challenge the validity or enforceability of our products’ listed patents and/or the applicability of these patents to the generic applicant’s products. Likewise, we are and may in the future be involved in patent litigations in which we challenge the validity or enforceability of innovator companies’ listed patents and/or their applicability to our generic products. Therefore, settling patent litigations has been and is likely to continue to be part of our business. Parties to such settlement agreements in the U.S., including us, are required by law to file them with the U.S. Federal Trade Commission (FTC) and the Antitrust Division of the DOJ for review. In some instances, the FTC has brought actions against brand and generic companies that have entered into such agreements, alleging that they violate antitrust laws. Even in the absence of an FTC challenge, other governmental or private litigants may assert antitrust or other claims relating to such agreements. Accordingly, we may receive formal or informal requests from the FTC or other governmental entities for information about any such settlement agreement we enter into, and there is a risk that the FTC or other governmental or private litigants may commence an action against us alleging violation of antitrust laws or other claims.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61" w:lineRule="auto"/>
        <w:rPr>
          <w:sz w:val="20"/>
          <w:szCs w:val="20"/>
          <w:color w:val="auto"/>
        </w:rPr>
      </w:pPr>
      <w:r>
        <w:rPr>
          <w:rFonts w:ascii="Arial" w:cs="Arial" w:eastAsia="Arial" w:hAnsi="Arial"/>
          <w:sz w:val="17"/>
          <w:szCs w:val="17"/>
          <w:color w:val="auto"/>
        </w:rPr>
        <w:t xml:space="preserve">The U.S. Supreme Court, in </w:t>
      </w:r>
      <w:r>
        <w:rPr>
          <w:rFonts w:ascii="Arial" w:cs="Arial" w:eastAsia="Arial" w:hAnsi="Arial"/>
          <w:sz w:val="17"/>
          <w:szCs w:val="17"/>
          <w:i w:val="1"/>
          <w:iCs w:val="1"/>
          <w:color w:val="auto"/>
        </w:rPr>
        <w:t>FTC v. Actavis</w:t>
      </w:r>
      <w:r>
        <w:rPr>
          <w:rFonts w:ascii="Arial" w:cs="Arial" w:eastAsia="Arial" w:hAnsi="Arial"/>
          <w:sz w:val="17"/>
          <w:szCs w:val="17"/>
          <w:color w:val="auto"/>
        </w:rPr>
        <w:t>, determined that patent settlement agreements between generic and brand companies should be evaluated under the rule of reason, but provided limited guidance beyond the selection of this standard. Because the Supreme Court did not articulate the full range of criteria upon which a determination of the legality of such settlements would be based, or provide guidance on the precise circumstances under which such settlements would qualify as legal, there may be extensive litigation over what constitutes a reasonable and lawful patent settlement between a brand and generic company. For example, certain of our subsidiaries are subject to multiple lawsuits, including proposed class actions, brought by direct and indirect purchasers alleging that a patent settlement agreement with Impax Laboratories, LLC (now Amneal) regarding OPANA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ER was unlawful in violation of federal antitrust laws and various state laws. In January 2021, the FTC filed a lawsuit against us, Endo Pharmaceuticals Inc. (EPI), Impax Laboratories, LLC and Amneal Pharmaceuticals, Inc. generally alleging that the settlement of a contract dispute constitutes unfair competition in violation of federal antitrust laws. See Note 16. Commitments and Contingencies in the Consolidated Financial Statements included in Part IV, Item 15 of this report for more information.</w:t>
      </w:r>
    </w:p>
    <w:p>
      <w:pPr>
        <w:spacing w:after="0" w:line="80"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 xml:space="preserve">There have been federal and state legislative efforts to overturn the </w:t>
      </w:r>
      <w:r>
        <w:rPr>
          <w:rFonts w:ascii="Arial" w:cs="Arial" w:eastAsia="Arial" w:hAnsi="Arial"/>
          <w:sz w:val="17"/>
          <w:szCs w:val="17"/>
          <w:i w:val="1"/>
          <w:iCs w:val="1"/>
          <w:color w:val="auto"/>
        </w:rPr>
        <w:t>FTC v. Actavis</w:t>
      </w:r>
      <w:r>
        <w:rPr>
          <w:rFonts w:ascii="Arial" w:cs="Arial" w:eastAsia="Arial" w:hAnsi="Arial"/>
          <w:sz w:val="17"/>
          <w:szCs w:val="17"/>
          <w:color w:val="auto"/>
        </w:rPr>
        <w:t xml:space="preserve"> decision and make certain terms in patent settlement agreements </w:t>
      </w:r>
      <w:r>
        <w:rPr>
          <w:rFonts w:ascii="Arial" w:cs="Arial" w:eastAsia="Arial" w:hAnsi="Arial"/>
          <w:sz w:val="17"/>
          <w:szCs w:val="17"/>
          <w:i w:val="1"/>
          <w:iCs w:val="1"/>
          <w:color w:val="auto"/>
        </w:rPr>
        <w:t xml:space="preserve">per se </w:t>
      </w:r>
      <w:r>
        <w:rPr>
          <w:rFonts w:ascii="Arial" w:cs="Arial" w:eastAsia="Arial" w:hAnsi="Arial"/>
          <w:sz w:val="17"/>
          <w:szCs w:val="17"/>
          <w:color w:val="auto"/>
        </w:rPr>
        <w:t>unlawful. For example, some members of the U.S. Congress have proposed legislation that would limit the types of settlement agreements generic</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manufacturers and brand companies can enter into. The state of California enacted legislation, effective January 1, 2020, that deems a settlement of a patent infringement claim to be presumptively anticompetitive and allows the California Attorney General to seek monetary penalties if a generic company receives anything of value from the branded company and the generic company agrees to delay research and development, manufacturing, marketing or sales of the generic product for any period of time. The California law carves out from the definition of “anything of value” certain types of settlement terms and it allows the settling parties to rebut the presumption of anticompetitive harm.</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various laws and regulations pertaining to the marketing of our products and services.</w:t>
      </w:r>
    </w:p>
    <w:p>
      <w:pPr>
        <w:spacing w:after="0" w:line="121"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The marketing and pricing of our products and services, including product promotion, educational activities, support of continuing medical education programs and other interactions with healthcare professionals, are governed by various laws and regulations, including FDA regulations and the Anti-Kickback Statute. Additionally, many states have adopted laws similar to the Anti-Kickback Statute, without identical exceptions or exemptions. Some of these state prohibitions apply to referral of patients for healthcare items or services reimbursed by any third-party payer, not only the Medicare and Medicaid programs. Any such regulations or requirements could be difficult and expensive for us to comply with, could delay our introduction of new products and could have a material adverse effect on our business, financial condition, results of operations and cash flows.</w:t>
      </w:r>
    </w:p>
    <w:p>
      <w:pPr>
        <w:spacing w:after="0" w:line="70"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Sanctions for violating these laws include criminal penalties and civil sanctions and possible exclusion from federally funded healthcare programs such as Medicare and Medicaid, as well as potential liability under the False Claims Act and applicable state false claims acts. There can be no assurance that our practices will not be challenged under these laws in the future, that changes in these laws or interpretation of these laws would not give rise to new challenges of our practices or that any such challenge would not have a material adverse effect on our business, financial condition, results of operations and cash flows. Law enforcement agencies sometimes initiate investigations into sales, marketing and/or pricing practices based on preliminary information or evidence, and such investigations can be and often are closed without any enforcement action. Nevertheless, these types of investigations and any related litigation can result in: (i) large expenditures of cash for legal fees, payment of penalties and compliance activities; (ii) limitations on operations; (iii) diversion of management resources; (iv) injury to our reputation; and (v) decreased demand for our products.</w:t>
      </w:r>
    </w:p>
    <w:p>
      <w:pPr>
        <w:spacing w:after="0" w:line="5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The FFDCA and FDA regulations and guidance restrict the ability of healthcare companies, such as our company, to communicate with patients, physicians and other third-parties about uses of prescription pharmaceuticals or devices that are not cleared or approved by the FDA, which are commonly referred to as “off-label” uses. Prohibitions on the promotion of off-label uses and against promotional practices deemed false or misleading are actively enforced by various parties at both the federal and state levels. A company that is found to have improperly promoted its products under these laws may be subject to significant liability, such as significant administrative, civil and criminal sanctions including, but not limited to, significant civil damages, criminal fines and exclusion from participation in Medicare, Medicaid and other federal healthcare programs. Applicable laws governing product promotion also provide for administrative, civil and criminal liability for individuals, including, in some circumstances, potential strict vicarious liability. Conduct giving rise to such liability could also form the basis for private civil litigation by third-party payers or other persons allegedly harmed by such conduct.</w:t>
      </w:r>
    </w:p>
    <w:p>
      <w:pPr>
        <w:spacing w:after="0" w:line="88" w:lineRule="exact"/>
        <w:rPr>
          <w:sz w:val="20"/>
          <w:szCs w:val="20"/>
          <w:color w:val="auto"/>
        </w:rPr>
      </w:pPr>
    </w:p>
    <w:p>
      <w:pPr>
        <w:ind w:right="220" w:firstLine="486"/>
        <w:spacing w:after="0" w:line="279" w:lineRule="auto"/>
        <w:rPr>
          <w:sz w:val="20"/>
          <w:szCs w:val="20"/>
          <w:color w:val="auto"/>
        </w:rPr>
      </w:pPr>
      <w:r>
        <w:rPr>
          <w:rFonts w:ascii="Arial" w:cs="Arial" w:eastAsia="Arial" w:hAnsi="Arial"/>
          <w:sz w:val="17"/>
          <w:szCs w:val="17"/>
          <w:color w:val="auto"/>
        </w:rPr>
        <w:t>We have established and implemented a corporate compliance program designed to prevent, detect and correct violations of state and federal healthcare laws, including laws related to advertising and promotion of our products. Nonetheless, governmental agencies or private parties may take the position that we are not in compliance with such requirements and, if such non-compliance is proven, the Company and, in some cases, individual employees, may be subject to significant liability, including the aforementioned administrative, civil and criminal sanctions.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50" w:lineRule="auto"/>
        <w:rPr>
          <w:sz w:val="20"/>
          <w:szCs w:val="20"/>
          <w:color w:val="auto"/>
        </w:rPr>
      </w:pPr>
      <w:r>
        <w:rPr>
          <w:rFonts w:ascii="Arial" w:cs="Arial" w:eastAsia="Arial" w:hAnsi="Arial"/>
          <w:sz w:val="17"/>
          <w:szCs w:val="17"/>
          <w:color w:val="auto"/>
        </w:rPr>
        <w:t>In February 2014, EPI entered into a Deferred Prosecution Agreement and a Corporate Integrity Agreement (CIA) with the U.S. Department of Health and Human Services to resolve allegations regarding the promotion of LIDODERM</w:t>
      </w:r>
      <w:r>
        <w:rPr>
          <w:rFonts w:ascii="Arial" w:cs="Arial" w:eastAsia="Arial" w:hAnsi="Arial"/>
          <w:sz w:val="22"/>
          <w:szCs w:val="22"/>
          <w:color w:val="auto"/>
          <w:vertAlign w:val="superscript"/>
        </w:rPr>
        <w:t>®</w:t>
      </w:r>
      <w:r>
        <w:rPr>
          <w:rFonts w:ascii="Arial" w:cs="Arial" w:eastAsia="Arial" w:hAnsi="Arial"/>
          <w:sz w:val="17"/>
          <w:szCs w:val="17"/>
          <w:color w:val="auto"/>
        </w:rPr>
        <w:t>. In March 2013, our subsidiary Par Pharmaceutical Companies, Inc. (PPCI) entered into a CIA and plea agreement with the DOJ to resolve allegations regarding the promotion of MEGACE</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xml:space="preserve"> ES, which was subsequently subsumed by EPI’s CIA. Those agreements placed certain obligations on us related to the marketing of our pharmaceutical products and our healthcare regulatory compliance program, including reporting requirements to the U.S. government, detailed requirements for our compliance program, code of conduct and policies and procedures and the requirement to engage an Independent Review Organization. We have implemented procedures and practices to comply with the CIAs, including the engagement of an Independent Review Organization. In February 2020, Endo was notified that it had satisfied its CIA requirements and the 5-year term of Endo’s CIA has now concluded.</w:t>
      </w:r>
    </w:p>
    <w:p>
      <w:pPr>
        <w:spacing w:after="0" w:line="83" w:lineRule="exact"/>
        <w:rPr>
          <w:sz w:val="20"/>
          <w:szCs w:val="20"/>
          <w:color w:val="auto"/>
        </w:rPr>
      </w:pPr>
    </w:p>
    <w:p>
      <w:pPr>
        <w:ind w:right="540"/>
        <w:spacing w:after="0" w:line="312" w:lineRule="auto"/>
        <w:rPr>
          <w:sz w:val="20"/>
          <w:szCs w:val="20"/>
          <w:color w:val="auto"/>
        </w:rPr>
      </w:pPr>
      <w:r>
        <w:rPr>
          <w:rFonts w:ascii="Arial" w:cs="Arial" w:eastAsia="Arial" w:hAnsi="Arial"/>
          <w:sz w:val="17"/>
          <w:szCs w:val="17"/>
          <w:b w:val="1"/>
          <w:bCs w:val="1"/>
          <w:color w:val="auto"/>
        </w:rPr>
        <w:t>The pharmaceutical industry is heavily regulated, which creates uncertainty about our ability to bring new products to market and imposes substantial compliance costs on our business, including withdrawal or suspension of existing products.</w:t>
      </w:r>
    </w:p>
    <w:p>
      <w:pPr>
        <w:spacing w:after="0" w:line="36"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Governmental authorities including without limitation the FDA impose substantial requirements on the development, manufacture, holding, labeling, marketing, advertising, promotion, distribution and sale of therapeutic pharmaceutical products. See “Governmental Regulation” in Part I, Item 1.</w:t>
      </w:r>
    </w:p>
    <w:p>
      <w:pPr>
        <w:spacing w:after="0" w:line="16" w:lineRule="exact"/>
        <w:rPr>
          <w:sz w:val="20"/>
          <w:szCs w:val="20"/>
          <w:color w:val="auto"/>
        </w:rPr>
      </w:pPr>
    </w:p>
    <w:p>
      <w:pPr>
        <w:ind w:right="60" w:firstLine="486"/>
        <w:spacing w:after="0" w:line="268" w:lineRule="auto"/>
        <w:rPr>
          <w:sz w:val="20"/>
          <w:szCs w:val="20"/>
          <w:color w:val="auto"/>
        </w:rPr>
      </w:pPr>
      <w:r>
        <w:rPr>
          <w:rFonts w:ascii="Arial" w:cs="Arial" w:eastAsia="Arial" w:hAnsi="Arial"/>
          <w:sz w:val="17"/>
          <w:szCs w:val="17"/>
          <w:color w:val="auto"/>
        </w:rPr>
        <w:t>Regulatory approvals for the sale of any new product candidate may require preclinical studies and clinical trials that such product candidate is safe and effective for its intended use. Preclinical and clinical studies may fail to demonstrate the safety and effectiveness of a product candidate. Likewise, we may not be able to demonstrate through clinical trials that a product candidate’s therapeutic benefits outweigh its risks. Even promising results from preclinical and early clinical studies do not always accurately predict results in later, large-scale trials. A failure to demonstrate safety and efficacy would result in our failure to obtain regulatory approvals. Clinical trials can be delayed for reasons outside of our control, which can lead to increased development costs and delays in regulatory approval. For example, there is substantial competition to enroll patients in clinical trials, and such competition has delayed clinical development of our products in the past. For example, patients could enroll in clinical trials more slowly than expected or could drop out before or during clinical trials. In addition, we may rely on collaboration partners that may control or make changes in trial protocol and design enhancements, or encounter clinical trial compliance-related issues, which may also delay clinical trials. Product supplies may be delayed or insufficient to treat the patients participating in the clinical trials, and manufacturers or suppliers may not meet the requirements of the FDA or foreign regulatory authorities, such as those relating to cGMP. We also may experience delays in obtaining, or we may not obtain, required initial and continuing approval of our clinical trials from institutional review boards. We may experience delays or undesired results in any of our clinical trials. These risks could be further exacerbated by the impact of COVID-19.</w:t>
      </w:r>
    </w:p>
    <w:p>
      <w:pPr>
        <w:spacing w:after="0" w:line="78"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Compliance with clinical trial requirements and cGMP regulations requires significant expenditures and the dedication of substantial resources. The FDA may place a hold on a clinical trial and may cause a suspension or withdrawal of product approvals if regulatory standards are not maintained. In the event an approved manufacturing facility for a particular drug is required by the FDA to curtail or cease operations, or otherwise becomes inoperable, or a third party contract manufacturing facility faces manufacturing problems, obtaining the required FDA authorization to manufacture at the same or a different manufacturing site could result in production delays, which could have a material adverse effect on our business, financial condition, results of operations and cash flows.</w:t>
      </w:r>
    </w:p>
    <w:p>
      <w:pPr>
        <w:spacing w:after="0" w:line="84"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Additional delays may result if an FDA advisory committee or other regulatory authority recommends non-approval or restrictions on approval. Although the FDA is not required to follow the recommendations of its advisory committees, it usually does. A negative advisory committee meeting could signal a lower likelihood of approval, although the FDA may still end up approving our application. Regardless of an advisory committee meeting outcome or the FDA’s final approval decision, public presentation of our data may shed positive or negative light on our application.</w:t>
      </w:r>
    </w:p>
    <w:p>
      <w:pPr>
        <w:spacing w:after="0" w:line="63"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may seek FDA approval for certain unapproved marketed products through the 505(b)(2) regulatory pathway. See “Governmental Regulation” in Part I, Item 1. Even if we receive approval for an NDA under section 505(b)(2) of the FFDCA, the FDA may not take timely enforcement action against companies marketing unapproved versions of the product; therefore, we cannot be sure that that we will receive the benefit of any de facto exclusive marketing period or that we will fully recoup the expenses incurred to obtain an approval. In addition, certain competitors and others have objected to the FDA’s interpretation of Section 505(b)(2). If the FDA’s interpretation of Section 505(b)(2) is successfully challenged, this could delay or even prevent the FDA from approving any NDA that we submit under Section 505(b)(2).</w:t>
      </w:r>
    </w:p>
    <w:p>
      <w:pPr>
        <w:spacing w:after="0" w:line="84"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ANDA approval process for a new product varies in time, generally requiring a minimum of 10 months following submission of the ANDA to FDA, but could also take several years from the date of application. The timing for the ANDA approval process for generic products is difficult to estimate and can vary significantly. ANDA approvals, if granted, may not include all uses (known as indications) for which a company may seek to market a product.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The submission of an NDA, Supplemental New Drug Application (sNDA), ANDA, BLA or sBLA to the FDA with supporting clinical safety and efficacy data does not guarantee that the FDA will grant approval to market the product. Meeting the FDA’s regulatory requirements to obtain approval to market a drug product, which vary substantially based on the type, complexity and novelty of the product candidate, typically takes years, if approved at all, and is subject to uncertainty. The FDA or foreign regulatory authorities may not agree with our assessment of the clinical data or they may interpret it differently. Such regulatory authorities may require additional or expanded clinical trials. Any approval by regulatory agencies may subject the marketing of our products to certain limits on indicated use. For example, regulatory authorities may approve any of our product candidates for fewer or more limited indications than we may request, may grant approval contingent on conditions such as the performance and results of costly post-marketing clinical trials or REMS or may approve a product candidate with a label that does not include the labeling claims necessary or desirable for the successful commercialization of that product candidate. Additionally, reimbursement by government payers or other payers may not be approved at the price we intend to charge for our products. Any limitation on use imposed by the FDA or delay in or failure to obtain FDA approvals or clearances of products developed by us would adversely affect the marketing of these products and our ability to generate product revenue. We could also be at risk for the value of any capitalized pre-launch inventories related to products under development. The factors could have a material adverse effect on our business, financial condition, results of operations and cash flows.</w:t>
      </w:r>
    </w:p>
    <w:p>
      <w:pPr>
        <w:spacing w:after="0" w:line="78"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Once a product is approved or cleared for marketing, failure to comply with applicable regulatory requirements can result in, among other things, suspensions or withdrawals of approvals or clearances; seizures or recalls of products; injunctions against the manufacture, holding, distribution, marketing and sale of a product; and civil and criminal sanctions. For example, any failure to effectively identify, analyze, report and protect adverse event data and/or to fully comply with relevant laws, rules and regulations around adverse event reporting could expose the Company to legal proceedings, penalties, fines and reputational damage. Furthermore, changes in existing regulations or the adoption of new regulations could prevent us from obtaining, or affect the timing of, future regulatory approvals or clearances. Meeting regulatory requirements and evolving government standards may delay marketing of our new products for a considerable period of time, impose costly procedures upon our activities and result in a competitive advantage to other companies that compete against us.</w:t>
      </w:r>
    </w:p>
    <w:p>
      <w:pPr>
        <w:spacing w:after="0" w:line="70"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In addition, after a product is approved or cleared for marketing, new data and information, including information about product misuse or abuse at the user level, may lead government agencies, professional societies, practice management groups or patient or trade organizations to recommend or publish guidance or guidelines related to the use of our products, which may lead to reduced sales of our products. For example, in May 2016, an FDA advisory panel recommended mandatory training of all physicians who prescribe opioids on the risks of prescription opioids. In 2016, the Centers for Disease Control and Prevention also issued a guideline for prescribing opioids for chronic pain that provides recommendations for primary care clinicians prescribing opioids for chronic pain outside of active cancer treatment, palliative care and end-of-life care. In addition, state health departments and boards of pharmacy have authority to regulate distribution and may modify their regulations with respect to prescription opioid medications in an attempt to curb abuse. These or any new regulations or requirements could be difficult and expensive for us to comply with and could have a material adverse effect on our business, financial condition, results of operations and cash flows.</w:t>
      </w:r>
    </w:p>
    <w:p>
      <w:pPr>
        <w:spacing w:after="0" w:line="73"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The FDA scheduled a Joint Meeting of the Drug Safety and Risk Management Advisory Committee and the Anesthetic and Analgesic Drug Products Advisory Committee in March 2017 to discuss pre- and post-marketing data about the abuse of OPANA</w:t>
      </w:r>
      <w:r>
        <w:rPr>
          <w:rFonts w:ascii="Arial" w:cs="Arial" w:eastAsia="Arial" w:hAnsi="Arial"/>
          <w:sz w:val="9"/>
          <w:szCs w:val="9"/>
          <w:color w:val="auto"/>
        </w:rPr>
        <w:t>®</w:t>
      </w:r>
      <w:r>
        <w:rPr>
          <w:rFonts w:ascii="Arial" w:cs="Arial" w:eastAsia="Arial" w:hAnsi="Arial"/>
          <w:sz w:val="17"/>
          <w:szCs w:val="17"/>
          <w:color w:val="auto"/>
        </w:rPr>
        <w:t xml:space="preserve"> ER and the overall risk-benefit of this product. The advisory committees were also scheduled to discuss abuse of generic oxymorphone ER and oxymorphone immediate-release products. In March 2017, the advisory committees voted 18 to eight, with one abstention, that the benefits of reformulated OPANA</w:t>
      </w:r>
      <w:r>
        <w:rPr>
          <w:rFonts w:ascii="Arial" w:cs="Arial" w:eastAsia="Arial" w:hAnsi="Arial"/>
          <w:sz w:val="9"/>
          <w:szCs w:val="9"/>
          <w:color w:val="auto"/>
        </w:rPr>
        <w:t>®</w:t>
      </w:r>
      <w:r>
        <w:rPr>
          <w:rFonts w:ascii="Arial" w:cs="Arial" w:eastAsia="Arial" w:hAnsi="Arial"/>
          <w:sz w:val="17"/>
          <w:szCs w:val="17"/>
          <w:color w:val="auto"/>
        </w:rPr>
        <w:t xml:space="preserve"> ER no longer outweigh its risks. While several of the advisory committee members acknowledged the role of OPANA</w:t>
      </w:r>
      <w:r>
        <w:rPr>
          <w:rFonts w:ascii="Arial" w:cs="Arial" w:eastAsia="Arial" w:hAnsi="Arial"/>
          <w:sz w:val="9"/>
          <w:szCs w:val="9"/>
          <w:color w:val="auto"/>
        </w:rPr>
        <w:t>®</w:t>
      </w:r>
      <w:r>
        <w:rPr>
          <w:rFonts w:ascii="Arial" w:cs="Arial" w:eastAsia="Arial" w:hAnsi="Arial"/>
          <w:sz w:val="17"/>
          <w:szCs w:val="17"/>
          <w:color w:val="auto"/>
        </w:rPr>
        <w:t xml:space="preserve"> ER in clinical practice, others believed its benefits were overshadowed by the continuing public health concerns around the product’s misuse, abuse and diversion. In June 2017, the FDA requested that we voluntarily withdraw OPANA</w:t>
      </w:r>
      <w:r>
        <w:rPr>
          <w:rFonts w:ascii="Arial" w:cs="Arial" w:eastAsia="Arial" w:hAnsi="Arial"/>
          <w:sz w:val="9"/>
          <w:szCs w:val="9"/>
          <w:color w:val="auto"/>
        </w:rPr>
        <w:t>®</w:t>
      </w:r>
      <w:r>
        <w:rPr>
          <w:rFonts w:ascii="Arial" w:cs="Arial" w:eastAsia="Arial" w:hAnsi="Arial"/>
          <w:sz w:val="17"/>
          <w:szCs w:val="17"/>
          <w:color w:val="auto"/>
        </w:rPr>
        <w:t xml:space="preserve"> ER from the market and, in July 2017, after careful consideration and consultation with the FDA, we decided to voluntarily remove OPANA</w:t>
      </w:r>
      <w:r>
        <w:rPr>
          <w:rFonts w:ascii="Arial" w:cs="Arial" w:eastAsia="Arial" w:hAnsi="Arial"/>
          <w:sz w:val="9"/>
          <w:szCs w:val="9"/>
          <w:color w:val="auto"/>
        </w:rPr>
        <w:t>®</w:t>
      </w:r>
      <w:r>
        <w:rPr>
          <w:rFonts w:ascii="Arial" w:cs="Arial" w:eastAsia="Arial" w:hAnsi="Arial"/>
          <w:sz w:val="17"/>
          <w:szCs w:val="17"/>
          <w:color w:val="auto"/>
        </w:rPr>
        <w:t xml:space="preserve"> ER from the market to the Company’s financial detriment. During the second quarter of 2017, we began to work with the FDA to coordinate an orderly withdrawal of the product from the market. By September 1, 2017, we ceased shipments of OPANA</w:t>
      </w:r>
      <w:r>
        <w:rPr>
          <w:rFonts w:ascii="Arial" w:cs="Arial" w:eastAsia="Arial" w:hAnsi="Arial"/>
          <w:sz w:val="9"/>
          <w:szCs w:val="9"/>
          <w:color w:val="auto"/>
        </w:rPr>
        <w:t>®</w:t>
      </w:r>
      <w:r>
        <w:rPr>
          <w:rFonts w:ascii="Arial" w:cs="Arial" w:eastAsia="Arial" w:hAnsi="Arial"/>
          <w:sz w:val="17"/>
          <w:szCs w:val="17"/>
          <w:color w:val="auto"/>
        </w:rPr>
        <w:t xml:space="preserve"> ER to customers and the FDA withdrew the NDA in December 2020. These actions had an adverse effect on our revenues and, as a result of these actions, we incurred certain charges. Actions similar to these, such as recalls or withdrawals, could divert management time and attention, reduce market acceptance of all of our products, harm our reputation, reduce our revenues, lead to additional charges or expenses or result in product liability claims, any of which could have a material adverse effect on our business, financial condition, results of operations and cash flows.</w:t>
      </w:r>
    </w:p>
    <w:p>
      <w:pPr>
        <w:spacing w:after="0" w:line="78"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Based on scientific developments, post-market experience, legislative or regulatory changes or other factors, the current FDA standards of review for approving new pharmaceutical products, or new indications or uses for approved or cleared products, are sometimes more stringent than those that were applied in the past.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Some new or evolving FDA review standards or conditions for approval or clearance were not applied to many established products currently on the market, including certain opioid products. As a result, the FDA does not have safety databases on these products that are as extensive as some products developed more recently. Accordingly, we believe the FDA may develop such databases for certain of these products, including many opioids. In particular, the FDA has expressed interest in specific chemical structures that may be present as impurities in a number of opioid narcotic APIs, such as oxycodone, which, based on certain structural characteristics and laboratory tests, may indicate the potential for having mutagenic effects. The FDA has required, and may continue to require, more stringent controls of the levels of these or other impurities in products.</w:t>
      </w:r>
    </w:p>
    <w:p>
      <w:pPr>
        <w:spacing w:after="0" w:line="70" w:lineRule="exact"/>
        <w:rPr>
          <w:sz w:val="20"/>
          <w:szCs w:val="20"/>
          <w:color w:val="auto"/>
        </w:rPr>
      </w:pPr>
    </w:p>
    <w:p>
      <w:pPr>
        <w:ind w:right="240" w:firstLine="486"/>
        <w:spacing w:after="0" w:line="301" w:lineRule="auto"/>
        <w:rPr>
          <w:sz w:val="20"/>
          <w:szCs w:val="20"/>
          <w:color w:val="auto"/>
        </w:rPr>
      </w:pPr>
      <w:r>
        <w:rPr>
          <w:rFonts w:ascii="Arial" w:cs="Arial" w:eastAsia="Arial" w:hAnsi="Arial"/>
          <w:sz w:val="16"/>
          <w:szCs w:val="16"/>
          <w:color w:val="auto"/>
        </w:rPr>
        <w:t>Also, the FDA may require labeling revisions, formulation or manufacturing changes and/or product modifications for new or existing products containing impurities. More stringent requirements, together with any additional testing or remedial measures that may be necessary, could result in increased costs for, or delays in, obtaining approvals. Although we do not believe that the FDA would seek to remove a currently marketed product from the market unless the effects of alleged impurities are believed to indicate a significant risk to patient health, we cannot make any such assurance.</w:t>
      </w:r>
    </w:p>
    <w:p>
      <w:pPr>
        <w:spacing w:after="0" w:line="49"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The FDA’s exercise of its authority under the FFDCA could result in delays or increased costs during product development, clinical trials and regulatory review, increased costs to comply with additional post-approval regulatory requirements and potential restrictions on sales of approved products. For example, in 2015, the FDA sent letters to a number of manufacturers, including Endo, requiring that a randomized, double-blind, placebo-controlled clinical trial be conducted to evaluate the effect of TRT on the incidence of major adverse cardiovascular events in men. The letter received by Endo required that we include new safety information in the labeling and Medication Guide for certain prescription medications containing testosterone, such as TESTIM</w:t>
      </w:r>
      <w:r>
        <w:rPr>
          <w:rFonts w:ascii="Arial" w:cs="Arial" w:eastAsia="Arial" w:hAnsi="Arial"/>
          <w:sz w:val="10"/>
          <w:szCs w:val="10"/>
          <w:color w:val="auto"/>
        </w:rPr>
        <w:t>®</w:t>
      </w:r>
      <w:r>
        <w:rPr>
          <w:rFonts w:ascii="Arial" w:cs="Arial" w:eastAsia="Arial" w:hAnsi="Arial"/>
          <w:sz w:val="18"/>
          <w:szCs w:val="18"/>
          <w:color w:val="auto"/>
        </w:rPr>
        <w:t>.</w:t>
      </w:r>
    </w:p>
    <w:p>
      <w:pPr>
        <w:spacing w:after="0" w:line="84"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Post-marketing studies and other emerging data about marketed products, such as adverse event reports, may adversely affect sales of our products. Furthermore, the discovery of significant safety or efficacy concerns or problems with a product in the same therapeutic class as one of our products that implicate or appear to implicate the entire class of products could have an adverse effect on sales of our product or, in some cases, result in product withdrawals. The FDA has continuing authority over the approval of an NDA, ANDA or BLA and may withdraw approval if, among other reasons, post-marketing clinical or other experience, tests or data show that a product is unsafe for use under the conditions upon which it was approved or licensed, or if FDA determines that there is a lack of substantial evidence of the product’s efficacy under the conditions described in its labeling.</w:t>
      </w:r>
    </w:p>
    <w:p>
      <w:pPr>
        <w:spacing w:after="0" w:line="56"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In addition to the FDA and other U.S. regulatory agencies, non-U.S. regulatory agencies may have authority over various aspects of our business and may impose additional requirements and costs. Similar to other healthcare companies, our facilities in multiple countries across the full range of our business units are subject to routine and new-product related inspections by regulatory authorities including the FDA, the Medicines and Healthcare products Regulatory Agency, the Health Products Regulatory Authority and Health Canada. In the past, some of these inspections have resulted in inspection observations (including FDA Form 483 observations). Future inspections may result in additional inspection observations or other corrective actions, which could have a material adverse effect on our business, financial condition, results of operations and cash flows.</w:t>
      </w:r>
    </w:p>
    <w:p>
      <w:pPr>
        <w:spacing w:after="0" w:line="70"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Certain of our core products contain controlled substances. Stringent DEA and other governmental regulations on our use of controlled substances include restrictions on their use in research, manufacture, distribution and storage. A breach of these regulations could result in imposition of civil penalties, refusal to renew or action to revoke necessary registrations, or other restrictions on operations involving controlled substances. In addition, failure to comply with applicable legal requirements could subject the manufacturing facilities of our subsidiaries and manufacturing partners to possible legal or regulatory action, including shutdown. Any such shutdown may adversely affect their ability to manufacture or supply product and thus, our ability to market affected products. This could have a material adverse effect on our business, financial condition, results of operations and cash flows. See also the risk described under the caption “The DEA limits the availability of the active ingredients used in many of our products as well as the production of these products, and, as a result, our procurement and production quotas may not be sufficient to meet commercial demand or complete clinical trials.”</w:t>
      </w:r>
    </w:p>
    <w:p>
      <w:pPr>
        <w:spacing w:after="0" w:line="57" w:lineRule="exact"/>
        <w:rPr>
          <w:sz w:val="20"/>
          <w:szCs w:val="20"/>
          <w:color w:val="auto"/>
        </w:rPr>
      </w:pPr>
    </w:p>
    <w:p>
      <w:pPr>
        <w:ind w:right="80" w:firstLine="486"/>
        <w:spacing w:after="0" w:line="301" w:lineRule="auto"/>
        <w:rPr>
          <w:sz w:val="20"/>
          <w:szCs w:val="20"/>
          <w:color w:val="auto"/>
        </w:rPr>
      </w:pPr>
      <w:r>
        <w:rPr>
          <w:rFonts w:ascii="Arial" w:cs="Arial" w:eastAsia="Arial" w:hAnsi="Arial"/>
          <w:sz w:val="16"/>
          <w:szCs w:val="16"/>
          <w:color w:val="auto"/>
        </w:rPr>
        <w:t>In addition, we are subject to the Federal Drug Supply Chain Security Act (DSCSA) enacted by the U.S. government, which requires development of an electronic pedigree to track and trace each prescription product at the salable unit level through the distribution system. The DSCSA will be effective incrementally over a 10-year period from its enactment on November 27, 2013. Compliance with DSCSA and future U.S. federal or state electronic pedigree requirements could require significant capital expenditures, increase our operating costs and impose significant administrative burdens.</w:t>
      </w:r>
    </w:p>
    <w:p>
      <w:pPr>
        <w:spacing w:after="0" w:line="49"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We cannot determine what effect changes in laws, regulations or legal interpretations or requirements by the FDA, the courts or others, when and if promulgated or issued, or advisory committee meetings may have on our business in the future. Changes could, among other things, require expanded or different labeling, additional testing, monitoring of patients, interaction with physicians, education programs for patients or physicians, curtailment of necessary supplies, limitations on product distribution, the recall or discontinuance of certain products and additional recordkeeping. Any such changes could result in additional litigation and may have a material adverse effect on our business, financial condition, results of operations and cash flows. The evolving and complex nature of regulatory science and regulatory requirements, the broad authority and discretion of the FDA and the generally high level of regulatory oversight results in a continuing possibility that, from time to time, we will be adversely affected by regulatory actions despite our ongoing efforts and commitment to achieve and maintain full compliance with all regulatory requirements.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220"/>
        <w:spacing w:after="0" w:line="347" w:lineRule="auto"/>
        <w:rPr>
          <w:sz w:val="20"/>
          <w:szCs w:val="20"/>
          <w:color w:val="auto"/>
        </w:rPr>
      </w:pPr>
      <w:r>
        <w:rPr>
          <w:rFonts w:ascii="Arial" w:cs="Arial" w:eastAsia="Arial" w:hAnsi="Arial"/>
          <w:sz w:val="16"/>
          <w:szCs w:val="16"/>
          <w:b w:val="1"/>
          <w:bCs w:val="1"/>
          <w:color w:val="auto"/>
        </w:rPr>
        <w:t>Our reporting and payment obligations under the Medicaid Drug Rebate Program and other governmental drug pricing programs are complex and may involve subjective decisions. Any failure to comply with those obligations could subject us to penalties and sanctions.</w:t>
      </w:r>
    </w:p>
    <w:p>
      <w:pPr>
        <w:spacing w:after="0" w:line="12" w:lineRule="exact"/>
        <w:rPr>
          <w:sz w:val="20"/>
          <w:szCs w:val="20"/>
          <w:color w:val="auto"/>
        </w:rPr>
      </w:pPr>
    </w:p>
    <w:p>
      <w:pPr>
        <w:ind w:right="140" w:firstLine="486"/>
        <w:spacing w:after="0" w:line="291" w:lineRule="auto"/>
        <w:rPr>
          <w:sz w:val="20"/>
          <w:szCs w:val="20"/>
          <w:color w:val="auto"/>
        </w:rPr>
      </w:pPr>
      <w:r>
        <w:rPr>
          <w:rFonts w:ascii="Arial" w:cs="Arial" w:eastAsia="Arial" w:hAnsi="Arial"/>
          <w:sz w:val="16"/>
          <w:szCs w:val="16"/>
          <w:color w:val="auto"/>
        </w:rPr>
        <w:t xml:space="preserve">We are subject to federal and state laws prohibiting the presentation (or the causing to be presented) of claims for payment (by Medicare, Medicaid or other third-party payers) that are determined to be false or fraudulent, including presenting a claim for an item or service that was not provided. These false claims statutes include the federal civil False Claims Act, which permits private persons to bring suit in the name of the government alleging false or fraudulent claims presented to or paid by the government (or other violations of the statutes) and to share in any amounts paid by the entity to the government in fines or settlement. Such suits, known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have increased significantly in the healthcare industry in recent years. These actions against pharmaceutical companies, which do not require proof of a specific intent to defraud the government, may result in payment of fines to and/or administrative exclusion from the Medicare, Medicaid and/or other government healthcare programs.</w:t>
      </w:r>
    </w:p>
    <w:p>
      <w:pPr>
        <w:spacing w:after="0" w:line="58"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We are subject to laws that require us to enter into a Medicaid Drug Rebate Agreement, a 340B Pharmaceutical Pricing Agreement and agreements with the Department of Veterans Affairs as a condition for having our products eligible for payment under Medicare Part B and Medicaid. We have entered into such agreements. In addition, we are required to report certain pricing information to CMS, the Health Resources and Services Administration and the Department of Veterans Affairs on a periodic basis to facilitate rebate payments to the State Medicaid Programs, to set Medicare Part B reimbursement levels and to establish the prices that can be charged to certain purchasers, including 340B-covered entities and certain government entities. Any failure to comply with these laws and agreements could have a material adverse effect on our business, financial condition, results of operations and cash flows.</w:t>
      </w:r>
    </w:p>
    <w:p>
      <w:pPr>
        <w:spacing w:after="0" w:line="5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With regard to the Medicaid Drug Rebate Program, on February 1, 2016, CMS issued a Final Rule implementing the Medicaid Drug Rebate provisions incorporated into the PPACA, effective April 1, 2016 in most instances. Ongoing compliance with these program rules, including the requirement that we adopt reasonable assumptions where law, regulation and guidance do not address specific participation issues, may impact the level of rebates that we owe under the program. The 2016 Final Rule also expanded the scope of the Medicaid Drug Rebate program to apply to U.S. territories (which pursuant to further rulemaking is now scheduled to become effective on April, 1, 2022), which will require operational adjustments and may result in additional rebate liability. Additionally, in December 2020, CMS issued a Final Rule for the Medicaid Drug Rebate Program that makes changes with regard to: (i) the calculation of Medicaid Best Price for certain value- or outcomes-based discounting arrangements; (ii) the standard for excluding the value of manufacturer copayment assistance and other patient support arrangements from the calculation of Average Manufacturer Price and Best Price; (iii) the identification of “line extension” drugs that are subject to higher Medicaid rebate liability; and (iv) establishment of additional drug utilization review requirements for opioids. Depending on how these changes are implemented, they could have a material adverse effect on our business, financial condition, results of operations and cash flows.</w:t>
      </w:r>
    </w:p>
    <w:p>
      <w:pPr>
        <w:spacing w:after="0" w:line="74"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We and other pharmaceutical companies have been named as defendants in a number of lawsuits filed by various government entities, alleging generally that we and numerous other pharmaceutical companies reported false pricing information in connection with certain products that are reimbursable by state Medicaid programs, which are partially funded by the federal government. There is a risk we will be subject to similar investigations or litigations in the future, that we will suffer adverse decisions or verdicts of substantial amounts or that we will enter into monetary settlements. Any unfavorable outcomes as a result of such proceedings could have a material adverse effect on our business, financial condition, results of operations and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Decreases in the degree to which individuals are covered by healthcare insurance could result in decreased use of our products.</w:t>
      </w:r>
    </w:p>
    <w:p>
      <w:pPr>
        <w:spacing w:after="0" w:line="121"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Employers may seek to reduce costs by reducing or eliminating employer group healthcare plans or transferring a greater portion of healthcare costs to their employees. Job losses or other economic hardships may also result in reduced levels of coverage for some individuals, potentially resulting in lower levels of healthcare coverage for themselves or their families. Further, in addition to the fact that the TCJA eliminated the PPACA’s requirement that individuals maintain insurance or face a penalty, additional steps to limit or end cost-sharing subsidies to lower-income Americans may increase instability in the insurance marketplace and the number of uninsured Americans. These economic conditions may affect patients’ ability to afford healthcare as a result of increased co-pay or deductible obligations, greater cost sensitivity to existing co-pay or deductible obligations and lost healthcare insurance coverage or for other reasons. We believe such conditions could lead to changes in patient behavior and spending patterns that negatively affect usage of certain of our products, including some patients delaying treatment, rationing prescription medications, leaving prescriptions unfilled, reducing the frequency of visits to healthcare facilities, utilizing alternative therapies or foregoing healthcare insurance coverage. Such changes may result in reduced demand for our products, which could have a material adverse effect on our business, financial condition, results of operations and cash flows.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87" w:lineRule="auto"/>
        <w:rPr>
          <w:sz w:val="20"/>
          <w:szCs w:val="20"/>
          <w:color w:val="auto"/>
        </w:rPr>
      </w:pPr>
      <w:r>
        <w:rPr>
          <w:rFonts w:ascii="Arial" w:cs="Arial" w:eastAsia="Arial" w:hAnsi="Arial"/>
          <w:sz w:val="16"/>
          <w:szCs w:val="16"/>
          <w:color w:val="auto"/>
        </w:rPr>
        <w:t xml:space="preserve">In December 2018, the U.S. District Court for the Northern District of Texas held in </w:t>
      </w:r>
      <w:r>
        <w:rPr>
          <w:rFonts w:ascii="Arial" w:cs="Arial" w:eastAsia="Arial" w:hAnsi="Arial"/>
          <w:sz w:val="16"/>
          <w:szCs w:val="16"/>
          <w:i w:val="1"/>
          <w:iCs w:val="1"/>
          <w:color w:val="auto"/>
        </w:rPr>
        <w:t>Texas v. Azar</w:t>
      </w:r>
      <w:r>
        <w:rPr>
          <w:rFonts w:ascii="Arial" w:cs="Arial" w:eastAsia="Arial" w:hAnsi="Arial"/>
          <w:sz w:val="16"/>
          <w:szCs w:val="16"/>
          <w:color w:val="auto"/>
        </w:rPr>
        <w:t xml:space="preserve"> that, because the provisions of the PPACA requiring certain individuals to either obtain health insurance or pay a shared responsibility payment (known as the individual mandate) are no longer permissible under the U.S. Congress’ taxing power, the entire PPACA is no longer constitutional. The decision was appealed to the U.S. Court of Appeals for the Fifth Circuit. In December 2019, the Fifth Circuit issued an opinion holding that, while the individual mandate was no longer constitutional, the case must be remanded to the district court to further evaluate whether the mandate can be severed from the PPACA or the entire PPACA must be struck down. In January 2020, petitions for certiorari were filed requesting that the U.S. Supreme Court review the Fifth Circuit’s decision and ultimately decide the constitutionality of the PPACA. In March 2020, the U.S. Supreme Court granted certiorari in the consolidated cases of </w:t>
      </w:r>
      <w:r>
        <w:rPr>
          <w:rFonts w:ascii="Arial" w:cs="Arial" w:eastAsia="Arial" w:hAnsi="Arial"/>
          <w:sz w:val="16"/>
          <w:szCs w:val="16"/>
          <w:i w:val="1"/>
          <w:iCs w:val="1"/>
          <w:color w:val="auto"/>
        </w:rPr>
        <w:t>Texas v. California</w:t>
      </w:r>
      <w:r>
        <w:rPr>
          <w:rFonts w:ascii="Arial" w:cs="Arial" w:eastAsia="Arial" w:hAnsi="Arial"/>
          <w:sz w:val="16"/>
          <w:szCs w:val="16"/>
          <w:color w:val="auto"/>
        </w:rPr>
        <w:t xml:space="preserve"> and </w:t>
      </w:r>
      <w:r>
        <w:rPr>
          <w:rFonts w:ascii="Arial" w:cs="Arial" w:eastAsia="Arial" w:hAnsi="Arial"/>
          <w:sz w:val="16"/>
          <w:szCs w:val="16"/>
          <w:i w:val="1"/>
          <w:iCs w:val="1"/>
          <w:color w:val="auto"/>
        </w:rPr>
        <w:t>California v. Texas</w:t>
      </w:r>
      <w:r>
        <w:rPr>
          <w:rFonts w:ascii="Arial" w:cs="Arial" w:eastAsia="Arial" w:hAnsi="Arial"/>
          <w:sz w:val="16"/>
          <w:szCs w:val="16"/>
          <w:color w:val="auto"/>
        </w:rPr>
        <w:t>, both of which address the Fifth Circuit’s decision to strike down the individual mandate, while sending back to the district court the</w:t>
      </w:r>
      <w:r>
        <w:rPr>
          <w:rFonts w:ascii="Arial" w:cs="Arial" w:eastAsia="Arial" w:hAnsi="Arial"/>
          <w:sz w:val="16"/>
          <w:szCs w:val="16"/>
          <w:i w:val="1"/>
          <w:iCs w:val="1"/>
          <w:color w:val="auto"/>
        </w:rPr>
        <w:t xml:space="preserve"> </w:t>
      </w:r>
      <w:r>
        <w:rPr>
          <w:rFonts w:ascii="Arial" w:cs="Arial" w:eastAsia="Arial" w:hAnsi="Arial"/>
          <w:sz w:val="16"/>
          <w:szCs w:val="16"/>
          <w:color w:val="auto"/>
        </w:rPr>
        <w:t>question of the overall law’s constitutionality. The cases were argued before the U.S. Supreme Court in November 2020 and a decision is expected during the current Supreme Court term in 2021. Changes in law resulting from this ongoing lawsuit or other court challenges to the PPACA could have a material adverse effect on our business, financial condition, results of operations and cash flows.</w:t>
      </w:r>
    </w:p>
    <w:p>
      <w:pPr>
        <w:spacing w:after="0" w:line="60"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If our manufacturing facilities are unable to manufacture our products or the manufacturing process is interrupted due to failure to comply with regulations or for other reasons, it could have a material adverse effect on our business, financial condition, results of operations and cash flows.</w:t>
      </w:r>
    </w:p>
    <w:p>
      <w:pPr>
        <w:spacing w:after="0" w:line="12"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If any of our or our third party manufacturing facilities fail to comply with regulatory requirements or encounter other manufacturing difficulties, it could adversely affect our ability to supply products. All facilities and manufacturing processes used for the manufacture of pharmaceutical products are subject to inspection by regulatory agencies at any time and must be operated in conformity with cGMP and, in the case of controlled substances, DEA regulations. Compliance with the FDA’s cGMP and DEA requirements applies to both products for which regulatory approval is being sought and to approved products. In complying with cGMP requirements, pharmaceutical manufacturing facilities must continually expend significant time, money and effort in production, recordkeeping, quality assurance and quality control so that their products meet applicable specifications and other requirements for product safety, efficacy and quality. Failure to comply with applicable legal requirements subjects our or our third party manufacturing facilities to possible legal or regulatory action, including shutdown, which may adversely affect our ability to supply our products. Additionally, our or our third party manufacturing facilities may face other significant disruptions due to labor strikes, failure to reach acceptable agreement with labor unions, infringement of intellectual property rights, vandalism, natural disaster, outbreak and spread of viral or other diseases, storm or other environmental damage, civil or political unrest, export or import restrictions or other events. If we are not able to manufacture products at our or our third party manufacturing facilities because of regulatory, business or any other reasons, the manufacture and marketing of these products could be interrupted. This could have a material adverse effect on our business, financial condition, results of operations and cash flows.</w:t>
      </w:r>
    </w:p>
    <w:p>
      <w:pPr>
        <w:spacing w:after="0" w:line="60" w:lineRule="exact"/>
        <w:rPr>
          <w:sz w:val="20"/>
          <w:szCs w:val="20"/>
          <w:color w:val="auto"/>
        </w:rPr>
      </w:pPr>
    </w:p>
    <w:p>
      <w:pPr>
        <w:ind w:right="20" w:firstLine="486"/>
        <w:spacing w:after="0" w:line="261" w:lineRule="auto"/>
        <w:rPr>
          <w:sz w:val="20"/>
          <w:szCs w:val="20"/>
          <w:color w:val="auto"/>
        </w:rPr>
      </w:pPr>
      <w:r>
        <w:rPr>
          <w:rFonts w:ascii="Arial" w:cs="Arial" w:eastAsia="Arial" w:hAnsi="Arial"/>
          <w:sz w:val="17"/>
          <w:szCs w:val="17"/>
          <w:color w:val="auto"/>
        </w:rPr>
        <w:t>For example, the manufacturing facilities qualified to manufacture the enzyme CCH, which is included in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QWO</w:t>
      </w:r>
      <w:r>
        <w:rPr>
          <w:rFonts w:ascii="Arial" w:cs="Arial" w:eastAsia="Arial" w:hAnsi="Arial"/>
          <w:sz w:val="22"/>
          <w:szCs w:val="22"/>
          <w:color w:val="auto"/>
          <w:vertAlign w:val="superscript"/>
        </w:rPr>
        <w:t>®</w:t>
      </w:r>
      <w:r>
        <w:rPr>
          <w:rFonts w:ascii="Arial" w:cs="Arial" w:eastAsia="Arial" w:hAnsi="Arial"/>
          <w:sz w:val="17"/>
          <w:szCs w:val="17"/>
          <w:color w:val="auto"/>
        </w:rPr>
        <w:t>, are subject to such regulatory requirements and oversight. If such facilities fail to comply with cGMP requirements, we may not be permitted to sell our products or may be limited in the jurisdictions in which we are permitted to sell them. Further, if an inspection by regulatory authorities indicates that there are deficiencies, including non-compliance with regulatory requirements, we could be required to take remedial actions, stop production or close our facilities, which could disrupt the manufacturing processes and could limit the supply of CCH and/or delay clinical trials and subsequent licensure and/or limit the sale of commercial supplies. In addition, future noncompliance with any applicable regulatory requirements may result in refusal by regulatory authorities to allow use of CCH in clinical trials, refusal by the government to allow distribution of CCH within the U.S. or other jurisdictions, criminal prosecution, fines, recall or seizure of products, total or partial suspension of production, prohibitions or limitations on the commercial sale of products, refusal to allow the entering into of federal and state supply contracts and civil litigation.</w:t>
      </w:r>
    </w:p>
    <w:p>
      <w:pPr>
        <w:spacing w:after="0" w:line="82"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We purchase certain API and other materials used in our manufacturing operations from foreign and U.S. suppliers. The price and availability of API and other materials is subject to volatility for a number of reasons, many of which may be outside of our control. There is no guarantee that we will always have timely, sufficient or affordable access to critical raw materials or supplies from third parties. An increase in the price, or an interruption in the supply, of any API or raw material could have a material adverse effect on our business, financial condition, results of operations and cash flows.</w:t>
      </w:r>
    </w:p>
    <w:p>
      <w:pPr>
        <w:spacing w:after="0" w:line="45" w:lineRule="exact"/>
        <w:rPr>
          <w:sz w:val="20"/>
          <w:szCs w:val="20"/>
          <w:color w:val="auto"/>
        </w:rPr>
      </w:pPr>
    </w:p>
    <w:p>
      <w:pPr>
        <w:jc w:val="both"/>
        <w:ind w:right="280"/>
        <w:spacing w:after="0" w:line="347" w:lineRule="auto"/>
        <w:rPr>
          <w:sz w:val="20"/>
          <w:szCs w:val="20"/>
          <w:color w:val="auto"/>
        </w:rPr>
      </w:pPr>
      <w:r>
        <w:rPr>
          <w:rFonts w:ascii="Arial" w:cs="Arial" w:eastAsia="Arial" w:hAnsi="Arial"/>
          <w:sz w:val="16"/>
          <w:szCs w:val="16"/>
          <w:b w:val="1"/>
          <w:bCs w:val="1"/>
          <w:color w:val="auto"/>
        </w:rPr>
        <w:t>Non-U.S. regulatory requirements vary, including with respect to the regulatory approval process, and failure to obtain regulatory approval or maintain compliance with requirements in non-U.S. jurisdictions would prevent or impact the marketing of our products in those jurisdictions.</w:t>
      </w:r>
    </w:p>
    <w:p>
      <w:pPr>
        <w:spacing w:after="0" w:line="1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have worldwide intellectual property rights to market many of our products and product candidates and intend to seek approval to market certain of our existing or potential future products outside of the U.S. Approval of a product by the regulatory authorities of a particular country is generally required prior to manufacturing or marketing that product in that country. The approval procedure varies among countries and can involve additional testing and the time required to obtain such approval may differ from that required to obtain FDA approval. Non-U.S. regulatory approval processes generally include risks similar to those associated with obtaining FDA approval, as further described herein. FDA approval does not guarantee approval by the regulatory authorities of any other country, nor does the approval by foreign regulatory authorities in one country guarantee approval by regulatory authorities in other foreign countries or by the FDA.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Outside of the U.S., regulatory agencies generally evaluate and monitor the safety, efficacy and quality of pharmaceutical products and devices and impose regulatory requirements applicable to manufacturing processes, stability testing, recordkeeping and quality standards, among others. These requirements vary by jurisdiction. In certain countries, the applicable healthcare and drug regulatory regimes may continue to evolve and implement new requirements. Ensuring and maintaining compliance with these varying and evolving requirements is and will continue to be difficult, time-consuming and costly. In seeking regulatory approvals in non-U.S. jurisdictions, we must also continue to comply with U.S. laws and regulations, including those imposed by the FCPA. See the risk factor “The risks related to our global operations may adversely impact our revenues, results of operations and financial condition.” If we fail to comply with these various regulatory requirements or fail to obtain and maintain required approvals, our target market will be reduced and our ability to generate non-U.S. revenue will be adversely affected.</w:t>
      </w:r>
    </w:p>
    <w:p>
      <w:pPr>
        <w:spacing w:after="0" w:line="66"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If pharmaceutical companies are successful in limiting the use of generics through their legislative, regulatory and other efforts, our sales of generic products may suffer.</w:t>
      </w:r>
    </w:p>
    <w:p>
      <w:pPr>
        <w:spacing w:after="0" w:line="58" w:lineRule="exact"/>
        <w:rPr>
          <w:sz w:val="20"/>
          <w:szCs w:val="20"/>
          <w:color w:val="auto"/>
        </w:rPr>
      </w:pPr>
    </w:p>
    <w:p>
      <w:pPr>
        <w:ind w:right="440" w:firstLine="486"/>
        <w:spacing w:after="0" w:line="258" w:lineRule="auto"/>
        <w:rPr>
          <w:sz w:val="20"/>
          <w:szCs w:val="20"/>
          <w:color w:val="auto"/>
        </w:rPr>
      </w:pPr>
      <w:r>
        <w:rPr>
          <w:rFonts w:ascii="Arial" w:cs="Arial" w:eastAsia="Arial" w:hAnsi="Arial"/>
          <w:sz w:val="18"/>
          <w:szCs w:val="18"/>
          <w:color w:val="auto"/>
        </w:rPr>
        <w:t>Many pharmaceutical companies increasingly have used state and federal legislative and regulatory means to delay generic competition. These efforts have included:</w:t>
      </w:r>
    </w:p>
    <w:p>
      <w:pPr>
        <w:spacing w:after="0" w:line="1" w:lineRule="exact"/>
        <w:rPr>
          <w:sz w:val="20"/>
          <w:szCs w:val="20"/>
          <w:color w:val="auto"/>
        </w:rPr>
      </w:pPr>
    </w:p>
    <w:p>
      <w:pPr>
        <w:ind w:left="900" w:right="540" w:hanging="244"/>
        <w:spacing w:after="0" w:line="250" w:lineRule="auto"/>
        <w:tabs>
          <w:tab w:leader="none" w:pos="8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pursuing new patents for existing products which may be granted just before the expiration of earlier patents, which could extend patent protection for additional years;</w:t>
      </w:r>
    </w:p>
    <w:p>
      <w:pPr>
        <w:ind w:left="900" w:hanging="244"/>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using the Citizen Petition process (for example, under 21 C.F.R. § 10.30) to request amendments to FDA standards;</w:t>
      </w:r>
    </w:p>
    <w:p>
      <w:pPr>
        <w:spacing w:after="0" w:line="9" w:lineRule="exact"/>
        <w:rPr>
          <w:rFonts w:ascii="Arial" w:cs="Arial" w:eastAsia="Arial" w:hAnsi="Arial"/>
          <w:sz w:val="18"/>
          <w:szCs w:val="18"/>
          <w:color w:val="auto"/>
        </w:rPr>
      </w:pPr>
    </w:p>
    <w:p>
      <w:pPr>
        <w:ind w:left="900" w:right="380" w:hanging="244"/>
        <w:spacing w:after="0" w:line="250" w:lineRule="auto"/>
        <w:tabs>
          <w:tab w:leader="none" w:pos="8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attempting to use the legislative and regulatory process to have products reclassified or rescheduled or to set definitions of abuse-deterrent formulations to protect patents and profits; and</w:t>
      </w:r>
    </w:p>
    <w:p>
      <w:pPr>
        <w:ind w:left="900" w:hanging="244"/>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engaging in state-by-state initiatives to enact legislation that restricts the substitution of some generic products.</w:t>
      </w:r>
    </w:p>
    <w:p>
      <w:pPr>
        <w:spacing w:after="0" w:line="103"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If pharmaceutical companies or other third parties are successful in limiting the use of generic products through these or other means, our sales of generic products and our growth prospects may decline, which could have a material adverse effect on our business, financial condition, results of operations and cash flows.</w:t>
      </w:r>
    </w:p>
    <w:p>
      <w:pPr>
        <w:spacing w:after="0" w:line="7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New tariffs and evolving trade policy between the U.S. and other countries, including China, could have a material adverse effect on our business, financial condition, results of operations and cash flows.</w:t>
      </w:r>
    </w:p>
    <w:p>
      <w:pPr>
        <w:spacing w:after="0" w:line="58"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We conduct business globally and our operations, including third party suppliers, span numerous countries outside the U.S. There is uncertainty about the future relationship between the U.S. and various other countries, including China, with respect to trade policies, treaties, government regulations and tariffs under the Biden Administration.</w:t>
      </w:r>
    </w:p>
    <w:p>
      <w:pPr>
        <w:spacing w:after="0" w:line="76"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It is unclear to what extent the Biden Administration will continue to pursue the trade policies of the Trump Administration. The Biden Administration may seek to impose certain additional restrictions on international trade, such as increased tariffs on goods imported into the U.S. Such tariffs could potentially disrupt our existing supply chains and impose additional costs on our business, including costs with respect to raw materials upon which our business depends. Furthermore, if tariffs, trade restrictions or trade barriers are placed on products such as ours by foreign governments, it could cause us to raise prices for our products, which may result in the loss of customers. If we are unable to pass along increased costs to our customers, our margins could be adversely affected. Additionally, it is possible that further tariffs may be imposed that could affect imports of APIs and other materials used in our products, or our business may be adversely impacted by retaliatory trade measures taken by other countries, including restricted access to APIs or other materials used in our products, causing us to raise prices or make changes to our products. Further, the continued threats of tariffs, trade restrictions and trade barriers could have a generally disruptive impact on the global economy and, therefore, negatively impact our sales. For example, the Trump Administration placed tariffs on certain goods imported from China. In January 2020, the U.S. and China agreed to roll back certain tariffs, expand trade purchases and impose binding commitments on intellectual property, technology transfer and currency practices. Nevertheless, given the volatility and uncertainty regarding the scope and duration of these tariffs and other aspects of U.S. international trade policy, the impact on our operations and results is uncertain and could be significant. Further governmental action related to tariffs, additional taxes, regulatory changes or other retaliatory trade measures could occur in the future. Any of these factors could have a material adverse effect on our business, financial condition, results of operations and cash flows.</w:t>
      </w:r>
    </w:p>
    <w:p>
      <w:pPr>
        <w:spacing w:after="0" w:line="70" w:lineRule="exact"/>
        <w:rPr>
          <w:sz w:val="20"/>
          <w:szCs w:val="20"/>
          <w:color w:val="auto"/>
        </w:rPr>
      </w:pPr>
    </w:p>
    <w:p>
      <w:pPr>
        <w:ind w:right="520"/>
        <w:spacing w:after="0" w:line="347" w:lineRule="auto"/>
        <w:rPr>
          <w:sz w:val="20"/>
          <w:szCs w:val="20"/>
          <w:color w:val="auto"/>
        </w:rPr>
      </w:pPr>
      <w:r>
        <w:rPr>
          <w:rFonts w:ascii="Arial" w:cs="Arial" w:eastAsia="Arial" w:hAnsi="Arial"/>
          <w:sz w:val="16"/>
          <w:szCs w:val="16"/>
          <w:b w:val="1"/>
          <w:bCs w:val="1"/>
          <w:color w:val="auto"/>
        </w:rPr>
        <w:t>We are subject to health information privacy and data protection laws that include penalties for noncompliance. Our failure to comply with various laws protecting the confidentiality of certain patient health information could result in penalties and reputational damage.</w:t>
      </w:r>
    </w:p>
    <w:p>
      <w:pPr>
        <w:spacing w:after="0" w:line="12"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are subject to a number of privacy and data protection laws and regulations globally. The legislative and regulatory landscape for privacy and data security continues to evolve. Certain countries in which we operate have, or are developing, laws protecting the confidentiality of individually identifiable personal information, including patient health information. This includes federal and state laws and regulations in the U.S. as well as in Europe and other markets.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For example, the California Consumer Privacy Act of 2018 (CCPA) provides new data privacy rights for consumers and new operational requirements for businesses. The CCPA went into effect on January 1, 2020 and establishes a new privacy framework for covered businesses by creating an expanded definition of personal information, establishing new data privacy rights for consumers in the state of California and creating a new and potentially severe statutory damages framework for violations of the CCPA and for businesses that fail to implement reasonable security procedures and practices to prevent data breaches. Many aspects of the CCPA have not been interpreted by courts and best practices are still being developed, all of which increase the risk of compliance failure and related adverse impacts.</w:t>
      </w:r>
    </w:p>
    <w:p>
      <w:pPr>
        <w:spacing w:after="0" w:line="70"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In addition, the EU’s General Data Protection Regulation (GDPR), which replaced the pre-existing EU Data Protection Directive and became enforceable as of May 25, 2018, imposes strict restrictions on our authority to collect, analyze and transfer personal data regarding persons in the EU, including health data from clinical trials and adverse event reporting. The GDPR, which has extra-territorial scope and substantial fines for breaches (up to 4% of global annual revenue or €20 million, whichever is greater) grants individuals whose personal data (which is very broadly defined) is collected or otherwise processed the right to access the data, request its deletion and control its use and disclosure. The GDPR also requires notification of a breach in the security of such data to be provided within 72 hours of discovering the breach. Although the GDPR itself is self-executing across all EU member states, data protection authorities from different EU member states may interpret and apply the regulation somewhat differently, which adds to the complexity of processing personal data in the EU. Uncertainty in the interpretation and enforcement of the regulation by the EU member states’ different data protection authorities contributes to liability exposure risk.</w:t>
      </w:r>
    </w:p>
    <w:p>
      <w:pPr>
        <w:spacing w:after="0" w:line="73"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As did the pre-existing Data Protection Directive, the GDPR prohibits the transfer of personal data to countries outside of the EU that are not considered by the European Commission to provide an adequate level of data protection, and transfers of personal data to such countries may be made only in certain circumstances, such as where the transfer is necessary for important reasons of public interest or the individual to whom the personal data relates has given his or her explicit consent to the transfer after being informed of the risks involved.</w:t>
      </w:r>
    </w:p>
    <w:p>
      <w:pPr>
        <w:spacing w:after="0" w:line="79"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We have policies and practices that we believe make us compliant with applicable privacy regulations, including the GDPR. Nevertheless, there remains a risk of failure to comply with the rules arising from the GDPR or privacy laws in other jurisdictions in which we operate. Should a transgression be deemed to have occurred, it could lead to government enforcement actions and significant sanctions or penalties against us, adversely impact our results of operations and subject us to negative publicity. Such liabilities could materially affect our operations.</w:t>
      </w:r>
    </w:p>
    <w:p>
      <w:pPr>
        <w:spacing w:after="0" w:line="63"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There has also been increased enforcement activity in the U.S. particularly related to data security breaches. A violation of these laws or regulations by us or our third party vendors could subject us to penalties, fines, liability and/or possible exclusion from Medicare or Medicaid. Such sanctions could have a material adverse effect on our business, financial condition, results of operations and cash flows.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Related Risks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and maintain our proprietary and licensed third party technology, which is vital to our business, is uncertain.</w:t>
      </w:r>
    </w:p>
    <w:p>
      <w:pPr>
        <w:spacing w:after="0" w:line="121"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Our success, competitive position and future income depend in part on our ability, and the ability of our partners and suppliers, to obtain and protect patent and other intellectual property rights relating to our current and future technologies, processes and products. The degree of protection any patents will afford is uncertain, including whether the protection obtained will be of sufficient breadth and degree to protect our commercial interests in all the jurisdictions where we conduct business. That is, the issuance of a patent is not conclusive as to its claimed scope, validity or enforceability. Patent rights may be challenged, revoked, invalidated, infringed or circumvented by third parties. For example, if an invention qualifies as a joint invention, the joint inventor may have intellectual property rights in the invention, which might not be protected. A third party may also infringe upon, design around or develop uses not covered by any patent issued or licensed to us and our patents may not otherwise be commercially viable. In this regard, the patent position of pharmaceutical compounds and compositions is particularly uncertain and involves complex legal and factual questions. Even issued patents may later be modified or revoked by the PTO, by comparable foreign patent offices or by a court following legal proceedings. Laws relating to such rights may in the future also be changed or withdrawn.</w:t>
      </w:r>
    </w:p>
    <w:p>
      <w:pPr>
        <w:spacing w:after="0" w:line="7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There is no assurance that any of our patent claims in our pending non-provisional and provisional patent applications relating to our technologies, processes or products will be issued or, if issued, that any of our existing and future patent claims will be held valid and enforceable against third-party infringement. We could incur significant costs and management distraction if we initiate litigation against others to protect or enforce our intellectual property rights. Such patent disputes may be lengthy and a potential violator of our patents may bring a potentially infringing product to market during the dispute, subjecting us to competition and damages due to infringement of the competitor product. Upon the expiration or loss of intellectual property protection for a product, others may manufacture and distribute such patented product, which may result in the loss of a significant portion of our sales of that product.</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We also rely on trade secrets and other unpatented proprietary information, which we generally seek to protect by confidentiality and nondisclosure agreements with our employees, consultants, advisors and partners. These agreements may not effectively prevent disclosure of confidential information and may not provide us with an adequate remedy in the event of unauthorized disclosure. For example, in December 2020, our subsidiaries PPI and PSP LLC settled a trade-secret lawsuit against QuVa Pharma, Inc. and eight former PSP LLC employees, which had been pending in the U.S. District Court for the District of New Jersey since August 2017. Even if third parties misappropriate or infringe upon our proprietary rights, we may not be able to discover or determine the extent of any such unauthorized use and we may not be able to prevent third parties from misappropriating or infringing upon our proprietary rights. In addition, if our employees, scientific consultants or partners develop inventions or processes that may be applicable to our existing products or products under development, such inventions and processes will not necessarily become our property and may remain the property of those persons or their employers.</w:t>
      </w:r>
    </w:p>
    <w:p>
      <w:pPr>
        <w:spacing w:after="0" w:line="73"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Any failure by us to adequately protect our technology, trade secrets or proprietary know-how or to enforce our intellectual property rights could have a material adverse effect on our business, financial condition, results of operations and cash flows.</w:t>
      </w:r>
    </w:p>
    <w:p>
      <w:pPr>
        <w:spacing w:after="0" w:line="58" w:lineRule="exact"/>
        <w:rPr>
          <w:sz w:val="20"/>
          <w:szCs w:val="20"/>
          <w:color w:val="auto"/>
        </w:rPr>
      </w:pPr>
    </w:p>
    <w:p>
      <w:pPr>
        <w:jc w:val="both"/>
        <w:ind w:right="180"/>
        <w:spacing w:after="0" w:line="289" w:lineRule="auto"/>
        <w:rPr>
          <w:sz w:val="20"/>
          <w:szCs w:val="20"/>
          <w:color w:val="auto"/>
        </w:rPr>
      </w:pPr>
      <w:r>
        <w:rPr>
          <w:rFonts w:ascii="Arial" w:cs="Arial" w:eastAsia="Arial" w:hAnsi="Arial"/>
          <w:sz w:val="17"/>
          <w:szCs w:val="17"/>
          <w:b w:val="1"/>
          <w:bCs w:val="1"/>
          <w:color w:val="auto"/>
        </w:rPr>
        <w:t>Our competitors or other third parties may allege that we are infringing their intellectual property, forcing us to expend substantial resources in litigation, the outcome of which is uncertain. Any unfavorable outcome of such litigation, including losses related to “at-risk” product launches, could have a material adverse effect on our business, financial condition, results of operations and cash flows.</w:t>
      </w:r>
    </w:p>
    <w:p>
      <w:pPr>
        <w:spacing w:after="0" w:line="54" w:lineRule="exact"/>
        <w:rPr>
          <w:sz w:val="20"/>
          <w:szCs w:val="20"/>
          <w:color w:val="auto"/>
        </w:rPr>
      </w:pPr>
    </w:p>
    <w:p>
      <w:pPr>
        <w:ind w:right="120" w:firstLine="486"/>
        <w:spacing w:after="0" w:line="291" w:lineRule="auto"/>
        <w:rPr>
          <w:sz w:val="20"/>
          <w:szCs w:val="20"/>
          <w:color w:val="auto"/>
        </w:rPr>
      </w:pPr>
      <w:r>
        <w:rPr>
          <w:rFonts w:ascii="Arial" w:cs="Arial" w:eastAsia="Arial" w:hAnsi="Arial"/>
          <w:sz w:val="16"/>
          <w:szCs w:val="16"/>
          <w:color w:val="auto"/>
        </w:rPr>
        <w:t>Companies that produce branded pharmaceutical products routinely bring litigation against ANDA or similar applicants that seek regulatory approval to manufacture and market generic forms of branded products, alleging patent infringement or other violations of intellectual property rights. Patent holders may also bring patent infringement suits against companies that are currently marketing and selling approved generic products. Litigation often involves significant expense. Additionally, if the patents of others are held valid, enforceable and infringed by our current products or future product candidates, we would, unless we could obtain a license from the patent holder, need to delay selling our corresponding generic product and, if we are already selling our product, cease selling and potentially destroy existing product stock. Additionally, we could be required to pay monetary damages or royalties to license proprietary rights from third parties and we may not be able to obtain such licenses on commercially reasonable terms or at all.</w:t>
      </w:r>
    </w:p>
    <w:p>
      <w:pPr>
        <w:spacing w:after="0" w:line="58"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There may be situations in which we may make business and legal judgments to market and sell products that are subject to claims of alleged patent infringement prior to final resolution of those claims by the courts based upon our belief that such patents are invalid, unenforceable or are not infringed by our marketing and sale of such products. This is commonly referred to in the pharmaceutical industry as an “at-risk” launch. The risk involved in an at-risk launch can be substantial because, if a patent holder ultimately prevails against us, the remedies available to such holder may include, among other things, damages calculated based on the profits lost by the patent holder, which can be significantly higher than the profits we make from selling the generic version of the product. Moreover, if a court determines that such infringement is willful, the damages could be subject to trebling. We could face substantial damages from adverse court decisions in such matters. We could also be at risk for the value of such inventory that we are unable to market or sell.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Ordinary Shares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prices of our securities have been volatile, and investments in our securities could decline in value.</w:t>
      </w:r>
    </w:p>
    <w:p>
      <w:pPr>
        <w:spacing w:after="0" w:line="12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market prices for securities of Endo, and of pharmaceutical companies in general, have been highly volatile and may continue to be highly volatile in the future. For example, in 2020, our ordinary shares traded between $2.08 and $7.17 per share on the Nasdaq. The following factors, in addition to other risk factors described in this section, may cause the market value of our securities to fluctuate:</w:t>
      </w:r>
    </w:p>
    <w:p>
      <w:pPr>
        <w:spacing w:after="0" w:line="3" w:lineRule="exact"/>
        <w:rPr>
          <w:sz w:val="20"/>
          <w:szCs w:val="20"/>
          <w:color w:val="auto"/>
        </w:rPr>
      </w:pPr>
    </w:p>
    <w:p>
      <w:pPr>
        <w:ind w:left="900" w:hanging="244"/>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FDA approval or disapproval of any of the drug applications we have submitted;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 or failure of our clinical trials;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new data or new analyses of older data that raise potential safety or effectiveness issues concerning our approved products;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recalls or withdrawals;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competitors announcing technological innovations or new commercial products;</w:t>
      </w:r>
    </w:p>
    <w:p>
      <w:pPr>
        <w:spacing w:after="0" w:line="9" w:lineRule="exact"/>
        <w:rPr>
          <w:rFonts w:ascii="Arial" w:cs="Arial" w:eastAsia="Arial" w:hAnsi="Arial"/>
          <w:sz w:val="18"/>
          <w:szCs w:val="18"/>
          <w:color w:val="auto"/>
        </w:rPr>
      </w:pPr>
    </w:p>
    <w:p>
      <w:pPr>
        <w:ind w:left="900" w:right="400" w:hanging="244"/>
        <w:spacing w:after="0" w:line="250" w:lineRule="auto"/>
        <w:tabs>
          <w:tab w:leader="none" w:pos="8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introduction of generic or compounded substitutes for our products, including the filing of ANDAs with respect to generic versions of our branded products;</w:t>
      </w:r>
    </w:p>
    <w:p>
      <w:pPr>
        <w:ind w:left="900" w:hanging="244"/>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concerning our or others’ proprietary rights, including patents;</w:t>
      </w:r>
    </w:p>
    <w:p>
      <w:pPr>
        <w:spacing w:after="0" w:line="9" w:lineRule="exact"/>
        <w:rPr>
          <w:rFonts w:ascii="Arial" w:cs="Arial" w:eastAsia="Arial" w:hAnsi="Arial"/>
          <w:sz w:val="18"/>
          <w:szCs w:val="18"/>
          <w:color w:val="auto"/>
        </w:rPr>
      </w:pPr>
    </w:p>
    <w:p>
      <w:pPr>
        <w:ind w:left="900" w:right="120" w:hanging="244"/>
        <w:spacing w:after="0" w:line="250" w:lineRule="auto"/>
        <w:tabs>
          <w:tab w:leader="none" w:pos="8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competitors’ publicity regarding actual or potential products under development or other activities affecting our competitors or the industry in general;</w:t>
      </w:r>
    </w:p>
    <w:p>
      <w:pPr>
        <w:ind w:left="900" w:hanging="244"/>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developments in the U.S. and foreign countries, or announcements relating to these matters;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900" w:right="40" w:hanging="244"/>
        <w:spacing w:after="0" w:line="287" w:lineRule="auto"/>
        <w:tabs>
          <w:tab w:leader="none" w:pos="895" w:val="left"/>
        </w:tabs>
        <w:numPr>
          <w:ilvl w:val="0"/>
          <w:numId w:val="34"/>
        </w:numPr>
        <w:rPr>
          <w:rFonts w:ascii="Arial" w:cs="Arial" w:eastAsia="Arial" w:hAnsi="Arial"/>
          <w:sz w:val="16"/>
          <w:szCs w:val="16"/>
          <w:color w:val="auto"/>
        </w:rPr>
      </w:pPr>
      <w:r>
        <w:rPr>
          <w:rFonts w:ascii="Arial" w:cs="Arial" w:eastAsia="Arial" w:hAnsi="Arial"/>
          <w:sz w:val="16"/>
          <w:szCs w:val="16"/>
          <w:color w:val="auto"/>
        </w:rPr>
        <w:t>new legislation, regulation, administrative guidance or executive orders, or changes in interpretation of existing legislation, regulation, administrative guidance or executive orders, including by virtue of new judicial decisions, that could affect the development, sale or pricing of pharmaceutical products, the number of individuals with access to affordable healthcare, the taxes we pay and/or other factors;</w:t>
      </w:r>
    </w:p>
    <w:p>
      <w:pPr>
        <w:spacing w:after="0" w:line="2" w:lineRule="exact"/>
        <w:rPr>
          <w:rFonts w:ascii="Arial" w:cs="Arial" w:eastAsia="Arial" w:hAnsi="Arial"/>
          <w:sz w:val="16"/>
          <w:szCs w:val="16"/>
          <w:color w:val="auto"/>
        </w:rPr>
      </w:pPr>
    </w:p>
    <w:p>
      <w:pPr>
        <w:ind w:left="900" w:right="720" w:hanging="244"/>
        <w:spacing w:after="0" w:line="250" w:lineRule="auto"/>
        <w:tabs>
          <w:tab w:leader="none" w:pos="8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determination by a regulatory agency that we are engaging or have engaged in inappropriate sales or marketing activities, including promoting off-label uses of our products;</w:t>
      </w:r>
    </w:p>
    <w:p>
      <w:pPr>
        <w:ind w:left="900" w:hanging="244"/>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social and political pressure to lower the cost of pharmaceutical products;</w:t>
      </w:r>
    </w:p>
    <w:p>
      <w:pPr>
        <w:spacing w:after="0" w:line="9" w:lineRule="exact"/>
        <w:rPr>
          <w:rFonts w:ascii="Arial" w:cs="Arial" w:eastAsia="Arial" w:hAnsi="Arial"/>
          <w:sz w:val="18"/>
          <w:szCs w:val="18"/>
          <w:color w:val="auto"/>
        </w:rPr>
      </w:pPr>
    </w:p>
    <w:p>
      <w:pPr>
        <w:ind w:left="900" w:right="340" w:hanging="244"/>
        <w:spacing w:after="0" w:line="250" w:lineRule="auto"/>
        <w:tabs>
          <w:tab w:leader="none" w:pos="8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social and political scrutiny over increases in prices of shares of pharmaceutical companies that are perceived to be caused by a strategy of growth through acquisitions;</w:t>
      </w:r>
    </w:p>
    <w:p>
      <w:pPr>
        <w:ind w:left="900" w:hanging="244"/>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litigation against us or others;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reports of security analysts and rating agencies;</w:t>
      </w:r>
    </w:p>
    <w:p>
      <w:pPr>
        <w:spacing w:after="0" w:line="9" w:lineRule="exact"/>
        <w:rPr>
          <w:rFonts w:ascii="Arial" w:cs="Arial" w:eastAsia="Arial" w:hAnsi="Arial"/>
          <w:sz w:val="18"/>
          <w:szCs w:val="18"/>
          <w:color w:val="auto"/>
        </w:rPr>
      </w:pPr>
    </w:p>
    <w:p>
      <w:pPr>
        <w:ind w:left="900" w:right="780" w:hanging="244"/>
        <w:spacing w:after="0" w:line="250" w:lineRule="auto"/>
        <w:tabs>
          <w:tab w:leader="none" w:pos="8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judgments or settlements or reports of settlement negotiations concerning opioid-related litigation or claims, and/or other companies commencing cases under Title 11 of the U.S. Code to address opioid-related litigation liabilities; and</w:t>
      </w:r>
    </w:p>
    <w:p>
      <w:pPr>
        <w:ind w:left="900" w:right="300" w:hanging="244"/>
        <w:spacing w:after="0" w:line="260" w:lineRule="auto"/>
        <w:tabs>
          <w:tab w:leader="none" w:pos="8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political landscape, regulatory environment and international relations, including different policies that may be pursued by a new U.S. presidential administration.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plans to pay regular dividends on our ordinary shares or to conduct ordinary share repurchases.</w:t>
      </w:r>
    </w:p>
    <w:p>
      <w:pPr>
        <w:spacing w:after="0" w:line="121"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We currently do not intend to pay any cash dividends in the foreseeable future on our ordinary shares. Additionally, while the board of directors (the Board) has approved a share buyback program (the 2015 Share Buyback Program), of which there is approximately $2.3 billion available as of December 31, 2020, we currently do not intend to conduct ordinary share repurchases in the foreseeable future. Any declaration and payment of future dividends to holders of ordinary shares as well as any repurchase of our ordinary shares under the 2015 Share Buyback Program will be at the sole discretion of the Board and will depend on many factors, including our financial condition, earnings, capital requirements, level of indebtedness, statutory and contractual restrictions applying to the payment of both cash and property dividends or share repurchases and other considerations that the Board deems relevant. In addition, our existing debt instruments restrict or prevent us from paying dividends on our ordinary shares and conducting ordinary share repurchases. Agreements governing any future indebtedness, in addition to those governing our current indebtedness, may not permit us to pay dividends on our ordinary shares or conduct ordinary share repurchases.</w:t>
      </w:r>
    </w:p>
    <w:p>
      <w:pPr>
        <w:spacing w:after="0" w:line="69"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Our business and operations could be negatively affected by shareholder activism, which could cause us to incur significant expenses, hinder execution of our business strategy and impact our share price.</w:t>
      </w:r>
    </w:p>
    <w:p>
      <w:pPr>
        <w:spacing w:after="0" w:line="58"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In recent years, shareholder activism involving corporate governance, strategic direction and operations has become increasingly prevalent. If we become the subject of such shareholder activism, their demands may disrupt our business and divert the attention of our management, employees and Board. Also, we may incur substantial costs, including legal fees and other expenses, related to such activist shareholder matters. Perceived uncertainties resulting from such activist shareholder matters may result in loss of potential business opportunities with our current and potential customers and business partners, be exploited by our competitors and make attracting and retaining qualified personnel more difficult. In addition, such shareholder activism may cause significant fluctuations in our share price based on temporary or speculative market perceptions, uncertainties or other factors that do not necessarily reflect the underlying fundamentals and prospects of our business.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Related Risks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changes to tax laws could materially adversely affect us.</w:t>
      </w:r>
    </w:p>
    <w:p>
      <w:pPr>
        <w:spacing w:after="0" w:line="12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Under current law, we expect Endo International plc to be treated as a non-U.S. corporation for U.S. federal income tax purposes. However, changes to the rules in Section 7874 of the Internal Revenue Code (the Code) or regulations promulgated thereunder or other guidance issued by the Treasury or the IRS could adversely affect our status as a non-U.S. corporation for U.S. federal income tax purposes, and any such changes could have prospective or retroactive application to us, Endo Health Solutions Inc. (EHSI) and/or their respective shareholders and affiliates. Consequently, there can be no assurance that there will not exist in the future a change in law that might cause us to be treated as a U.S. corporation for U.S. federal income tax purposes, including with retroactive effect.</w:t>
      </w:r>
    </w:p>
    <w:p>
      <w:pPr>
        <w:spacing w:after="0" w:line="84"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In addition, Ireland’s Department of Finance, Luxembourg’s Ministry of Finance, the Organization for Economic Co-operation and Development, the European Commission and other government agencies in jurisdictions where we and our affiliates do business have had an extended focus on issues related to the taxation of multinational corporations. There are several current proposals that, if enacted, would substantially change the taxation of multinational corporations. As a result, the tax laws in the jurisdictions in which we operate could change on a prospective or retroactive basis, and any such changes could affect recorded deferred tax assets and liabilities and increase our effective tax rate, which could have a material adverse effect on our business, financial condition, results of operations and cash flows. The potential impact of changes in tax laws in such jurisdictions could have a material impact on the Company.</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IRS may not agree with the conclusion that we should be treated as a non-U.S. corporation for U.S. federal income tax purposes.</w:t>
      </w:r>
    </w:p>
    <w:p>
      <w:pPr>
        <w:spacing w:after="0" w:line="133"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Although Endo International plc is incorporated in Ireland, the IRS may assert that it should be treated as a U.S. corporation (and, therefore, a U.S. tax resident) for U.S. federal income tax purposes pursuant to Section 7874 of the Code. A corporation is generally considered a tax resident in the jurisdiction of its organization or incorporation for U.S. federal income tax purposes. Because we are an Irish incorporated entity, we would generally be classified as a non-U.S. corporation (and, therefore, a non-U.S. tax resident) under these rules. Section 7874 provides an exception pursuant to which a non-U.S. incorporated entity may, in certain circumstances, be treated as a U.S. corporation for U.S. federal income tax purposes.</w:t>
      </w:r>
    </w:p>
    <w:p>
      <w:pPr>
        <w:spacing w:after="0" w:line="53"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Under Section 7874, we would be treated as a non-U.S. corporation for U.S. federal income tax purposes if the former shareholders of EHSI owned, immediately after the Paladin transactions (within the meaning of Section 7874), less than 80% (by both vote and value) of Endo shares by reason of holding shares in EHSI (the ownership test). The former EHSI shareholders owned less than 80% (by both vote and value) of the shares in Endo after the Paladin merger by reason of their ownership of shares in EHSI. As a result, under current law, we expect Endo International plc to be treated as a non-U.S. corporation for U.S. federal income tax purposes. There is limited guidance regarding the application of Section 7874, including with respect to the provisions regarding the application of the ownership test. Our obligation to complete the Paladin transactions was conditional upon receipt of a Section 7874 opinion from our counsel, Skadden, Arps, Slate, Meagher &amp; Flom LLP (Skadden), dated as of the closing date of the Paladin transactions and subject to certain qualifications and limitations set forth therein, to the effect that Section 7874 and the regulations promulgated thereunder should not apply in such a manner so as to cause Endo to be treated as a U.S. corporation for U.S. federal income tax purposes from and after the closing date. However, an opinion of tax counsel is not binding on the IRS or a court. Therefore, there can be no assurance that the IRS will not take a position contrary to Skadden’s Section 7874 opinion or that a court will not agree with the IRS in the event of litigation.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effective rate of taxation upon our results of operations is dependent on multi-national tax considerations.</w:t>
      </w:r>
    </w:p>
    <w:p>
      <w:pPr>
        <w:spacing w:after="0" w:line="121"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Our effective income tax rate in the future could be adversely affected by a number of factors, including changes in the mix of earnings in countries with differing statutory tax rates, changes in the valuation of deferred tax assets and liabilities, changes in tax laws, the outcome of income tax audits and the repatriation of earnings from our subsidiaries for which we have not provided for taxes. Cash repatriations are subject to restrictions in certain jurisdictions and may be subject to withholding and other taxes. We periodically assess our tax positions to determine the adequacy of our tax provisions, which are subject to significant discretion. Although we believe our tax provisions are adequate, the final determination of tax audits and any related disputes could be materially different from our historical income tax provisions and accruals. The results of audits and disputes could have a material adverse effect on our business, financial condition, results of operations and cash flows for the period or periods for which the applicable final determinations are made.</w:t>
      </w:r>
    </w:p>
    <w:p>
      <w:pPr>
        <w:spacing w:after="0" w:line="80"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The IRS and other taxing authorities may continue to challenge our tax positions and we may not be able to successfully maintain such positions.</w:t>
      </w:r>
    </w:p>
    <w:p>
      <w:pPr>
        <w:spacing w:after="0" w:line="144"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We are incorporated in Ireland and also maintain subsidiaries in, among other jurisdictions, the U.S., Canada, India, the United Kingdom and Luxembourg. The IRS and other taxing authorities may continue to challenge our tax positions. The IRS presently is examining certain of our subsidiaries’ U.S. income tax returns for fiscal years ended between December 31, 2011 and December 31, 2015 and, in connection with those examinations, is reviewing our tax positions related to, among other things, certain intercompany arrangements, including the level of profit earned by our U.S. subsidiaries pursuant to such arrangements, and a worthless stock deduction directly attributable to product liability losses. On December 31, 2020, the IRS issued a Technical Advice Memorandum (TAM) that we previously disclosed we were expecting to receive. For additional information, including a discussion of related recent developments and their potential impact on us, refer to Note 21. Income Taxes in the Consolidated Financial Statements included in Part IV, Item 15 of this report.</w:t>
      </w:r>
    </w:p>
    <w:p>
      <w:pPr>
        <w:spacing w:after="0" w:line="70"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During the third quarter of 2020, the IRS opened an examination into certain of our subsidiaries’ U.S. income tax returns for fiscal years ended between December 31, 2016 and December 31, 2018. The IRS will likely examine our tax returns for other fiscal years and/or for other tax positions. Similarly, other tax authorities, including the Canada Revenue Agency, are currently examining our non-U.S. tax returns. Additionally, other jurisdictions where we are not currently under audit remain subject to potential future examinations. Such examinations may lead to proposed or actual adjustments to our taxes that may be material, individually or in the aggregate.</w:t>
      </w:r>
    </w:p>
    <w:p>
      <w:pPr>
        <w:spacing w:after="0" w:line="80"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Responding to or defending any challenge or proposed adjustment to our tax positions is expensive, consumes time and other resources and diverts management’s attention. We cannot predict whether taxing authorities will conduct an audit challenging any of our tax positions, the cost involved in responding to and defending any such audit and resulting litigation, or the outcome. If we are unsuccessful in any of these matters, we may be required to pay taxes for prior periods, interest, fines or penalties, and may be obligated to pay increased taxes in the future or repay certain tax refunds, any of which could require us to reduce our operating costs, decrease efforts in support of our products or seek to raise additional funds, all of which could have a material adverse effect on our business, financial condition, results of operations and cash flows.</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U.S. tax attributes to offset U.S. taxable income may be limited.</w:t>
      </w:r>
    </w:p>
    <w:p>
      <w:pPr>
        <w:spacing w:after="0" w:line="12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Existing and future tax laws and regulations may limit our ability to use U.S. tax attributes including, but not limited to, net operating losses and excess interest expense, to offset U.S. taxable income. For a period of time following the 2014 Paladin transactions, Section 7874 of the Code precludes our U.S. affiliates from utilizing U.S. tax attributes to offset taxable income if we complete certain transactions with related non-U.S. subsidiaries. The limitations on the use of certain tax attributes and deductions in these regulations are in addition to existing rules that could impose more restrictive limitations in the event that cumulative changes in our stock ownership within a three-year period exceeded certain thresholds. Such changes or the adoption of additional limitations could impact our overall utilization of deferred tax assets, potentially resulting in a material adverse effect on our business, financial condition, results of operations and cash flows.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Structural and Organizational Risks</w:t>
      </w:r>
    </w:p>
    <w:p>
      <w:pPr>
        <w:spacing w:after="0" w:line="11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are incorporated in Ireland and Irish law differs from the laws in effect in the U.S. and may afford less protection to, or otherwise adversely affect, our shareholders.</w:t>
      </w:r>
    </w:p>
    <w:p>
      <w:pPr>
        <w:spacing w:after="0" w:line="58"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Our shareholders may have more difficulty protecting their interests than would shareholders of a corporation incorporated in a jurisdiction of the U.S. As an Irish company, we are governed by Irish Companies Act 2014 (the Companies Act). The Companies Act and other relevant aspects of Irish law differ in some material respects from laws generally applicable to U.S. corporations and shareholders, including, among others, the provisions relating to interested director and officer transactions, acquisitions, takeovers, shareholder lawsuits and indemnification of directors. For example, under Irish law, the duties of directors and officers of a company are generally owed to the company only. As a result, shareholders of Irish companies generally do not have a personal right of action against the directors or officers of a company and may pursue a right of action on behalf of the company only in limited circumstances. In addition, depending on the circumstances, the acquisition, ownership and/or disposition of our ordinary shares may subject individuals to different or additional tax consequences under Irish law including, but not limited to, Irish stamp duty, dividend withholding tax and capital acquisitions tax.</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attempts to take us over will be subject to Irish Takeover Rules and subject to review by the Irish Takeover Panel.</w:t>
      </w:r>
    </w:p>
    <w:p>
      <w:pPr>
        <w:spacing w:after="0" w:line="121" w:lineRule="exact"/>
        <w:rPr>
          <w:sz w:val="20"/>
          <w:szCs w:val="20"/>
          <w:color w:val="auto"/>
        </w:rPr>
      </w:pPr>
    </w:p>
    <w:p>
      <w:pPr>
        <w:ind w:right="620" w:firstLine="486"/>
        <w:spacing w:after="0" w:line="308" w:lineRule="auto"/>
        <w:rPr>
          <w:sz w:val="20"/>
          <w:szCs w:val="20"/>
          <w:color w:val="auto"/>
        </w:rPr>
      </w:pPr>
      <w:r>
        <w:rPr>
          <w:rFonts w:ascii="Arial" w:cs="Arial" w:eastAsia="Arial" w:hAnsi="Arial"/>
          <w:sz w:val="17"/>
          <w:szCs w:val="17"/>
          <w:color w:val="auto"/>
        </w:rPr>
        <w:t>We are subject to Irish Takeover Rules, under which the Board will not be permitted to take any action which might frustrate an offer for our ordinary shares once it has received an approach which may lead to an offer or has reason to believe an offer is imminent.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an Irish company and it may be difficult to enforce judgments against us or certain of our officers and directors.</w:t>
      </w:r>
    </w:p>
    <w:p>
      <w:pPr>
        <w:spacing w:after="0" w:line="121"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We are incorporated in Ireland and a substantial portion of our assets are located in jurisdictions outside the U.S. In addition, some of our officers and directors reside outside the U.S., and some or all of their respective assets are or may be located in jurisdictions outside of the U.S. It may be difficult for investors to effect service of process against us or such officers or directors or to enforce against us or them judgments of U.S. courts predicated upon civil liability provisions of the U.S. federal securities laws.</w:t>
      </w:r>
    </w:p>
    <w:p>
      <w:pPr>
        <w:spacing w:after="0" w:line="79" w:lineRule="exact"/>
        <w:rPr>
          <w:sz w:val="20"/>
          <w:szCs w:val="20"/>
          <w:color w:val="auto"/>
        </w:rPr>
      </w:pPr>
    </w:p>
    <w:p>
      <w:pPr>
        <w:ind w:right="120" w:firstLine="486"/>
        <w:spacing w:after="0" w:line="258" w:lineRule="auto"/>
        <w:rPr>
          <w:sz w:val="20"/>
          <w:szCs w:val="20"/>
          <w:color w:val="auto"/>
        </w:rPr>
      </w:pPr>
      <w:r>
        <w:rPr>
          <w:rFonts w:ascii="Arial" w:cs="Arial" w:eastAsia="Arial" w:hAnsi="Arial"/>
          <w:sz w:val="18"/>
          <w:szCs w:val="18"/>
          <w:color w:val="auto"/>
        </w:rPr>
        <w:t>There is no treaty between Ireland and the U.S. providing for the reciprocal enforcement of foreign judgments. The following requirements must be met before a foreign judgment will be deemed to be enforceable in Ireland:</w:t>
      </w:r>
    </w:p>
    <w:p>
      <w:pPr>
        <w:spacing w:after="0" w:line="1" w:lineRule="exact"/>
        <w:rPr>
          <w:sz w:val="20"/>
          <w:szCs w:val="20"/>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judgment must be for a definite sum;</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judgment must be final and conclusive;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judgment must be provided by a court of competent jurisdiction.</w:t>
      </w:r>
    </w:p>
    <w:p>
      <w:pPr>
        <w:spacing w:after="0" w:line="103" w:lineRule="exact"/>
        <w:rPr>
          <w:sz w:val="20"/>
          <w:szCs w:val="20"/>
          <w:color w:val="auto"/>
        </w:rPr>
      </w:pPr>
    </w:p>
    <w:p>
      <w:pPr>
        <w:ind w:right="420" w:firstLine="486"/>
        <w:spacing w:after="0" w:line="259" w:lineRule="auto"/>
        <w:rPr>
          <w:sz w:val="20"/>
          <w:szCs w:val="20"/>
          <w:color w:val="auto"/>
        </w:rPr>
      </w:pPr>
      <w:r>
        <w:rPr>
          <w:rFonts w:ascii="Arial" w:cs="Arial" w:eastAsia="Arial" w:hAnsi="Arial"/>
          <w:sz w:val="18"/>
          <w:szCs w:val="18"/>
          <w:color w:val="auto"/>
        </w:rPr>
        <w:t>An Irish court will also exercise its right to refuse judgment if the foreign judgment was obtained by fraud, if the judgment violated Irish public policy, if the judgment is in breach of natural justice or if it is irreconcilable with an earlier judgment. Further, an Irish court may stay proceedings if concurrent proceedings are being brought elsewhere. Judgments of U.S. courts of liabilities predicated upon U.S. federal securities laws may not be enforced by Irish courts if deemed to be contrary to public policy in Ireland.</w:t>
      </w:r>
    </w:p>
    <w:p>
      <w:pPr>
        <w:spacing w:after="0" w:line="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This section provides information about the location and general character of the Company’s principal physical properties at December 31, 2020.</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The Company’s global headquarters is located in Dublin, Ireland. The Company also conducts certain corporate functions at its Malvern, Pennsylvania location. Both properties are leased. The Malvern lease is described in more detail in Note 9. Leases in the Consolidated Financial Statements included in Part IV, Item 15 of this report. These locations support each of our reportable segments. For example, our global quality and supply chain functions are run from our global headquarters. The Company’s segments conduct certain additional business functions, including manufacturing, distribution, quality assurance, R&amp;D and administration, at locations throughout the U.S. and select global markets. Additional information about the properties of the Company’s reportable segments is set forth below:</w:t>
      </w:r>
    </w:p>
    <w:p>
      <w:pPr>
        <w:spacing w:after="0" w:line="1" w:lineRule="exact"/>
        <w:rPr>
          <w:sz w:val="20"/>
          <w:szCs w:val="20"/>
          <w:color w:val="auto"/>
        </w:rPr>
      </w:pPr>
    </w:p>
    <w:p>
      <w:pPr>
        <w:ind w:left="900" w:right="320" w:hanging="244"/>
        <w:spacing w:after="0" w:line="281" w:lineRule="auto"/>
        <w:tabs>
          <w:tab w:leader="none" w:pos="895" w:val="left"/>
        </w:tabs>
        <w:numPr>
          <w:ilvl w:val="0"/>
          <w:numId w:val="36"/>
        </w:numPr>
        <w:rPr>
          <w:rFonts w:ascii="Arial" w:cs="Arial" w:eastAsia="Arial" w:hAnsi="Arial"/>
          <w:sz w:val="16"/>
          <w:szCs w:val="16"/>
          <w:color w:val="auto"/>
        </w:rPr>
      </w:pPr>
      <w:r>
        <w:rPr>
          <w:rFonts w:ascii="Arial" w:cs="Arial" w:eastAsia="Arial" w:hAnsi="Arial"/>
          <w:sz w:val="16"/>
          <w:szCs w:val="16"/>
          <w:color w:val="auto"/>
        </w:rPr>
        <w:t>Branded Pharmaceuticals: This segment also conducts certain operations in the U.S. through leased and owned manufacturing properties in Pennsylvania, New York and New Jersey, as well as certain administrative and R&amp;D functions through leased properties in Pennsylvania.</w:t>
      </w:r>
    </w:p>
    <w:p>
      <w:pPr>
        <w:spacing w:after="0" w:line="1" w:lineRule="exact"/>
        <w:rPr>
          <w:rFonts w:ascii="Arial" w:cs="Arial" w:eastAsia="Arial" w:hAnsi="Arial"/>
          <w:sz w:val="16"/>
          <w:szCs w:val="16"/>
          <w:color w:val="auto"/>
        </w:rPr>
      </w:pPr>
    </w:p>
    <w:p>
      <w:pPr>
        <w:ind w:left="900" w:hanging="244"/>
        <w:spacing w:after="0" w:line="250" w:lineRule="auto"/>
        <w:tabs>
          <w:tab w:leader="none" w:pos="8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Sterile Injectables: This segment also conducts certain manufacturing, quality assurance, R&amp;D and administration functions in the U.S. through owned and leased properties in Michigan, as well as certain R&amp;D and administration functions in New York and in India in the same facilities as our Generic Pharmaceuticals segment, as discussed below.</w:t>
      </w:r>
    </w:p>
    <w:p>
      <w:pPr>
        <w:spacing w:after="0" w:line="1" w:lineRule="exact"/>
        <w:rPr>
          <w:rFonts w:ascii="Arial" w:cs="Arial" w:eastAsia="Arial" w:hAnsi="Arial"/>
          <w:sz w:val="18"/>
          <w:szCs w:val="18"/>
          <w:color w:val="auto"/>
        </w:rPr>
      </w:pPr>
    </w:p>
    <w:p>
      <w:pPr>
        <w:ind w:left="900" w:right="240" w:hanging="244"/>
        <w:spacing w:after="0" w:line="250" w:lineRule="auto"/>
        <w:tabs>
          <w:tab w:leader="none" w:pos="8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Generic Pharmaceuticals: This segment also conducts certain manufacturing, distribution, quality assurance and administration functions, as well as certain R&amp;D functions, through owned and leased properties throughout the U.S., including in New York and California. It also conducts significant R&amp;D operations, as well as certain manufacturing and administrative functions, in India through owned and leased facilities in Chennai and Mumbai.</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International Pharmaceuticals: This segment’s operations are currently conducted through Paladin’s leased headquarters in Montreal, Canada.</w:t>
      </w:r>
    </w:p>
    <w:p>
      <w:pPr>
        <w:spacing w:after="0" w:line="12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As of December 31, 2020, our owned and leased properties consist of approximately 1.1 million and 1.2 million square feet, respectively. We believe our properties are suitable and adequate to support our current and projected operations in all material respects.</w:t>
      </w:r>
    </w:p>
    <w:p>
      <w:pPr>
        <w:spacing w:after="0" w:line="5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disclosures under Note 16. Commitments and Contingencies in the Consolidated Financial Statements included in Part IV, Item 15 of this report are incorporated into this Part I, Item 3 by reference.</w:t>
      </w:r>
    </w:p>
    <w:p>
      <w:pPr>
        <w:spacing w:after="0" w:line="5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Our ordinary shares are traded on the Nasdaq under the ticker symbol “ENDP.”</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Holders</w:t>
      </w:r>
      <w:r>
        <w:rPr>
          <w:rFonts w:ascii="Arial" w:cs="Arial" w:eastAsia="Arial" w:hAnsi="Arial"/>
          <w:sz w:val="18"/>
          <w:szCs w:val="18"/>
          <w:color w:val="auto"/>
        </w:rPr>
        <w:t>. As of February 18, 2021, we estimate that there were approximately 67 holders of record of our ordinary shares.</w:t>
      </w:r>
    </w:p>
    <w:p>
      <w:pPr>
        <w:spacing w:after="0" w:line="11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We have never declared or paid any cash dividends on our ordinary shares and we currently have no plans to declare a dividend. We are</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to pay dividends subject to limitations imposed by Irish law, the various agreements and indentures governing our indebtedness and the existence of sufficient distributable reserves. For example, the Companies Act requires Irish companies to have distributable reserves equal to or greater than the amount of any proposed dividend. Unless we are able to generate sufficient distributable reserves or create distributable reserves by reducing our share premium account, we will not be able to pay dividends.</w:t>
      </w:r>
    </w:p>
    <w:p>
      <w:pPr>
        <w:spacing w:after="0" w:line="80" w:lineRule="exact"/>
        <w:rPr>
          <w:sz w:val="20"/>
          <w:szCs w:val="20"/>
          <w:color w:val="auto"/>
        </w:rPr>
      </w:pPr>
    </w:p>
    <w:p>
      <w:pPr>
        <w:ind w:right="140" w:firstLine="486"/>
        <w:spacing w:after="0" w:line="301" w:lineRule="auto"/>
        <w:rPr>
          <w:sz w:val="20"/>
          <w:szCs w:val="20"/>
          <w:color w:val="auto"/>
        </w:rPr>
      </w:pPr>
      <w:r>
        <w:rPr>
          <w:rFonts w:ascii="Arial" w:cs="Arial" w:eastAsia="Arial" w:hAnsi="Arial"/>
          <w:sz w:val="16"/>
          <w:szCs w:val="16"/>
          <w:i w:val="1"/>
          <w:iCs w:val="1"/>
          <w:color w:val="auto"/>
        </w:rPr>
        <w:t xml:space="preserve">Performance Graph. </w:t>
      </w:r>
      <w:r>
        <w:rPr>
          <w:rFonts w:ascii="Arial" w:cs="Arial" w:eastAsia="Arial" w:hAnsi="Arial"/>
          <w:sz w:val="16"/>
          <w:szCs w:val="16"/>
          <w:color w:val="auto"/>
        </w:rPr>
        <w:t>The following graph provides a comparison of the cumulative total shareholder return on the Company’s ordinary shares with</w:t>
      </w:r>
      <w:r>
        <w:rPr>
          <w:rFonts w:ascii="Arial" w:cs="Arial" w:eastAsia="Arial" w:hAnsi="Arial"/>
          <w:sz w:val="16"/>
          <w:szCs w:val="16"/>
          <w:i w:val="1"/>
          <w:iCs w:val="1"/>
          <w:color w:val="auto"/>
        </w:rPr>
        <w:t xml:space="preserve"> </w:t>
      </w:r>
      <w:r>
        <w:rPr>
          <w:rFonts w:ascii="Arial" w:cs="Arial" w:eastAsia="Arial" w:hAnsi="Arial"/>
          <w:sz w:val="16"/>
          <w:szCs w:val="16"/>
          <w:color w:val="auto"/>
        </w:rPr>
        <w:t>that of the cumulative total shareholder return on the (i) NASDAQ Composite Index and (ii) the NASDAQ Pharmaceutical Index, commencing on December 31, 2015 and ending December 31, 2020. The graph assumes $100 invested on December 31, 2015 in the Company’s ordinary shares and in each of the comparative indices. Our historic share price performance is not necessarily indicative of future share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40005</wp:posOffset>
            </wp:positionV>
            <wp:extent cx="5572125" cy="37890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72125" cy="3789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7"/>
        </w:trPr>
        <w:tc>
          <w:tcPr>
            <w:tcW w:w="28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24"/>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Endo International plc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NASDAQ Composite Index</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108.87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141.13</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137.12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187.44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271.64</w:t>
            </w:r>
          </w:p>
        </w:tc>
      </w:tr>
      <w:tr>
        <w:trPr>
          <w:trHeight w:val="23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NASDAQ Pharmaceutical Index</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132.91</w:t>
            </w:r>
          </w:p>
        </w:tc>
      </w:tr>
    </w:tbl>
    <w:p>
      <w:pPr>
        <w:spacing w:after="0" w:line="94"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i w:val="1"/>
          <w:iCs w:val="1"/>
          <w:color w:val="auto"/>
        </w:rPr>
        <w:t xml:space="preserve">Recent sales of unregistered securities; Use of proceeds from registered securities. </w:t>
      </w:r>
      <w:r>
        <w:rPr>
          <w:rFonts w:ascii="Arial" w:cs="Arial" w:eastAsia="Arial" w:hAnsi="Arial"/>
          <w:sz w:val="18"/>
          <w:szCs w:val="18"/>
          <w:color w:val="auto"/>
        </w:rPr>
        <w:t>There were no unregistered sales of equity securities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during the three years ended December 31, 2020.</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i w:val="1"/>
          <w:iCs w:val="1"/>
          <w:color w:val="auto"/>
        </w:rPr>
        <w:t xml:space="preserve">Purchase of Equity Securities by the issuer and affiliated purchasers. </w:t>
      </w:r>
      <w:r>
        <w:rPr>
          <w:rFonts w:ascii="Arial" w:cs="Arial" w:eastAsia="Arial" w:hAnsi="Arial"/>
          <w:sz w:val="18"/>
          <w:szCs w:val="18"/>
          <w:color w:val="auto"/>
        </w:rPr>
        <w:t>The following table reflects purchases of Endo International plc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by the Company during the three months ended December 31, 2020:</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7"/>
              </w:rPr>
              <w:t>Total Number of Shares</w:t>
            </w:r>
          </w:p>
        </w:tc>
        <w:tc>
          <w:tcPr>
            <w:tcW w:w="100" w:type="dxa"/>
            <w:vAlign w:val="bottom"/>
          </w:tcPr>
          <w:p>
            <w:pPr>
              <w:spacing w:after="0"/>
              <w:rPr>
                <w:sz w:val="11"/>
                <w:szCs w:val="11"/>
                <w:color w:val="auto"/>
              </w:rPr>
            </w:pPr>
          </w:p>
        </w:tc>
        <w:tc>
          <w:tcPr>
            <w:tcW w:w="1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Average Price Paid per</w:t>
            </w:r>
          </w:p>
        </w:tc>
        <w:tc>
          <w:tcPr>
            <w:tcW w:w="1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35"/>
        </w:trPr>
        <w:tc>
          <w:tcPr>
            <w:tcW w:w="4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Purchased as Part of</w:t>
            </w:r>
          </w:p>
        </w:tc>
        <w:tc>
          <w:tcPr>
            <w:tcW w:w="100" w:type="dxa"/>
            <w:vAlign w:val="bottom"/>
          </w:tcPr>
          <w:p>
            <w:pPr>
              <w:spacing w:after="0"/>
              <w:rPr>
                <w:sz w:val="11"/>
                <w:szCs w:val="11"/>
                <w:color w:val="auto"/>
              </w:rPr>
            </w:pPr>
          </w:p>
        </w:tc>
        <w:tc>
          <w:tcPr>
            <w:tcW w:w="168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2"/>
              </w:rPr>
              <w:t>Purchased Under the Plan</w:t>
            </w:r>
          </w:p>
        </w:tc>
        <w:tc>
          <w:tcPr>
            <w:tcW w:w="0" w:type="dxa"/>
            <w:vAlign w:val="bottom"/>
          </w:tcPr>
          <w:p>
            <w:pPr>
              <w:spacing w:after="0"/>
              <w:rPr>
                <w:sz w:val="1"/>
                <w:szCs w:val="1"/>
                <w:color w:val="auto"/>
              </w:rPr>
            </w:pPr>
          </w:p>
        </w:tc>
      </w:tr>
      <w:tr>
        <w:trPr>
          <w:trHeight w:val="188"/>
        </w:trPr>
        <w:tc>
          <w:tcPr>
            <w:tcW w:w="4260" w:type="dxa"/>
            <w:vAlign w:val="bottom"/>
            <w:gridSpan w:val="2"/>
            <w:vMerge w:val="continue"/>
          </w:tcPr>
          <w:p>
            <w:pPr>
              <w:spacing w:after="0"/>
              <w:rPr>
                <w:sz w:val="16"/>
                <w:szCs w:val="16"/>
                <w:color w:val="auto"/>
              </w:rPr>
            </w:pPr>
          </w:p>
        </w:tc>
        <w:tc>
          <w:tcPr>
            <w:tcW w:w="1660" w:type="dxa"/>
            <w:vAlign w:val="bottom"/>
          </w:tcPr>
          <w:p>
            <w:pPr>
              <w:ind w:left="500"/>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16"/>
                <w:szCs w:val="16"/>
                <w:color w:val="auto"/>
              </w:rPr>
            </w:pPr>
          </w:p>
        </w:tc>
        <w:tc>
          <w:tcPr>
            <w:tcW w:w="1780" w:type="dxa"/>
            <w:vAlign w:val="bottom"/>
            <w:gridSpan w:val="2"/>
          </w:tcPr>
          <w:p>
            <w:pPr>
              <w:ind w:left="660"/>
              <w:spacing w:after="0"/>
              <w:rPr>
                <w:sz w:val="20"/>
                <w:szCs w:val="20"/>
                <w:color w:val="auto"/>
              </w:rPr>
            </w:pPr>
            <w:r>
              <w:rPr>
                <w:rFonts w:ascii="Arial" w:cs="Arial" w:eastAsia="Arial" w:hAnsi="Arial"/>
                <w:sz w:val="14"/>
                <w:szCs w:val="14"/>
                <w:b w:val="1"/>
                <w:bCs w:val="1"/>
                <w:color w:val="auto"/>
              </w:rPr>
              <w:t>Share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Publicly Announced Plan</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right"/>
              <w:ind w:right="675"/>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24"/>
        </w:trPr>
        <w:tc>
          <w:tcPr>
            <w:tcW w:w="4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 2020 to October 31, 2020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2,250,000,000</w:t>
            </w:r>
          </w:p>
        </w:tc>
        <w:tc>
          <w:tcPr>
            <w:tcW w:w="0" w:type="dxa"/>
            <w:vAlign w:val="bottom"/>
          </w:tcPr>
          <w:p>
            <w:pPr>
              <w:spacing w:after="0"/>
              <w:rPr>
                <w:sz w:val="1"/>
                <w:szCs w:val="1"/>
                <w:color w:val="auto"/>
              </w:rPr>
            </w:pPr>
          </w:p>
        </w:tc>
      </w:tr>
      <w:tr>
        <w:trPr>
          <w:trHeight w:val="230"/>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November 1, 2020 to November 30, 2020</w:t>
            </w:r>
          </w:p>
        </w:tc>
        <w:tc>
          <w:tcPr>
            <w:tcW w:w="1660" w:type="dxa"/>
            <w:vAlign w:val="bottom"/>
          </w:tcPr>
          <w:p>
            <w:pPr>
              <w:ind w:left="1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7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660" w:type="dxa"/>
            <w:vAlign w:val="bottom"/>
          </w:tcPr>
          <w:p>
            <w:pPr>
              <w:ind w:left="14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2,250,000,000</w:t>
            </w:r>
          </w:p>
        </w:tc>
        <w:tc>
          <w:tcPr>
            <w:tcW w:w="0" w:type="dxa"/>
            <w:vAlign w:val="bottom"/>
          </w:tcPr>
          <w:p>
            <w:pPr>
              <w:spacing w:after="0"/>
              <w:rPr>
                <w:sz w:val="1"/>
                <w:szCs w:val="1"/>
                <w:color w:val="auto"/>
              </w:rPr>
            </w:pPr>
          </w:p>
        </w:tc>
      </w:tr>
      <w:tr>
        <w:trPr>
          <w:trHeight w:val="22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2020 to December 31, 2020</w:t>
            </w:r>
          </w:p>
        </w:tc>
        <w:tc>
          <w:tcPr>
            <w:tcW w:w="166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2,250,000,000</w:t>
            </w:r>
          </w:p>
        </w:tc>
        <w:tc>
          <w:tcPr>
            <w:tcW w:w="0" w:type="dxa"/>
            <w:vAlign w:val="bottom"/>
          </w:tcPr>
          <w:p>
            <w:pPr>
              <w:spacing w:after="0"/>
              <w:rPr>
                <w:sz w:val="1"/>
                <w:szCs w:val="1"/>
                <w:color w:val="auto"/>
              </w:rPr>
            </w:pPr>
          </w:p>
        </w:tc>
      </w:tr>
      <w:tr>
        <w:trPr>
          <w:trHeight w:val="223"/>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Three months ended December 31, 2020</w:t>
            </w:r>
          </w:p>
        </w:tc>
        <w:tc>
          <w:tcPr>
            <w:tcW w:w="166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7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40" w:hanging="329"/>
        <w:spacing w:after="0" w:line="263" w:lineRule="auto"/>
        <w:tabs>
          <w:tab w:leader="none" w:pos="572" w:val="left"/>
        </w:tabs>
        <w:numPr>
          <w:ilvl w:val="0"/>
          <w:numId w:val="37"/>
        </w:numPr>
        <w:rPr>
          <w:rFonts w:ascii="Arial" w:cs="Arial" w:eastAsia="Arial" w:hAnsi="Arial"/>
          <w:sz w:val="13"/>
          <w:szCs w:val="13"/>
          <w:color w:val="auto"/>
        </w:rPr>
      </w:pPr>
      <w:r>
        <w:rPr>
          <w:rFonts w:ascii="Arial" w:cs="Arial" w:eastAsia="Arial" w:hAnsi="Arial"/>
          <w:sz w:val="13"/>
          <w:szCs w:val="13"/>
          <w:color w:val="auto"/>
        </w:rPr>
        <w:t>Pursuant to Article 11 of the Company’s Articles of Association, the Company has broad shareholder authority to conduct ordinary share repurchases by way of redemptions. As permitted by Irish Law and the Company’s Articles of Association, any ordinary shares redeemed shall be cancelled upon redemption. The Board has approved the 2015 Share Buyback Program that authorizes the Company to redeem, in the aggregate, $2.5 billion of its outstanding ordinary shares. Redemptions under this program may be made from time to time in open market or negotiated transactions or otherwise, as determined by the Board. This program does not obligate the Company to redeem any particular amount of ordinary shares. To date, the Company has redeemed and cancelled approximately 4.4 million of its ordinary shares under the 2015 Share Buyback Program for $250.0 million, not including related fees. We currently do not intend to conduct ordinary share repurchases in the foreseeable future. Future redemptions, if any, will depend on factors such as levels of cash generation from operations, cash requirements for investment in the Company’s business, repayment of future debt, if any, the then current share price, market conditions, legal limitations, sufficient distributable reserves and other factors. For example, the Companies Act requires Irish companies to have distributable reserves equal to or greater than the amount of any proposed ordinary share repurchase amount. Unless we are able to generate sufficient distributable reserves or create distributable reserves by reducing our share premium account, we will not be able to repurchase our ordinary shares. The 2015 Share Buyback Program may be suspended, modified or discontinued at any time.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121" w:lineRule="exact"/>
        <w:rPr>
          <w:sz w:val="20"/>
          <w:szCs w:val="20"/>
          <w:color w:val="auto"/>
        </w:rPr>
      </w:pPr>
    </w:p>
    <w:p>
      <w:pPr>
        <w:jc w:val="both"/>
        <w:ind w:right="80" w:firstLine="486"/>
        <w:spacing w:after="0" w:line="301" w:lineRule="auto"/>
        <w:rPr>
          <w:sz w:val="20"/>
          <w:szCs w:val="20"/>
          <w:color w:val="auto"/>
        </w:rPr>
      </w:pPr>
      <w:r>
        <w:rPr>
          <w:rFonts w:ascii="Arial" w:cs="Arial" w:eastAsia="Arial" w:hAnsi="Arial"/>
          <w:sz w:val="16"/>
          <w:szCs w:val="16"/>
          <w:color w:val="auto"/>
        </w:rPr>
        <w:t>The following tables present selected consolidated financial data for the periods indicated below (in thousands, except per share data). This data has been derived from our financial statements and should be read in conjunction with Part II, Item 7 of this report “Management’s Discussion and Analysis of Financial Condition and Results of Operations” and Part II, Item 8 of this report “Financial Statements and Supplementary Data”. The selected data in this section is not intended to replace the Consolidated Financial Statements and is not necessarily indicative of the results of our future operations.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center"/>
              <w:ind w:right="150"/>
              <w:spacing w:after="0"/>
              <w:rPr>
                <w:sz w:val="20"/>
                <w:szCs w:val="20"/>
                <w:color w:val="auto"/>
              </w:rPr>
            </w:pPr>
            <w:r>
              <w:rPr>
                <w:rFonts w:ascii="Arial" w:cs="Arial" w:eastAsia="Arial" w:hAnsi="Arial"/>
                <w:sz w:val="14"/>
                <w:szCs w:val="14"/>
                <w:b w:val="1"/>
                <w:bCs w:val="1"/>
                <w:color w:val="auto"/>
                <w:w w:val="93"/>
              </w:rPr>
              <w:t>Year Ended December 31,</w:t>
            </w: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7"/>
        </w:trPr>
        <w:tc>
          <w:tcPr>
            <w:tcW w:w="40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11"/>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 of Operations Data:</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Pr>
          <w:p>
            <w:pPr>
              <w:jc w:val="right"/>
              <w:ind w:right="118"/>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2,903,074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2,914,364</w:t>
            </w:r>
          </w:p>
        </w:tc>
        <w:tc>
          <w:tcPr>
            <w:tcW w:w="42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2,947,078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3,468,858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4,010,274</w:t>
            </w: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(360,584)</w:t>
            </w:r>
          </w:p>
        </w:tc>
        <w:tc>
          <w:tcPr>
            <w:tcW w:w="4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(1,232,711)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(3,223,772)</w:t>
            </w:r>
          </w:p>
        </w:tc>
      </w:tr>
      <w:tr>
        <w:trPr>
          <w:trHeight w:val="229"/>
        </w:trPr>
        <w:tc>
          <w:tcPr>
            <w:tcW w:w="4040" w:type="dxa"/>
            <w:vAlign w:val="bottom"/>
            <w:gridSpan w:val="2"/>
          </w:tcPr>
          <w:p>
            <w:pPr>
              <w:ind w:left="20"/>
              <w:spacing w:after="0"/>
              <w:rPr>
                <w:sz w:val="20"/>
                <w:szCs w:val="20"/>
                <w:color w:val="auto"/>
              </w:rPr>
            </w:pPr>
            <w:r>
              <w:rPr>
                <w:rFonts w:ascii="Arial" w:cs="Arial" w:eastAsia="Arial" w:hAnsi="Arial"/>
                <w:sz w:val="18"/>
                <w:szCs w:val="18"/>
                <w:i w:val="1"/>
                <w:iCs w:val="1"/>
                <w:color w:val="auto"/>
                <w:w w:val="96"/>
              </w:rPr>
              <w:t>Net income (loss) per share—continuing operations: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r>
      <w:tr>
        <w:trPr>
          <w:trHeight w:val="229"/>
        </w:trPr>
        <w:tc>
          <w:tcPr>
            <w:tcW w:w="4040" w:type="dxa"/>
            <w:vAlign w:val="bottom"/>
            <w:gridSpan w:val="2"/>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8"/>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(1.60)</w:t>
            </w:r>
          </w:p>
        </w:tc>
        <w:tc>
          <w:tcPr>
            <w:tcW w:w="42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(14.48)</w:t>
            </w: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shares—basic</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222,651</w:t>
            </w: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Weighted average shares—diluted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233,653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226,050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223,960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223,198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222,651</w:t>
            </w: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dividends declared per share</w:t>
            </w:r>
          </w:p>
        </w:tc>
        <w:tc>
          <w:tcPr>
            <w:tcW w:w="3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99"/>
        </w:trPr>
        <w:tc>
          <w:tcPr>
            <w:tcW w:w="40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As of December 31,</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87"/>
        </w:trPr>
        <w:tc>
          <w:tcPr>
            <w:tcW w:w="40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11"/>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38"/>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1,213,437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1,454,531</w:t>
            </w:r>
          </w:p>
        </w:tc>
        <w:tc>
          <w:tcPr>
            <w:tcW w:w="420" w:type="dxa"/>
            <w:vAlign w:val="bottom"/>
            <w:gridSpan w:val="3"/>
          </w:tcPr>
          <w:p>
            <w:pPr>
              <w:jc w:val="right"/>
              <w:ind w:right="12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1,149,113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986,605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517,250</w:t>
            </w: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9,264,637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9,389,527</w:t>
            </w:r>
          </w:p>
        </w:tc>
        <w:tc>
          <w:tcPr>
            <w:tcW w:w="42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10,132,393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11,635,580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14,275,109</w:t>
            </w: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Long-term debt, less current portion, net</w:t>
            </w:r>
          </w:p>
        </w:tc>
        <w:tc>
          <w:tcPr>
            <w:tcW w:w="300" w:type="dxa"/>
            <w:vAlign w:val="bottom"/>
          </w:tcPr>
          <w:p>
            <w:pPr>
              <w:jc w:val="right"/>
              <w:ind w:right="138"/>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8,280,578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8,359,899</w:t>
            </w:r>
          </w:p>
        </w:tc>
        <w:tc>
          <w:tcPr>
            <w:tcW w:w="420" w:type="dxa"/>
            <w:vAlign w:val="bottom"/>
            <w:gridSpan w:val="3"/>
          </w:tcPr>
          <w:p>
            <w:pPr>
              <w:jc w:val="right"/>
              <w:ind w:right="12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8,224,269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8,242,032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8,141,378</w:t>
            </w: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obligations</w:t>
            </w:r>
          </w:p>
        </w:tc>
        <w:tc>
          <w:tcPr>
            <w:tcW w:w="300" w:type="dxa"/>
            <w:vAlign w:val="bottom"/>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378,174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435,883</w:t>
            </w:r>
          </w:p>
        </w:tc>
        <w:tc>
          <w:tcPr>
            <w:tcW w:w="42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687,759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797,397</w:t>
            </w:r>
          </w:p>
        </w:tc>
      </w:tr>
    </w:tbl>
    <w:p>
      <w:pPr>
        <w:spacing w:after="0" w:line="94" w:lineRule="exact"/>
        <w:rPr>
          <w:sz w:val="20"/>
          <w:szCs w:val="20"/>
          <w:color w:val="auto"/>
        </w:rPr>
      </w:pPr>
    </w:p>
    <w:p>
      <w:pPr>
        <w:ind w:right="280" w:firstLine="486"/>
        <w:spacing w:after="0" w:line="311" w:lineRule="auto"/>
        <w:rPr>
          <w:sz w:val="20"/>
          <w:szCs w:val="20"/>
          <w:color w:val="auto"/>
        </w:rPr>
      </w:pPr>
      <w:r>
        <w:rPr>
          <w:rFonts w:ascii="Arial" w:cs="Arial" w:eastAsia="Arial" w:hAnsi="Arial"/>
          <w:sz w:val="16"/>
          <w:szCs w:val="16"/>
          <w:color w:val="auto"/>
        </w:rPr>
        <w:t xml:space="preserve">Based on the Company’s adoption of certain accounting principles, including, for example, its modified retrospective adoptions of </w:t>
      </w:r>
      <w:r>
        <w:rPr>
          <w:rFonts w:ascii="Arial" w:cs="Arial" w:eastAsia="Arial" w:hAnsi="Arial"/>
          <w:sz w:val="16"/>
          <w:szCs w:val="16"/>
          <w:i w:val="1"/>
          <w:iCs w:val="1"/>
          <w:color w:val="auto"/>
        </w:rPr>
        <w:t>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Standards Codification (ASC) Topic 606, Revenue from Contracts with Customers </w:t>
      </w:r>
      <w:r>
        <w:rPr>
          <w:rFonts w:ascii="Arial" w:cs="Arial" w:eastAsia="Arial" w:hAnsi="Arial"/>
          <w:sz w:val="16"/>
          <w:szCs w:val="16"/>
          <w:color w:val="auto"/>
        </w:rPr>
        <w:t>(ASC 606) and</w:t>
      </w:r>
      <w:r>
        <w:rPr>
          <w:rFonts w:ascii="Arial" w:cs="Arial" w:eastAsia="Arial" w:hAnsi="Arial"/>
          <w:sz w:val="16"/>
          <w:szCs w:val="16"/>
          <w:i w:val="1"/>
          <w:iCs w:val="1"/>
          <w:color w:val="auto"/>
        </w:rPr>
        <w:t xml:space="preserve"> Accounting Standards Codification Topic 842, Leases </w:t>
      </w:r>
      <w:r>
        <w:rPr>
          <w:rFonts w:ascii="Arial" w:cs="Arial" w:eastAsia="Arial" w:hAnsi="Arial"/>
          <w:sz w:val="16"/>
          <w:szCs w:val="16"/>
          <w:color w:val="auto"/>
        </w:rPr>
        <w:t>(ASC 842) on January 1, 2018 and January 1, 2019, respectively, the accounting principles in effect differ among the periods presented above.</w:t>
      </w:r>
    </w:p>
    <w:p>
      <w:pPr>
        <w:spacing w:after="0" w:line="41"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The Company has recorded certain amounts for asset impairment charges and litigation-related and other matters during each year presented, portions of which are reported as Discontinued operations, net of tax in the Consolidated Statements of Operations. The Company has completed certain acquisitions during or after 2016, including the acquisition of BioSpecifics, as further described in Note 5. Acquisitions in the Consolidated Financial Statements included in Part IV, Item 15 of this report. In certain cases, these acquisitions had a significant impact on the Company’s financial statements in their respective years of acquisition and in subsequent years. These impacts result from the consideration transferred by the Company for the acquisitions, the initial and subsequent purchase accounting for the acquired entities’ assets and liabilities and the post-acquisition results of operations.</w:t>
      </w:r>
    </w:p>
    <w:p>
      <w:pPr>
        <w:spacing w:after="0" w:line="56"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The Company has also ceased operations and/or divested of certain businesses. The Company sold the Men’s Health and Prostate Health units of the American Medical Systems Holdings, Inc. (AMS) business in 2015 and wound down the Women’s Health unit of the AMS business (Astora) in March 2016. The operating results of the entire AMS business, which includes the Men’s Health, Prostate Health and Astora businesses, are reported as Discontinued operations, net of tax in the Consolidated Statements of Operations for all periods presented. For additional information, see Note 3. Discontinued Operations in the Consolidated Financial Statements included in Part IV, Item 15 of this report. The assets and liabilities of Litha, which was sold in July 2017, are classified as held for sale in the Consolidated Balance Sheets as of December 31, 2016. Somar was sold in October 2017.</w:t>
      </w:r>
    </w:p>
    <w:p>
      <w:pPr>
        <w:spacing w:after="0" w:line="56" w:lineRule="exact"/>
        <w:rPr>
          <w:sz w:val="20"/>
          <w:szCs w:val="20"/>
          <w:color w:val="auto"/>
        </w:rPr>
      </w:pPr>
    </w:p>
    <w:p>
      <w:pPr>
        <w:jc w:val="both"/>
        <w:ind w:right="140" w:firstLine="486"/>
        <w:spacing w:after="0" w:line="286" w:lineRule="auto"/>
        <w:rPr>
          <w:sz w:val="20"/>
          <w:szCs w:val="20"/>
          <w:color w:val="auto"/>
        </w:rPr>
      </w:pPr>
      <w:r>
        <w:rPr>
          <w:rFonts w:ascii="Arial" w:cs="Arial" w:eastAsia="Arial" w:hAnsi="Arial"/>
          <w:sz w:val="17"/>
          <w:szCs w:val="17"/>
          <w:color w:val="auto"/>
        </w:rPr>
        <w:t>For further information regarding the comparability of the financial data presented in the tables above and factors that may impact comparability of future results, see Item 7. Management’s Discussion and Analysis of Financial Condition and Results of Operations as well as the Consolidated Financial Statements and related notes included in this Annual Report and previously filed Annual Reports on Form 10-K.</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describes the principal factors affecting the results of operations, liquidity and capital resources and critical accounting estimates of Endo International plc.</w:t>
      </w:r>
    </w:p>
    <w:p>
      <w:pPr>
        <w:spacing w:after="0" w:line="62"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Generally speaking, this section omits discussions about 2018 items and comparisons between 2019 and 2018. Such discussions can be found in Item 7. Management’s Discussion and Analysis of Financial Condition and Results of Operations in our Annual Report on Form 10-K for the year ended December 31, 2019. However, as further discussed below, the Company has revised its definition of Segment adjusted income from continuing operations before income tax, effective January 1, 2020, to exclude certain legal costs, resulting in certain adjustments being made to previously reported amounts for 2019 and 2018. Therefore, in the case of Segment adjusted income from continuing operations before income tax, the Company has included discussions in this Management’s Discussion and Analysis of Financial Condition and Results of Operations about 2018 and comparisons between 2019 and 2018.</w:t>
      </w:r>
    </w:p>
    <w:p>
      <w:pPr>
        <w:spacing w:after="0" w:line="5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discussions in this Management’s Discussion and Analysis of Financial Condition and Results of Operations should be read in conjunction with our audited Consolidated Financial Statements and related notes thereto. Except for the historical information contained in this report, including the following discussion, this report contains forward-looking statements that involve risks and uncertainties. See “Forward-Looking Statements” beginning on page i of this report.</w:t>
      </w:r>
    </w:p>
    <w:p>
      <w:pPr>
        <w:spacing w:after="0" w:line="79" w:lineRule="exact"/>
        <w:rPr>
          <w:sz w:val="20"/>
          <w:szCs w:val="20"/>
          <w:color w:val="auto"/>
        </w:rPr>
      </w:pPr>
    </w:p>
    <w:p>
      <w:pPr>
        <w:ind w:right="740" w:firstLine="486"/>
        <w:spacing w:after="0" w:line="277" w:lineRule="auto"/>
        <w:rPr>
          <w:sz w:val="20"/>
          <w:szCs w:val="20"/>
          <w:color w:val="auto"/>
        </w:rPr>
      </w:pPr>
      <w:r>
        <w:rPr>
          <w:rFonts w:ascii="Arial" w:cs="Arial" w:eastAsia="Arial" w:hAnsi="Arial"/>
          <w:sz w:val="18"/>
          <w:szCs w:val="18"/>
          <w:color w:val="auto"/>
        </w:rPr>
        <w:t>Unless otherwise indicated or required by the context, references throughout to “Endo,” the “Company,” “we,” “our” or “us” refer to Endo International plc and its subsidiaries.</w:t>
      </w:r>
    </w:p>
    <w:p>
      <w:pPr>
        <w:spacing w:after="0" w:line="62"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The operating results of Astora are reported as Discontinued operations, net of tax in the Consolidated Statements of Operations for all periods presented. For additional information, see Note 3. Discontinued Operations in the Consolidated Financial Statements included in Part IV, Item 15 of this report.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executive summary provides 2020 highlights from the results of operations that follow:</w:t>
      </w:r>
    </w:p>
    <w:p>
      <w:pPr>
        <w:spacing w:after="0" w:line="23" w:lineRule="exact"/>
        <w:rPr>
          <w:sz w:val="20"/>
          <w:szCs w:val="20"/>
          <w:color w:val="auto"/>
        </w:rPr>
      </w:pPr>
    </w:p>
    <w:p>
      <w:pPr>
        <w:ind w:left="900" w:right="280" w:hanging="244"/>
        <w:spacing w:after="0" w:line="250" w:lineRule="auto"/>
        <w:tabs>
          <w:tab w:leader="none" w:pos="8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Total revenues in 2020 were $2,903.1 million compared to $2,914.4 million in 2019 as strong performance from our Sterile Injectables segment was offset by declines in our Branded Pharmaceuticals, Generic Pharmaceuticals and International Pharmaceuticals segments. Our 2020 revenues were impacted by COVID-19, as further described below.</w:t>
      </w:r>
    </w:p>
    <w:p>
      <w:pPr>
        <w:spacing w:after="0" w:line="1" w:lineRule="exact"/>
        <w:rPr>
          <w:rFonts w:ascii="Arial" w:cs="Arial" w:eastAsia="Arial" w:hAnsi="Arial"/>
          <w:sz w:val="18"/>
          <w:szCs w:val="18"/>
          <w:color w:val="auto"/>
        </w:rPr>
      </w:pPr>
    </w:p>
    <w:p>
      <w:pPr>
        <w:ind w:left="900" w:right="160" w:hanging="244"/>
        <w:spacing w:after="0" w:line="242" w:lineRule="auto"/>
        <w:tabs>
          <w:tab w:leader="none" w:pos="895" w:val="left"/>
        </w:tabs>
        <w:numPr>
          <w:ilvl w:val="0"/>
          <w:numId w:val="38"/>
        </w:numPr>
        <w:rPr>
          <w:rFonts w:ascii="Arial" w:cs="Arial" w:eastAsia="Arial" w:hAnsi="Arial"/>
          <w:sz w:val="17"/>
          <w:szCs w:val="17"/>
          <w:b w:val="1"/>
          <w:bCs w:val="1"/>
          <w:i w:val="1"/>
          <w:iCs w:val="1"/>
          <w:color w:val="auto"/>
        </w:rPr>
      </w:pPr>
      <w:r>
        <w:rPr>
          <w:rFonts w:ascii="Arial" w:cs="Arial" w:eastAsia="Arial" w:hAnsi="Arial"/>
          <w:sz w:val="17"/>
          <w:szCs w:val="17"/>
          <w:color w:val="auto"/>
        </w:rPr>
        <w:t>Gross margin percentage in 2020 increased to 50.3% from 46.2% in 2019, reflecting the impact of decreased amortization expense and favorable changes in product mix, partially offset by increased expenses related to continuity and separation benefits and other cost reduction initiatives. The favorable change in product mix in 2020 primarily resulted from increased revenues of VASOSTRICT</w:t>
      </w:r>
      <w:r>
        <w:rPr>
          <w:rFonts w:ascii="Arial" w:cs="Arial" w:eastAsia="Arial" w:hAnsi="Arial"/>
          <w:sz w:val="22"/>
          <w:szCs w:val="22"/>
          <w:color w:val="auto"/>
          <w:vertAlign w:val="superscript"/>
        </w:rPr>
        <w:t>®</w:t>
      </w:r>
      <w:r>
        <w:rPr>
          <w:rFonts w:ascii="Arial" w:cs="Arial" w:eastAsia="Arial" w:hAnsi="Arial"/>
          <w:sz w:val="17"/>
          <w:szCs w:val="17"/>
          <w:color w:val="auto"/>
        </w:rPr>
        <w:t>.</w:t>
      </w:r>
    </w:p>
    <w:p>
      <w:pPr>
        <w:ind w:left="900" w:hanging="244"/>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Asset impairment charges in 2020 decreased to $120.3 million from $526.1 million in 2019.</w:t>
      </w:r>
    </w:p>
    <w:p>
      <w:pPr>
        <w:spacing w:after="0" w:line="7" w:lineRule="exact"/>
        <w:rPr>
          <w:rFonts w:ascii="Arial" w:cs="Arial" w:eastAsia="Arial" w:hAnsi="Arial"/>
          <w:sz w:val="18"/>
          <w:szCs w:val="18"/>
          <w:color w:val="auto"/>
        </w:rPr>
      </w:pPr>
    </w:p>
    <w:p>
      <w:pPr>
        <w:ind w:left="900" w:right="160" w:hanging="244"/>
        <w:spacing w:after="0" w:line="260" w:lineRule="auto"/>
        <w:tabs>
          <w:tab w:leader="none" w:pos="8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reported Income from continuing operations of $247.5 million in 2020 compared to Loss from continuing operations of $360.6 million in 2019.</w:t>
      </w:r>
    </w:p>
    <w:p>
      <w:pPr>
        <w:spacing w:after="0" w:line="77" w:lineRule="exact"/>
        <w:rPr>
          <w:sz w:val="20"/>
          <w:szCs w:val="20"/>
          <w:color w:val="auto"/>
        </w:rPr>
      </w:pPr>
    </w:p>
    <w:p>
      <w:pPr>
        <w:ind w:right="140" w:firstLine="486"/>
        <w:spacing w:after="0" w:line="258" w:lineRule="auto"/>
        <w:rPr>
          <w:sz w:val="20"/>
          <w:szCs w:val="20"/>
          <w:color w:val="auto"/>
        </w:rPr>
      </w:pPr>
      <w:r>
        <w:rPr>
          <w:rFonts w:ascii="Arial" w:cs="Arial" w:eastAsia="Arial" w:hAnsi="Arial"/>
          <w:sz w:val="18"/>
          <w:szCs w:val="18"/>
          <w:color w:val="auto"/>
        </w:rPr>
        <w:t>Additionally, the following summary highlights certain recent developments that have resulted in and/or could in the future result in fluctuations in our results of operations and/or changes in our liquidity and capital resources:</w:t>
      </w:r>
    </w:p>
    <w:p>
      <w:pPr>
        <w:spacing w:after="0" w:line="1" w:lineRule="exact"/>
        <w:rPr>
          <w:sz w:val="20"/>
          <w:szCs w:val="20"/>
          <w:color w:val="auto"/>
        </w:rPr>
      </w:pPr>
    </w:p>
    <w:p>
      <w:pPr>
        <w:ind w:left="900" w:hanging="244"/>
        <w:spacing w:after="0" w:line="281" w:lineRule="auto"/>
        <w:tabs>
          <w:tab w:leader="none" w:pos="895" w:val="left"/>
        </w:tabs>
        <w:numPr>
          <w:ilvl w:val="0"/>
          <w:numId w:val="39"/>
        </w:numPr>
        <w:rPr>
          <w:rFonts w:ascii="Arial" w:cs="Arial" w:eastAsia="Arial" w:hAnsi="Arial"/>
          <w:sz w:val="16"/>
          <w:szCs w:val="16"/>
          <w:b w:val="1"/>
          <w:bCs w:val="1"/>
          <w:i w:val="1"/>
          <w:iCs w:val="1"/>
          <w:color w:val="auto"/>
        </w:rPr>
      </w:pPr>
      <w:r>
        <w:rPr>
          <w:rFonts w:ascii="Arial" w:cs="Arial" w:eastAsia="Arial" w:hAnsi="Arial"/>
          <w:sz w:val="16"/>
          <w:szCs w:val="16"/>
          <w:color w:val="auto"/>
        </w:rPr>
        <w:t>In December 2019, COVID-19 was reported to have surfaced in Wuhan, China. In March 2020, the World Health Organization declared the COVID-19 outbreak a pandemic. Many countries and localities announced aggressive actions to reduce the spread of the disease, including limiting non-essential gatherings of people, suspending all non-essential travel, ordering certain businesses and government agencies to cease non-essential operations at physical locations and issuing shelter-in-place orders (subject to limited exceptions). Since then, developments have evolved rapidly and are likely to continue to do so. While there has been some loosening of restrictions, an increase in diagnosed cases may lead to the reinstatement of various restrictions. The impact on our results from COVID-19 and related changes in economic conditions, including changes to consumer spending resulting from the rapid rise in local and national unemployment rates, are highly uncertain and, in many instances, outside of our control. The duration and severity of the direct and indirect effects of COVID-19 are evolving rapidly and in ways that are difficult to anticipate. There are numerous uncertainties related to the COVID-19 pandemic that have impacted our ability to forecast our future operations. The extent to which COVID-19 will affect our business, financial position and operating results in the future cannot be predicted with certainty; however, any such impact could be material. In addition, because COVID-19 did not begin to affect our financial results until late in the first quarter of 2020, its impact on our consolidated results and the results of our business segments to date may not be directly comparable to any historical period and are not necessarily indicative of its impact on our results for any future periods. COVID-19 could also increase the degree to which our results, including the results of our business segments, fluctuate in the future. Refer to “Risk Factors” in Part I, Item 1A of this report for further details.</w:t>
      </w:r>
    </w:p>
    <w:p>
      <w:pPr>
        <w:spacing w:after="0" w:line="8" w:lineRule="exact"/>
        <w:rPr>
          <w:rFonts w:ascii="Arial" w:cs="Arial" w:eastAsia="Arial" w:hAnsi="Arial"/>
          <w:sz w:val="16"/>
          <w:szCs w:val="16"/>
          <w:b w:val="1"/>
          <w:bCs w:val="1"/>
          <w:i w:val="1"/>
          <w:iCs w:val="1"/>
          <w:color w:val="auto"/>
        </w:rPr>
      </w:pPr>
    </w:p>
    <w:p>
      <w:pPr>
        <w:ind w:left="900" w:right="300" w:hanging="244"/>
        <w:spacing w:after="0" w:line="255" w:lineRule="auto"/>
        <w:tabs>
          <w:tab w:leader="none" w:pos="8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June 2020, we completed a series of financing transactions, collectively referred to herein as the June 2020 Refinancing Transactions (as defined below), which are further discussed in Note 15. Debt in the Consolidated Financial Statements included in Part IV, Item 15 of this report.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89" w:lineRule="exact"/>
        <w:rPr>
          <w:sz w:val="20"/>
          <w:szCs w:val="20"/>
          <w:color w:val="auto"/>
        </w:rPr>
      </w:pPr>
    </w:p>
    <w:p>
      <w:pPr>
        <w:jc w:val="both"/>
        <w:ind w:left="900" w:right="160" w:hanging="244"/>
        <w:spacing w:after="0" w:line="202" w:lineRule="auto"/>
        <w:tabs>
          <w:tab w:leader="none" w:pos="895"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color w:val="auto"/>
        </w:rPr>
        <w:t>In July 2020, we announced that we had received FDA approval of QWO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the treatment of moderate to severe cellulite in the buttocks of adult women. The anticipated launch of QWO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in spring 2021. We have incurred and expect to continue to incur costs associated with the planned commercial launch of QWO</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 w:lineRule="exact"/>
        <w:rPr>
          <w:rFonts w:ascii="Arial" w:cs="Arial" w:eastAsia="Arial" w:hAnsi="Arial"/>
          <w:sz w:val="18"/>
          <w:szCs w:val="18"/>
          <w:b w:val="1"/>
          <w:bCs w:val="1"/>
          <w:i w:val="1"/>
          <w:iCs w:val="1"/>
          <w:color w:val="auto"/>
        </w:rPr>
      </w:pPr>
    </w:p>
    <w:p>
      <w:pPr>
        <w:ind w:left="900" w:right="60" w:hanging="244"/>
        <w:spacing w:after="0" w:line="249" w:lineRule="auto"/>
        <w:tabs>
          <w:tab w:leader="none" w:pos="8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September 2020, we announced that we had entered into a non-exclusive agreement with Novavax, Inc. to provide fill-finish manufacturing services for its COVID-19 vaccine candidate (NVX-CoV2373).</w:t>
      </w:r>
    </w:p>
    <w:p>
      <w:pPr>
        <w:ind w:left="900" w:right="120" w:hanging="244"/>
        <w:spacing w:after="0" w:line="281" w:lineRule="auto"/>
        <w:tabs>
          <w:tab w:leader="none" w:pos="895"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November 2020, we announced the initiation of several strategic actions, collectively referred to as the 2020 Restructuring Initiative, to further optimize operations and increase overall efficiency. We have recorded and expect to record certain charges to complete these activities in anticipation of realizing annualized cost savings. For further discussion of this initiative, including a discussion of related charges and expected future charges, refer to Note 4. Restructuring in the Consolidated Financial Statements included in Part IV, Item 15 of this report.</w:t>
      </w:r>
    </w:p>
    <w:p>
      <w:pPr>
        <w:spacing w:after="0" w:line="2" w:lineRule="exact"/>
        <w:rPr>
          <w:rFonts w:ascii="Arial" w:cs="Arial" w:eastAsia="Arial" w:hAnsi="Arial"/>
          <w:sz w:val="16"/>
          <w:szCs w:val="16"/>
          <w:color w:val="auto"/>
        </w:rPr>
      </w:pPr>
    </w:p>
    <w:p>
      <w:pPr>
        <w:ind w:left="900" w:right="20" w:hanging="244"/>
        <w:spacing w:after="0" w:line="256" w:lineRule="auto"/>
        <w:tabs>
          <w:tab w:leader="none" w:pos="895" w:val="left"/>
        </w:tabs>
        <w:numPr>
          <w:ilvl w:val="0"/>
          <w:numId w:val="40"/>
        </w:numPr>
        <w:rPr>
          <w:rFonts w:ascii="Arial" w:cs="Arial" w:eastAsia="Arial" w:hAnsi="Arial"/>
          <w:sz w:val="17"/>
          <w:szCs w:val="17"/>
          <w:b w:val="1"/>
          <w:bCs w:val="1"/>
          <w:i w:val="1"/>
          <w:iCs w:val="1"/>
          <w:color w:val="auto"/>
        </w:rPr>
      </w:pPr>
      <w:r>
        <w:rPr>
          <w:rFonts w:ascii="Arial" w:cs="Arial" w:eastAsia="Arial" w:hAnsi="Arial"/>
          <w:sz w:val="17"/>
          <w:szCs w:val="17"/>
          <w:color w:val="auto"/>
        </w:rPr>
        <w:t>In December 2020, we completed our acquisition of BioSpecifics. Prior to this acquisition, we had a strategic relationship with BioSpecifics since 2004 pursuant to which BioSpecifics was, among other things, entitled to a royalty stream from us related to our collagenase-based therapies, including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QWO</w:t>
      </w:r>
      <w:r>
        <w:rPr>
          <w:rFonts w:ascii="Arial" w:cs="Arial" w:eastAsia="Arial" w:hAnsi="Arial"/>
          <w:sz w:val="22"/>
          <w:szCs w:val="22"/>
          <w:color w:val="auto"/>
          <w:vertAlign w:val="superscript"/>
        </w:rPr>
        <w:t>®</w:t>
      </w:r>
      <w:r>
        <w:rPr>
          <w:rFonts w:ascii="Arial" w:cs="Arial" w:eastAsia="Arial" w:hAnsi="Arial"/>
          <w:sz w:val="17"/>
          <w:szCs w:val="17"/>
          <w:color w:val="auto"/>
        </w:rPr>
        <w:t>. Subsequent to the acquisition, BioSpecifics became our wholly-owned consolidated subsidiary. As a result, beginning in December 2020, the BioSpecifics acquisition had the effect of reducing future royalty payments, which had previously been recognized in Cost of revenues. For additional information about the BioSpecifics acquisition, including information about the purchase consideration and our pre-acquisition royalty obligations, refer to Note 5. Acquisitions and Note 12. License and Collaboration Agreements in the Consolidated Financial Statements included in Part IV, Item 15 of this report.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The preparation of our Consolidated Financial Statements in conformity with U.S. generally accepted accounting principles (U.S. GAAP) requires us to make estimates and assumptions that affect the amounts and disclosures in our Consolidated Financial Statements, including the notes thereto, and elsewhere in this report. For example, we are required to make significant estimates and assumptions related to revenue recognition, including sales deductions, long-lived assets, goodwill, other intangible assets, income taxes, contingencies, financial instruments and share-based compensation, among others. Some of these estimates can be subjective and complex. Uncertainties related to the continued magnitude and duration of the COVID-19 pandemic, the extent to which it will impact our estimated future financial results, worldwide macroeconomic conditions including interest rates, employment rates, consumer spending, health insurance coverage, the speed of the anticipated recovery and governmental and business reactions to the pandemic, including any possible re-initiation of shutdowns or renewed restrictions, have increased the complexity of developing these estimates, including the allowance for expected credit losses and the carrying amounts of long-lived assets, goodwill and other intangible assets. Although we believe that our estimates and assumptions are reasonable, there may be other reasonable estimates or assumptions that differ significantly from ours. Further, our estimates and assumptions are based upon information available at the time they were made. Actual results may differ significantly from our estimates, including as a result of COVID-19.</w:t>
      </w:r>
    </w:p>
    <w:p>
      <w:pPr>
        <w:spacing w:after="0" w:line="71"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Accordingly, in order to understand our Consolidated Financial Statements, it is important to understand our critical accounting estimates. We consider an accounting estimate to be critical if both: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results of operations or cash flows. Our most critical accounting estimates are described below.</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Company adopted ASC 606 on January 1, 2018 using the modified retrospective method for all revenue-generating contracts, including modifications thereto, that were not completed contracts at the date of adoption. ASC 606 applies to contracts with commercial substance that establish the payment terms and each party’s rights regarding the goods or services to be transferred, to the extent collection of substantially all of the related consideration is probable. Under ASC 606, we recognize revenue for contracts meeting these criteria when (or as) we satisfy our performance obligations for such contracts by transferring control of the underlying promised goods or services to our customers. The amount of revenue we recognize reflects our estimate of the consideration we expect to be entitled to receive, subject to certain constraints, in exchange for such goods or services. This amount is referred to as the transaction price.</w:t>
      </w:r>
    </w:p>
    <w:p>
      <w:pPr>
        <w:spacing w:after="0" w:line="8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revenue consists almost entirely of sales of our products to customers, whereby we ship products to a customer pursuant to a purchase order. For contracts such as these, revenue is recognized when our contractual performance obligations have been fulfilled and control has been transferred to the customer pursuant to the contract’s terms, which is generally upon delivery to the customer. The amount of revenue we recognize is equal to the fixed amount of the transaction price, adjusted for our estimates of a number of significant variable components including, but not limited to, estimates for chargebacks, rebates, sales incentives and allowances, DSA and other fees for services, returns and allowances, which we collectively refer to as sales deductions.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7" w:name="page58"/>
    <w:bookmarkEnd w:id="5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Company utilizes the expected value method when estimating the amount of variable consideration to include in the transaction price with respect to each of the foregoing variable components and the most likely amount method when estimating the amount of variable consideration to include in the transaction price with respect to future potential milestone payments that do not qualify for the sales- and usage-based royalty exception. Variable consideration is included in the transaction price only to the extent it is probable that a significant revenue reversal will not occur when the uncertainty associated with the variable consideration is resolved. The variable component of the transaction price is estimated based on factors such as our direct and indirect customers’ buying patterns and the estimated resulting contractual deduction rates, historical experience, specific known market events and estimated future trends, current contractual and statutory requirements, industry data, estimated customer inventory levels, current contract sales terms with our direct and indirect customers and other competitive factors. We subsequently review our estimates for sales deductions based on new or revised information that becomes available to us and make revisions to our estimates if and when appropriate. Refer to “Sales deductions” section below for additional information.</w:t>
      </w:r>
    </w:p>
    <w:p>
      <w:pPr>
        <w:spacing w:after="0" w:line="77" w:lineRule="exact"/>
        <w:rPr>
          <w:sz w:val="20"/>
          <w:szCs w:val="20"/>
          <w:color w:val="auto"/>
        </w:rPr>
      </w:pPr>
    </w:p>
    <w:p>
      <w:pPr>
        <w:jc w:val="both"/>
        <w:ind w:right="200" w:firstLine="486"/>
        <w:spacing w:after="0" w:line="311" w:lineRule="auto"/>
        <w:rPr>
          <w:sz w:val="20"/>
          <w:szCs w:val="20"/>
          <w:color w:val="auto"/>
        </w:rPr>
      </w:pPr>
      <w:r>
        <w:rPr>
          <w:rFonts w:ascii="Arial" w:cs="Arial" w:eastAsia="Arial" w:hAnsi="Arial"/>
          <w:sz w:val="16"/>
          <w:szCs w:val="16"/>
          <w:color w:val="auto"/>
        </w:rPr>
        <w:t>We believe that speculative buying of product, particularly in anticipation of possible price increases, has been the historical practice of certain of our customers. The timing of purchasing decisions made by wholesaler and large retail chain customers can materially affect the level of our sales in any particular period. Accordingly, our sales may not correlate to the number of prescriptions written for our products based on external third-party data.</w:t>
      </w:r>
    </w:p>
    <w:p>
      <w:pPr>
        <w:spacing w:after="0" w:line="4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have entered into DSAs with certain of our significant wholesaler customers that obligate the wholesalers, in exchange for fees paid by us, to: (i) manage the variability of their purchases and inventory levels within specified limits based on product demand and (ii) provide us with specific services, including the provision of periodic retail demand information and current inventory levels for our pharmaceutical products held at their warehouse locations.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deductions</w:t>
      </w:r>
    </w:p>
    <w:p>
      <w:pPr>
        <w:spacing w:after="0" w:line="117" w:lineRule="exact"/>
        <w:rPr>
          <w:sz w:val="20"/>
          <w:szCs w:val="20"/>
          <w:color w:val="auto"/>
        </w:rPr>
      </w:pPr>
    </w:p>
    <w:p>
      <w:pPr>
        <w:ind w:right="80" w:firstLine="486"/>
        <w:spacing w:after="0" w:line="301" w:lineRule="auto"/>
        <w:rPr>
          <w:sz w:val="20"/>
          <w:szCs w:val="20"/>
          <w:color w:val="auto"/>
        </w:rPr>
      </w:pPr>
      <w:r>
        <w:rPr>
          <w:rFonts w:ascii="Arial" w:cs="Arial" w:eastAsia="Arial" w:hAnsi="Arial"/>
          <w:sz w:val="16"/>
          <w:szCs w:val="16"/>
          <w:color w:val="auto"/>
        </w:rPr>
        <w:t>As described above, the amount of revenue we recognize is equal to the fixed amount of the transaction price, adjusted for our estimates of variable consideration, including sales deductions. If the assumptions we use to calculate our estimates for sales deductions do not appropriately reflect future activity, our financial position, results of operations and cash flows could be materially impacted. The following table presents the activity and ending balances, excluding Discontinued operations, for our product sales provisions for the years ended December 31, 2020 and 2019 (in thousands):</w:t>
      </w:r>
    </w:p>
    <w:p>
      <w:pPr>
        <w:spacing w:after="0" w:line="5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Returns and</w:t>
            </w:r>
          </w:p>
        </w:tc>
        <w:tc>
          <w:tcPr>
            <w:tcW w:w="280" w:type="dxa"/>
            <w:vAlign w:val="bottom"/>
          </w:tcPr>
          <w:p>
            <w:pPr>
              <w:spacing w:after="0"/>
              <w:rPr>
                <w:sz w:val="14"/>
                <w:szCs w:val="14"/>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Rebates</w:t>
            </w:r>
          </w:p>
        </w:tc>
        <w:tc>
          <w:tcPr>
            <w:tcW w:w="18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Chargebacks</w:t>
            </w:r>
          </w:p>
        </w:tc>
        <w:tc>
          <w:tcPr>
            <w:tcW w:w="20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Other Sales</w:t>
            </w:r>
          </w:p>
        </w:tc>
        <w:tc>
          <w:tcPr>
            <w:tcW w:w="300" w:type="dxa"/>
            <w:vAlign w:val="bottom"/>
          </w:tcPr>
          <w:p>
            <w:pPr>
              <w:spacing w:after="0"/>
              <w:rPr>
                <w:sz w:val="14"/>
                <w:szCs w:val="14"/>
                <w:color w:val="auto"/>
              </w:rPr>
            </w:pPr>
          </w:p>
        </w:tc>
        <w:tc>
          <w:tcPr>
            <w:tcW w:w="106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Allowances</w:t>
            </w: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Deductions</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236,946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218,366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772,331</w:t>
            </w: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Current year provision</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90,876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792,389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2,144,534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148,156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3,175,955</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Prior year provision</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Payments or credits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(850,363)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(2,158,965)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(3,277,141)</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660,337</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Current year provision</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99,001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614,923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2,117,251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154,660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2,985,835</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Prior year provision</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(19,095)</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Payments or credits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(641,219)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(2,132,376)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(156,391)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(3,021,462)</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605,615</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Returns and Allowances</w:t>
      </w:r>
    </w:p>
    <w:p>
      <w:pPr>
        <w:spacing w:after="0" w:line="117" w:lineRule="exact"/>
        <w:rPr>
          <w:sz w:val="20"/>
          <w:szCs w:val="20"/>
          <w:color w:val="auto"/>
        </w:rPr>
      </w:pPr>
    </w:p>
    <w:p>
      <w:pPr>
        <w:ind w:right="280" w:firstLine="486"/>
        <w:spacing w:after="0" w:line="253" w:lineRule="auto"/>
        <w:rPr>
          <w:sz w:val="20"/>
          <w:szCs w:val="20"/>
          <w:color w:val="auto"/>
        </w:rPr>
      </w:pPr>
      <w:r>
        <w:rPr>
          <w:rFonts w:ascii="Arial" w:cs="Arial" w:eastAsia="Arial" w:hAnsi="Arial"/>
          <w:sz w:val="18"/>
          <w:szCs w:val="18"/>
          <w:color w:val="auto"/>
        </w:rPr>
        <w:t>Consistent with industry practice, we maintain a return policy that allows our customers to return products within a specified period of time both subsequent to and, in certain cases, prior to the products’ expiration dates. Our return policy generally allows customers to receive credit for expired products within six months prior to expiration and within between six months and one year after expiration. Our provision for returns and allowances consists of our estimates for future product returns, pricing adjustments and delivery errors. The primary factors we consider in estimating our potential product returns include:</w:t>
      </w:r>
    </w:p>
    <w:p>
      <w:pPr>
        <w:spacing w:after="0" w:line="3" w:lineRule="exact"/>
        <w:rPr>
          <w:sz w:val="20"/>
          <w:szCs w:val="20"/>
          <w:color w:val="auto"/>
        </w:rPr>
      </w:pPr>
    </w:p>
    <w:p>
      <w:pPr>
        <w:ind w:left="900" w:hanging="244"/>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shelf life or expiration date of each product;</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historical levels of expired product returns;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external data with respect to inventory levels in the wholesale distribution channel;</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external data with respect to prescription demand for our products;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estimated returns liability to be processed by year of sale based on analysis of lot information related to actual historical returns.</w:t>
      </w:r>
    </w:p>
    <w:p>
      <w:pPr>
        <w:spacing w:after="0" w:line="114"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In determining our estimates for returns and allowances, we are required to make certain assumptions regarding the timing of the introduction of new products and the potential of these products to capture market share. In addition, we make certain assumptions with respect to the extent and pattern of decline associated with generic competition. To make these assessments, we utilize market data for similar products as analogs for our estimations. We use our best judgment to formulate these assumptions based on past experience and information available to us at the time. We continually reassess and make appropriate changes to our estimates and assumptions as new information becomes available to us.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Our estimate for returns and allowances may be impacted by a number of factors, but the principal factor relates to the level of inventory in the distribution channel. Where available, we utilize information received from our wholesaler customers about the quantities of inventory held, including the information received pursuant to DSAs, which we have not independently verified. For other customers, we have estimated inventory held based on buying patterns. In addition, we evaluate market conditions for products primarily through the analysis of wholesaler and other third party sell-through data, as well as internally-generated information, to assess factors that could impact expected product demand at the estimate date. As of December 31, 2020, we believe that our estimates of the level of inventory held by our customers is within a reasonable range as compared to both historical amounts and expected demand for each respective product.</w:t>
      </w:r>
    </w:p>
    <w:p>
      <w:pPr>
        <w:spacing w:after="0" w:line="8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When we are aware of an increase in the level of inventory of our products in the distribution channel, we consider the reasons for the increase to determine whether we believe the increase is temporary or other-than-temporary. Increases in inventory levels assessed as temporary will not result in an adjustment to our provision for returns and allowances. Some of the factors that may be an indication that an increase in inventory levels will be temporary include:</w:t>
      </w:r>
    </w:p>
    <w:p>
      <w:pPr>
        <w:spacing w:after="0" w:line="2" w:lineRule="exact"/>
        <w:rPr>
          <w:sz w:val="20"/>
          <w:szCs w:val="20"/>
          <w:color w:val="auto"/>
        </w:rPr>
      </w:pPr>
    </w:p>
    <w:p>
      <w:pPr>
        <w:ind w:left="900" w:hanging="244"/>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recently implemented or announced price increases for our products;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new product launches or expanded indications for our existing products.</w:t>
      </w:r>
    </w:p>
    <w:p>
      <w:pPr>
        <w:spacing w:after="0" w:line="103"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Conversely, other-than-temporary increases in inventory levels may be an indication that future product returns could be higher than originally anticipated and, accordingly, we may need to adjust our provision for returns and allowances. Some of the factors that may be an indication that an increase in inventory levels will be other-than-temporary include:</w:t>
      </w:r>
    </w:p>
    <w:p>
      <w:pPr>
        <w:spacing w:after="0" w:line="3" w:lineRule="exact"/>
        <w:rPr>
          <w:sz w:val="20"/>
          <w:szCs w:val="20"/>
          <w:color w:val="auto"/>
        </w:rPr>
      </w:pPr>
    </w:p>
    <w:p>
      <w:pPr>
        <w:ind w:left="900" w:hanging="244"/>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declining sales trends based on prescription demand;</w:t>
      </w:r>
    </w:p>
    <w:p>
      <w:pPr>
        <w:spacing w:after="0" w:line="9" w:lineRule="exact"/>
        <w:rPr>
          <w:rFonts w:ascii="Arial" w:cs="Arial" w:eastAsia="Arial" w:hAnsi="Arial"/>
          <w:sz w:val="18"/>
          <w:szCs w:val="18"/>
          <w:color w:val="auto"/>
        </w:rPr>
      </w:pPr>
    </w:p>
    <w:p>
      <w:pPr>
        <w:ind w:left="900" w:hanging="244"/>
        <w:spacing w:after="0" w:line="250" w:lineRule="auto"/>
        <w:tabs>
          <w:tab w:leader="none" w:pos="8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recent regulatory approvals to shorten the shelf life of our products, which could result in a period of higher returns related to older product still in the distribution channel;</w:t>
      </w:r>
    </w:p>
    <w:p>
      <w:pPr>
        <w:ind w:left="900" w:hanging="244"/>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introduction of generic or other competing products;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increasing price competition from generic competitors; and</w:t>
      </w:r>
    </w:p>
    <w:p>
      <w:pPr>
        <w:spacing w:after="0" w:line="9" w:lineRule="exact"/>
        <w:rPr>
          <w:rFonts w:ascii="Arial" w:cs="Arial" w:eastAsia="Arial" w:hAnsi="Arial"/>
          <w:sz w:val="18"/>
          <w:szCs w:val="18"/>
          <w:color w:val="auto"/>
        </w:rPr>
      </w:pPr>
    </w:p>
    <w:p>
      <w:pPr>
        <w:ind w:left="900" w:right="280" w:hanging="244"/>
        <w:spacing w:after="0" w:line="323" w:lineRule="auto"/>
        <w:tabs>
          <w:tab w:leader="none" w:pos="895" w:val="left"/>
        </w:tabs>
        <w:numPr>
          <w:ilvl w:val="0"/>
          <w:numId w:val="43"/>
        </w:numPr>
        <w:rPr>
          <w:rFonts w:ascii="Arial" w:cs="Arial" w:eastAsia="Arial" w:hAnsi="Arial"/>
          <w:sz w:val="16"/>
          <w:szCs w:val="16"/>
          <w:color w:val="auto"/>
        </w:rPr>
      </w:pPr>
      <w:r>
        <w:rPr>
          <w:rFonts w:ascii="Arial" w:cs="Arial" w:eastAsia="Arial" w:hAnsi="Arial"/>
          <w:sz w:val="16"/>
          <w:szCs w:val="16"/>
          <w:color w:val="auto"/>
        </w:rPr>
        <w:t>changes to the National Drug Codes (NDCs) of our products, which could result in a period of higher returns related to product with the old NDC, as our customers generally permit only one NDC per product for identification and tracking within their inventory systems.</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Rebates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provision for rebates, sales incentives and other allowances can generally be categorized into the following four types:</w:t>
      </w:r>
    </w:p>
    <w:p>
      <w:pPr>
        <w:spacing w:after="0" w:line="23" w:lineRule="exact"/>
        <w:rPr>
          <w:sz w:val="20"/>
          <w:szCs w:val="20"/>
          <w:color w:val="auto"/>
        </w:rPr>
      </w:pPr>
    </w:p>
    <w:p>
      <w:pPr>
        <w:ind w:left="900" w:hanging="244"/>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 rebates;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indirect rebates;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governmental rebates, including those for Medicaid, Medicare and TRICARE, among others;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managed-care rebates.</w:t>
      </w:r>
    </w:p>
    <w:p>
      <w:pPr>
        <w:spacing w:after="0" w:line="103"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We establish contracts with wholesalers, chain stores and indirect customers that provide for rebates, sales incentives, DSA fees and other allowances. Some customers receive rebates upon attaining established sales volumes. Direct rebates are generally rebates paid to direct purchasing customers based on a percentage applied to a direct customer’s purchases from us, including fees paid to wholesalers under our DSAs, as described above. Indirect rebates are rebates paid to indirect customers that have purchased our products from a wholesaler under a contract with us.</w:t>
      </w:r>
    </w:p>
    <w:p>
      <w:pPr>
        <w:spacing w:after="0" w:line="49" w:lineRule="exact"/>
        <w:rPr>
          <w:sz w:val="20"/>
          <w:szCs w:val="20"/>
          <w:color w:val="auto"/>
        </w:rPr>
      </w:pPr>
    </w:p>
    <w:p>
      <w:pPr>
        <w:ind w:right="200" w:firstLine="486"/>
        <w:spacing w:after="0" w:line="286" w:lineRule="auto"/>
        <w:rPr>
          <w:sz w:val="20"/>
          <w:szCs w:val="20"/>
          <w:color w:val="auto"/>
        </w:rPr>
      </w:pPr>
      <w:r>
        <w:rPr>
          <w:rFonts w:ascii="Arial" w:cs="Arial" w:eastAsia="Arial" w:hAnsi="Arial"/>
          <w:sz w:val="17"/>
          <w:szCs w:val="17"/>
          <w:color w:val="auto"/>
        </w:rPr>
        <w:t>We are subject to rebates on sales made under governmental and managed-care pricing programs based on relevant statutes with respect to governmental pricing programs and contractual sales terms with respect to managed-care providers and GPOs. For example, we are required to provide a discount on our brand-name products to patients who fall within the Medicare Part D coverage gap, also referred to as the donut hole.</w:t>
      </w:r>
    </w:p>
    <w:p>
      <w:pPr>
        <w:spacing w:after="0" w:line="57" w:lineRule="exact"/>
        <w:rPr>
          <w:sz w:val="20"/>
          <w:szCs w:val="20"/>
          <w:color w:val="auto"/>
        </w:rPr>
      </w:pPr>
    </w:p>
    <w:p>
      <w:pPr>
        <w:ind w:right="140" w:firstLine="486"/>
        <w:spacing w:after="0" w:line="271" w:lineRule="auto"/>
        <w:rPr>
          <w:sz w:val="20"/>
          <w:szCs w:val="20"/>
          <w:color w:val="auto"/>
        </w:rPr>
      </w:pPr>
      <w:r>
        <w:rPr>
          <w:rFonts w:ascii="Arial" w:cs="Arial" w:eastAsia="Arial" w:hAnsi="Arial"/>
          <w:sz w:val="17"/>
          <w:szCs w:val="17"/>
          <w:color w:val="auto"/>
        </w:rPr>
        <w:t>We participate in various federal and state government-managed programs whereby discounts and rebates are provided to participating government entities. For example, Medicaid rebates are amounts owed based upon contractual agreements or legal requirements with public sector (Medicaid) benefit providers after the final dispensing of the product by a pharmacy to a benefit plan participant. Medicaid reserves are based on expected payments, which are driven by patient usage, contract performance and field inventory that will be subject to a Medicaid rebate. Medicaid rebates are typically billed up to 180 days after the product is shipped, but can be as much as 270 days after the quarter in which the product is dispensed to the Medicaid participant. Periodically, we adjust the Medicaid rebate provision based on actual claims paid. Due to the delay in billing, adjustments to actual claims paid may incorporate revisions of this provision for several periods. Because Medicaid pricing programs involve particularly difficult interpretations of complex statutes and regulatory guidance, our estimates could differ from actual experience.</w:t>
      </w:r>
    </w:p>
    <w:p>
      <w:pPr>
        <w:spacing w:after="0" w:line="70"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In determining our estimates for rebates, we consider the terms of our contracts and relevant statutes, together with information about sales mix (to determine which sales are subject to rebates and the amount of such rebates), historical relationships of rebates to revenues, past payment experience, estimated inventory levels of our customers and estimated future trends. Our provisions for rebates include estimates for both unbilled claims for end-customer sales that have already occurred and future claims that will be made when inventory in the distribution channel is sold through to end-customer plan participants. Changes in the level of utilization of our products through private or public benefit plans and GPOs will affect the amount of rebates that we owe.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Chargebacks</w:t>
      </w:r>
    </w:p>
    <w:p>
      <w:pPr>
        <w:spacing w:after="0" w:line="117"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market and sell products to both: (i) direct customers including wholesalers, distributors, warehousing pharmacy chains and other direct purchasing groups and (ii) indirect customers including independent pharmacies, non-warehousing chains, MCOs, GPOs and government entities. We enter into agreements with certain of our indirect customers to establish contract pricing for certain products. These indirect customers then independently select a wholesaler from which to purchase the products at these contracted prices. Alternatively, we may pre-authorize wholesalers to offer specified contract pricing to other indirect customers. Under either arrangement, we provide credit to the wholesaler for any difference between the contracted price with the indirect customer and the wholesaler’s invoice price. Such credit is called a chargeback.</w:t>
      </w:r>
    </w:p>
    <w:p>
      <w:pPr>
        <w:spacing w:after="0" w:line="70" w:lineRule="exact"/>
        <w:rPr>
          <w:sz w:val="20"/>
          <w:szCs w:val="20"/>
          <w:color w:val="auto"/>
        </w:rPr>
      </w:pPr>
    </w:p>
    <w:p>
      <w:pPr>
        <w:ind w:right="740" w:firstLine="486"/>
        <w:spacing w:after="0" w:line="258" w:lineRule="auto"/>
        <w:rPr>
          <w:sz w:val="20"/>
          <w:szCs w:val="20"/>
          <w:color w:val="auto"/>
        </w:rPr>
      </w:pPr>
      <w:r>
        <w:rPr>
          <w:rFonts w:ascii="Arial" w:cs="Arial" w:eastAsia="Arial" w:hAnsi="Arial"/>
          <w:sz w:val="18"/>
          <w:szCs w:val="18"/>
          <w:color w:val="auto"/>
        </w:rPr>
        <w:t>Our provision for chargebacks consists of our estimates for the credits described above. The primary factors we consider in developing and evaluating our provision for chargebacks include:</w:t>
      </w:r>
    </w:p>
    <w:p>
      <w:pPr>
        <w:spacing w:after="0" w:line="1" w:lineRule="exact"/>
        <w:rPr>
          <w:sz w:val="20"/>
          <w:szCs w:val="20"/>
          <w:color w:val="auto"/>
        </w:rPr>
      </w:pPr>
    </w:p>
    <w:p>
      <w:pPr>
        <w:ind w:left="900" w:hanging="244"/>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average historical chargeback credits;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estimated future sales trends;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 estimate of the inventory held by our wholesalers, based on internal analysis of a wholesaler’s historical purchases and contract sales.</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sales deductions</w:t>
      </w:r>
    </w:p>
    <w:p>
      <w:pPr>
        <w:spacing w:after="0" w:line="117"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color w:val="auto"/>
        </w:rPr>
        <w:t>We offer prompt-pay cash discounts to certain of our customers. Provisions for such discounts are estimated and recorded at the time of sale. We estimate provisions for cash discounts based on contractual sales terms with customers, an analysis of unpaid invoices and historical payment experience. Estimated cash discounts have historically been predictable and less subjective due to the limited number of assumptions involved, the consistency of historical experience and the fact that we generally settle these amounts within 30 to 60 days.</w:t>
      </w:r>
    </w:p>
    <w:p>
      <w:pPr>
        <w:spacing w:after="0" w:line="63" w:lineRule="exact"/>
        <w:rPr>
          <w:sz w:val="20"/>
          <w:szCs w:val="20"/>
          <w:color w:val="auto"/>
        </w:rPr>
      </w:pPr>
    </w:p>
    <w:p>
      <w:pPr>
        <w:jc w:val="both"/>
        <w:ind w:right="160" w:firstLine="486"/>
        <w:spacing w:after="0" w:line="255" w:lineRule="auto"/>
        <w:rPr>
          <w:sz w:val="20"/>
          <w:szCs w:val="20"/>
          <w:color w:val="auto"/>
        </w:rPr>
      </w:pPr>
      <w:r>
        <w:rPr>
          <w:rFonts w:ascii="Arial" w:cs="Arial" w:eastAsia="Arial" w:hAnsi="Arial"/>
          <w:sz w:val="18"/>
          <w:szCs w:val="18"/>
          <w:color w:val="auto"/>
        </w:rPr>
        <w:t>Shelf-stock adjustments are credits issued to our customers to reflect decreases in the selling prices of our products. These credits are customary in the industry and are intended to reduce a customer’s inventory cost to better reflect current market prices. The primary factors we consider when deciding whether to record a reserve for a shelf-stock adjustment include:</w:t>
      </w:r>
    </w:p>
    <w:p>
      <w:pPr>
        <w:spacing w:after="0" w:line="3" w:lineRule="exact"/>
        <w:rPr>
          <w:sz w:val="20"/>
          <w:szCs w:val="20"/>
          <w:color w:val="auto"/>
        </w:rPr>
      </w:pPr>
    </w:p>
    <w:p>
      <w:pPr>
        <w:ind w:left="900" w:right="660" w:hanging="244"/>
        <w:spacing w:after="0" w:line="250" w:lineRule="auto"/>
        <w:tabs>
          <w:tab w:leader="none" w:pos="8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estimated number of competing products being launched as well as the expected launch date, which we determine based on market intelligence;</w:t>
      </w:r>
    </w:p>
    <w:p>
      <w:pPr>
        <w:ind w:left="900" w:hanging="244"/>
        <w:spacing w:after="0"/>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estimated decline in the market price of our product, which we determine based on historical experience and customer input; and</w:t>
      </w:r>
    </w:p>
    <w:p>
      <w:pPr>
        <w:spacing w:after="0" w:line="20" w:lineRule="exact"/>
        <w:rPr>
          <w:rFonts w:ascii="Arial" w:cs="Arial" w:eastAsia="Arial" w:hAnsi="Arial"/>
          <w:sz w:val="17"/>
          <w:szCs w:val="17"/>
          <w:color w:val="auto"/>
        </w:rPr>
      </w:pPr>
    </w:p>
    <w:p>
      <w:pPr>
        <w:ind w:left="900" w:right="60" w:hanging="244"/>
        <w:spacing w:after="0" w:line="260" w:lineRule="auto"/>
        <w:tabs>
          <w:tab w:leader="none" w:pos="8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estimated levels of inventory held by our customers at the time of the anticipated decrease in market price, which we determine based upon historical experience and customer input.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long-lived assets</w:t>
      </w:r>
    </w:p>
    <w:p>
      <w:pPr>
        <w:spacing w:after="0" w:line="117"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As of December 31, 2020, our combined long-lived assets balance, including property, plant and equipment and finite-lived intangible assets, is approximately $3.2 billion. Our finite-lived intangible assets consist of license rights and developed technology.</w:t>
      </w:r>
    </w:p>
    <w:p>
      <w:pPr>
        <w:spacing w:after="0" w:line="62" w:lineRule="exact"/>
        <w:rPr>
          <w:sz w:val="20"/>
          <w:szCs w:val="20"/>
          <w:color w:val="auto"/>
        </w:rPr>
      </w:pPr>
    </w:p>
    <w:p>
      <w:pPr>
        <w:ind w:right="240" w:firstLine="486"/>
        <w:spacing w:after="0" w:line="273" w:lineRule="auto"/>
        <w:rPr>
          <w:sz w:val="20"/>
          <w:szCs w:val="20"/>
          <w:color w:val="auto"/>
        </w:rPr>
      </w:pPr>
      <w:r>
        <w:rPr>
          <w:rFonts w:ascii="Arial" w:cs="Arial" w:eastAsia="Arial" w:hAnsi="Arial"/>
          <w:sz w:val="17"/>
          <w:szCs w:val="17"/>
          <w:color w:val="auto"/>
        </w:rPr>
        <w:t>Long-lived assets are generally initially recorded at fair value if acquired in a business combination, or at cost if otherwise. To the extent any such asset is deemed to have a finite life, it is then amortized over its estimated useful life using either the straight-line method or, in the case of certain developed technology assets, an accelerated amortization model. The values of these various assets are subject to continuing scientific, medical and marketplace uncertainty. Factors giving rise to our initial estimate of useful lives are subject to change. Significant changes to any of these factors may result in adjustments to the useful life of the asset and an acceleration of related amortization expense, which could cause our net income and net income per share to decrease. Amortization expense is not recorded on assets held for sale.</w:t>
      </w:r>
    </w:p>
    <w:p>
      <w:pPr>
        <w:spacing w:after="0" w:line="70"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Long-lived assets are assessed for impairment whenever events or changes in circumstances indicate the assets may not be recoverable. Recoverability of an asset that will continue to be used in our operations is measured by comparing the carrying amount of the asset to the forecasted undiscounted future cash flows related to the asset. In the event the carrying amount of the asset exceeds its undiscounted future cash flows and the carrying amount is not considered recoverable, impairment may exist. An impairment loss, if any, is measured as the excess of the asset’s carrying amount over its fair value, generally based on a discounted future cash flow method, independent appraisals or offers from prospective buyers. An impairment loss would be recognized in the Consolidated Statements of Operations in the period that the impairment occurs. As a result of the significance of our long-lived assets, any recognized impairment loss could have a material adverse impact on our financial position and results of operations.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Our reviews of long-lived assets during the two years ended December 31, 2020 resulted in certain impairment charges. The majority of these charges related to finite-lived intangible assets, which are described in Note 11. Goodwill and Other Intangibles in the Consolidated Financial Statements included in Part IV, Item 15 of this report. Our impairment charges relating to long-lived assets were generally based on fair value estimates determined using discounted cash flow models. When testing a long-lived asset using a discounted cash flow model, we utilize assumptions related to the future operating performance of the corresponding product based on management’s annual and ongoing budgeting, forecasting and planning processes, which represent our best estimate of future cash flows. These estimates are subject to many assumptions, such as the economic environment in which our segments operate, demand for our products, competitor actions and factors which could affect our tax rate. Estimated future pre-tax cash flows are adjusted for taxes using a market participant tax rate and discounted to present value using a market participant, weighted average cost of capital. Financial and credit market volatility directly impacts certain inputs and assumptions used to develop the weighted average cost of capital such as the risk-free interest rate, industry beta, debt interest rate and our market capital structure. These assumptions are based on significant inputs not observable in the market and thus represent Level 3 measurements within the fair value hierarchy. The use of different inputs and assumptions would increase or decrease our estimated discounted future cash flows, the resulting estimated fair values and the amounts of our related impairments, if any. The discount rates applied to intangible long-lived assets impaired in 2020 ranged from 10.0% to 12.0%.</w:t>
      </w:r>
    </w:p>
    <w:p>
      <w:pPr>
        <w:spacing w:after="0" w:line="66"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Events giving rise to impairment are an inherent risk in the pharmaceutical industry and cannot be predicted. Factors that we consider in deciding when to perform an impairment review include significant under-performance of a product line in relation to expectations, competitive events affecting the expected future performance of a product line, significant negative industry or economic trends and significant changes or planned changes in our use of the assets.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Each category of long-lived intangible assets is described further below.</w:t>
      </w:r>
    </w:p>
    <w:p>
      <w:pPr>
        <w:spacing w:after="0" w:line="117"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i w:val="1"/>
          <w:iCs w:val="1"/>
          <w:color w:val="auto"/>
        </w:rPr>
        <w:t xml:space="preserve">Developed Technology. </w:t>
      </w:r>
      <w:r>
        <w:rPr>
          <w:rFonts w:ascii="Arial" w:cs="Arial" w:eastAsia="Arial" w:hAnsi="Arial"/>
          <w:sz w:val="16"/>
          <w:szCs w:val="16"/>
          <w:color w:val="auto"/>
        </w:rPr>
        <w:t>Our developed technology assets subject to amortization have useful lives ranging from 4 years to 20 years, with a weighted</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useful life of approximately 11 years. We determine amortization periods and methods of amortization for developed technology assets based on our assessment of various factors impacting estimated useful lives and the timing and extent of estimated cash flows of the acquired assets, including the strength of the intellectual property protection of the product (if applicable), contractual terms and various other competitive and regulatory issues.</w:t>
      </w:r>
    </w:p>
    <w:p>
      <w:pPr>
        <w:spacing w:after="0" w:line="49"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i w:val="1"/>
          <w:iCs w:val="1"/>
          <w:color w:val="auto"/>
        </w:rPr>
        <w:t xml:space="preserve">License Rights. </w:t>
      </w:r>
      <w:r>
        <w:rPr>
          <w:rFonts w:ascii="Arial" w:cs="Arial" w:eastAsia="Arial" w:hAnsi="Arial"/>
          <w:sz w:val="18"/>
          <w:szCs w:val="18"/>
          <w:color w:val="auto"/>
        </w:rPr>
        <w:t>Our license rights subject to amortization have useful lives ranging from 12 years to 15 years, with a weighted average useful life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14 years. We determine amortization periods for licenses based on our assessment of various factors including the expected launch date of the product, the strength of the intellectual property protection of the product (if applicable), contractual terms and various other competitive, developmental and regulatory issues.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2020, our combined goodwill and indefinite-lived intangible assets balance is approximately $3.6 billion.</w:t>
      </w:r>
    </w:p>
    <w:p>
      <w:pPr>
        <w:spacing w:after="0" w:line="117"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Goodwill and indefinite-lived intangible assets are tested for impairment annually and when events or changes in circumstances indicate that the asset might be impaired. Our annual assessment is performed as of October 1.</w:t>
      </w:r>
    </w:p>
    <w:p>
      <w:pPr>
        <w:spacing w:after="0" w:line="62"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We perform the goodwill impairment test by estimating the fair value of the reporting units using an income approach that utilizes a discounted cash flow model or, where appropriate, a market approach. Any goodwill impairment charge we recognize for a reporting unit is equal to the lesser of (i) the total goodwill allocated to that reporting unit and (ii) the amount by which that reporting unit’s carrying amount exceeds its fair value.</w:t>
      </w:r>
    </w:p>
    <w:p>
      <w:pPr>
        <w:spacing w:after="0" w:line="57" w:lineRule="exact"/>
        <w:rPr>
          <w:sz w:val="20"/>
          <w:szCs w:val="20"/>
          <w:color w:val="auto"/>
        </w:rPr>
      </w:pPr>
    </w:p>
    <w:p>
      <w:pPr>
        <w:jc w:val="both"/>
        <w:ind w:right="280" w:firstLine="486"/>
        <w:spacing w:after="0" w:line="263" w:lineRule="auto"/>
        <w:rPr>
          <w:sz w:val="20"/>
          <w:szCs w:val="20"/>
          <w:color w:val="auto"/>
        </w:rPr>
      </w:pPr>
      <w:r>
        <w:rPr>
          <w:rFonts w:ascii="Arial" w:cs="Arial" w:eastAsia="Arial" w:hAnsi="Arial"/>
          <w:sz w:val="18"/>
          <w:szCs w:val="18"/>
          <w:color w:val="auto"/>
        </w:rPr>
        <w:t>Similarly, we perform our indefinite-lived intangible asset impairment tests by comparing the fair value of each intangible asset with its carrying amount. If the carrying amount of an indefinite-lived intangible asset exceeds its fair value, an impairment loss is recognized in an amount equal to that excess.</w:t>
      </w:r>
    </w:p>
    <w:p>
      <w:pPr>
        <w:spacing w:after="0" w:line="76"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color w:val="auto"/>
        </w:rPr>
        <w:t>We estimate the fair values of our reporting units and of identified indefinite-lived intangible assets using an income approach that utilizes a discounted cash flow model or, where appropriate, a market approach. The discounted cash flow models are dependent upon our estimates of future cash flows and other factors including estimates of (i) future operating performance, including future sales, long-term growth rates, operating margins, discount rates and the probability of achieving the estimated cash flows and (ii) future economic conditions, all of which may differ from actual future cash flows.</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1" w:name="page62"/>
    <w:bookmarkEnd w:id="6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Assumptions related to future operating performance are based on management’s annual and ongoing budgeting, forecasting and planning processes, which represent our best estimate of future cash flows. These estimates are subject to many assumptions, such as the economic environment in which our segments operate, demand for our products, competitor actions and factors which could affect our tax rate. Estimated future pre-tax cash flows are adjusted for taxes using a market participant tax rate and discounted to present value using a market participant, weighted average cost of capital. Financial and credit market volatility directly impacts certain inputs and assumptions used to develop the weighted average cost of capital such as the risk-free interest rate, industry beta, debt interest rate and our market capital structure. These assumptions are based on significant inputs not observable in the market and thus represent Level 3 measurements within the fair value hierarchy. The use of different inputs and assumptions would increase or decrease our estimated discounted future cash flows, the resulting estimated fair values and the amounts of our related impairments, if any.</w:t>
      </w:r>
    </w:p>
    <w:p>
      <w:pPr>
        <w:spacing w:after="0" w:line="57"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In order to assess the reasonableness of the calculated fair values of our reporting units, we also compare the sum of the reporting units’ fair values to Endo’s market capitalization and calculate an implied control premium (the excess sum of the reporting units’ fair values over the market capitalization) or an implied control discount (the excess sum of total invested capital over the sum of the reporting units’ fair values). The Company evaluates the implied control premium or discount by comparing it to control premiums or discounts of recent comparable market transactions, as applicable. If the control premium or discount is not reasonable in light of comparable recent transactions, or recent movements in the Company’s share price, we reevaluate the fair value estimates of the reporting units by adjusting discount rates and/or other assumptions. This re-evaluation could correlate to different implied fair values for certain or all of the Company’s reporting units.</w:t>
      </w:r>
    </w:p>
    <w:p>
      <w:pPr>
        <w:spacing w:after="0" w:line="69"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As further described in Note 11. Goodwill and Other Intangibles in the Consolidated Financial Statements included in Part IV, Item 15 of this report, we recorded a pre-tax, non-cash goodwill impairment charge relating to our Paladin reporting unit of $32.8 million during the first quarter of 2020. Following this impairment, there was no remaining goodwill associated with this reporting unit.</w:t>
      </w:r>
    </w:p>
    <w:p>
      <w:pPr>
        <w:spacing w:after="0" w:line="76"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Endo subsequently performed its annual goodwill and indefinite-lived intangible assets impairment tests as of October 1, 2020. For the purpose of the 2020 annual tests, the Company had two reporting units with goodwill: Branded Pharmaceuticals and Sterile Injectables. The aggregate amount of indefinite-lived intangible assets subject to the annual impairment test was not material. The fair values of each of our reporting units and of our indefinite-lived intangible assets were determined using an income approach utilizing discount rates determined based on the overall risk associated with the particular assets and other market factors.</w:t>
      </w:r>
    </w:p>
    <w:p>
      <w:pPr>
        <w:spacing w:after="0" w:line="80" w:lineRule="exact"/>
        <w:rPr>
          <w:sz w:val="20"/>
          <w:szCs w:val="20"/>
          <w:color w:val="auto"/>
        </w:rPr>
      </w:pPr>
    </w:p>
    <w:p>
      <w:pPr>
        <w:ind w:right="140" w:firstLine="486"/>
        <w:spacing w:after="0" w:line="280" w:lineRule="auto"/>
        <w:rPr>
          <w:sz w:val="20"/>
          <w:szCs w:val="20"/>
          <w:color w:val="auto"/>
        </w:rPr>
      </w:pPr>
      <w:r>
        <w:rPr>
          <w:rFonts w:ascii="Arial" w:cs="Arial" w:eastAsia="Arial" w:hAnsi="Arial"/>
          <w:sz w:val="16"/>
          <w:szCs w:val="16"/>
          <w:color w:val="auto"/>
        </w:rPr>
        <w:t>The discount rates used in the October 1, 2020 goodwill tests were 15.0% and 10.0% for the Branded Pharmaceuticals and Sterile Injectables reporting units, respectively, compared to 12.0% and 10.0%, respectively, used in the October 1, 2019 goodwill tests. As further described below, the Company anticipates increasing its investments in and promotional efforts behind XIAFLEX</w:t>
      </w:r>
      <w:r>
        <w:rPr>
          <w:rFonts w:ascii="Arial" w:cs="Arial" w:eastAsia="Arial" w:hAnsi="Arial"/>
          <w:sz w:val="20"/>
          <w:szCs w:val="20"/>
          <w:color w:val="auto"/>
          <w:vertAlign w:val="superscript"/>
        </w:rPr>
        <w:t>®</w:t>
      </w:r>
      <w:r>
        <w:rPr>
          <w:rFonts w:ascii="Arial" w:cs="Arial" w:eastAsia="Arial" w:hAnsi="Arial"/>
          <w:sz w:val="16"/>
          <w:szCs w:val="16"/>
          <w:color w:val="auto"/>
        </w:rPr>
        <w:t>. As a result, when compared to the 2019 annual Branded Pharmaceuticals goodwill impairment test, the Company has both: (i) increased its estimates with respect to future revenues and (ii) increased its discount rate commensurate with the risk factors associated with increasing its investments and promotional efforts. We believe the discount rates and other inputs and assumptions are consistent with those that a market participant would use. No goodwill or indefinite-lived intangible asset impairment charges were recorded as a result of the 2020 annual tests. A 50 basis point increase in the assumed discount rate utilized in each test would not have changed the outcomes of our Branded Pharmaceuticals and Sterile Injectables goodwill impairment tests.</w:t>
      </w:r>
    </w:p>
    <w:p>
      <w:pPr>
        <w:spacing w:after="0" w:line="65"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Additional information about the impairment tests is provided in Note 11. Goodwill and Other Intangibles in the Consolidated Financial Statements included in Part IV, Item 15 of this report.</w:t>
      </w:r>
    </w:p>
    <w:p>
      <w:pPr>
        <w:spacing w:after="0" w:line="62" w:lineRule="exact"/>
        <w:rPr>
          <w:sz w:val="20"/>
          <w:szCs w:val="20"/>
          <w:color w:val="auto"/>
        </w:rPr>
      </w:pPr>
    </w:p>
    <w:p>
      <w:pPr>
        <w:ind w:right="320" w:firstLine="486"/>
        <w:spacing w:after="0" w:line="308" w:lineRule="auto"/>
        <w:rPr>
          <w:sz w:val="20"/>
          <w:szCs w:val="20"/>
          <w:color w:val="auto"/>
        </w:rPr>
      </w:pPr>
      <w:r>
        <w:rPr>
          <w:rFonts w:ascii="Arial" w:cs="Arial" w:eastAsia="Arial" w:hAnsi="Arial"/>
          <w:sz w:val="17"/>
          <w:szCs w:val="17"/>
          <w:color w:val="auto"/>
        </w:rPr>
        <w:t>We are closely monitoring the impact of COVID-19 on our business. It is possible that COVID-19 could result in reductions to the estimated fair values of our goodwill and other intangible assets, which could ultimately result in asset impairment charges that may be material.</w:t>
      </w:r>
    </w:p>
    <w:p>
      <w:pPr>
        <w:spacing w:after="0" w:line="38" w:lineRule="exact"/>
        <w:rPr>
          <w:sz w:val="20"/>
          <w:szCs w:val="20"/>
          <w:color w:val="auto"/>
        </w:rPr>
      </w:pPr>
    </w:p>
    <w:p>
      <w:pPr>
        <w:ind w:firstLine="486"/>
        <w:spacing w:after="0" w:line="258" w:lineRule="auto"/>
        <w:rPr>
          <w:sz w:val="20"/>
          <w:szCs w:val="20"/>
          <w:color w:val="auto"/>
        </w:rPr>
      </w:pPr>
      <w:r>
        <w:rPr>
          <w:rFonts w:ascii="Arial" w:cs="Arial" w:eastAsia="Arial" w:hAnsi="Arial"/>
          <w:sz w:val="17"/>
          <w:szCs w:val="17"/>
          <w:color w:val="auto"/>
        </w:rPr>
        <w:t>Additionally, as further discussed below under the heading “RESULTS OF OPERATIONS,” our Generic Pharmaceuticals segment and certain of the products in our Sterile Injectables segment are subject to risks and uncertainties related to future competition, including the potential introduction of generic versions of VASOSTRICT</w:t>
      </w:r>
      <w:r>
        <w:rPr>
          <w:rFonts w:ascii="Arial" w:cs="Arial" w:eastAsia="Arial" w:hAnsi="Arial"/>
          <w:sz w:val="22"/>
          <w:szCs w:val="22"/>
          <w:color w:val="auto"/>
          <w:vertAlign w:val="superscript"/>
        </w:rPr>
        <w:t>®</w:t>
      </w:r>
      <w:r>
        <w:rPr>
          <w:rFonts w:ascii="Arial" w:cs="Arial" w:eastAsia="Arial" w:hAnsi="Arial"/>
          <w:sz w:val="17"/>
          <w:szCs w:val="17"/>
          <w:color w:val="auto"/>
        </w:rPr>
        <w:t>. If actual results for these segments differ from our expectations, as a result of competition or otherwise, and/or if we make changes to our assumptions for these segments relating to competition or any other risks or uncertainties, the estimated future revenues and cash flows could be significantly reduced, which could ultimately result in asset impairment charges that may be material. As of December 31, 2020, the carrying amount of goodwill associated with our Sterile Injectables segment was approximately $2.7 billion.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Our income tax expense, deferred tax assets and liabilities, income tax payable and reserves for unrecognized tax benefits reflect our best assessment of estimated current and future taxes to be paid. We are subject to income taxes in the U.S. and numerous other jurisdictions in which we operate. Significant judgments and estimates are required in determining the consolidated income tax expense or benefit for financial statement purposes. Deferred income taxes arise from temporary differences, which result in future taxable or deductible amounts, between the tax basis of assets and liabilities and the corresponding amounts reported in our Consolidated Financial Statements. In assessing the ability to realize deferred tax assets, we consider, when appropriate, future taxable income by tax jurisdiction and tax planning strategies. Where appropriate, we record a valuation allowance to reduce our net deferred tax assets to equal an amount that is more likely than not to be realized. In projecting future taxable income, we consider historical results, adjusted in certain cases for the results of discontinued operations, changes in tax laws or nonrecurring transactions. We incorporate assumptions about the amount of future earnings within a specific jurisdiction’s pretax income, adjusted for material changes included in business operations. The assumptions about future taxable income require significant judgment and, while these assumptions rely heavily on estimates, such estimates are consistent with the plans we are using to manage the underlying business. Future changes in tax laws and rates, including administrative or regulatory guidance, could affect recorded deferred tax assets and liabilities. Any adjustments to these estimates will generally be recorded as an income tax expense or benefit in the period the adjustment is determined.</w:t>
      </w:r>
    </w:p>
    <w:p>
      <w:pPr>
        <w:spacing w:after="0" w:line="78"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calculation of our tax liabilities often involves dealing with uncertainties in the application of complex tax laws and regulations in a multitude of jurisdictions across our global operations. A benefit from an uncertain tax position may be recognized when it is more likely than not that the position will be sustained on the basis of the technical merits upon examination, including resolutions of any related appeals or litigation processes. We first record unrecognized tax benefits as liabilities and then adjust these liabilities when our judgment changes as a result of the evaluation of new information not previously available at the time of establishing the liability. Because of the complexity of some of these uncertainties, the ultimate resolution may result in a payment, potentially including interest and penalties, that is materially different from our current estimate of the unrecognized tax benefit liabilities. These differences, along with any related interest and penalties, will generally be reflected as increases or decreases to income tax expense in the period in which new information becomes available.</w:t>
      </w:r>
    </w:p>
    <w:p>
      <w:pPr>
        <w:spacing w:after="0" w:line="84"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We make an evaluation at the end of each reporting period as to whether or not some or all of the undistributed earnings of our subsidiaries are indefinitely reinvested. While we may have concluded in the past that some of such undistributed earnings are indefinitely reinvested, facts and circumstances may change in the future. Changes in facts and circumstances may include changes in the estimated capital needs of our subsidiaries or in our corporate liquidity requirements. Such changes could result in our management determining that some or all of such undistributed earnings are no longer indefinitely reinvested. In that event, we would be required to adjust our income tax provision in the period we determined that the earnings will no longer be indefinitely reinvested outside the relevant tax jurisdiction.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Company is subject to various patent challenges, product liability claims, government investigations and other legal proceedings in the ordinary course of business. Material legal proceedings are discussed in Note 16. Commitments and Contingencies in the Consolidated Financial Statements included in Part IV, Item 15 of this report. Contingent accruals and legal settlements are recorded in the Consolidated Statements of Operations as Litigation-related and other contingencies, net (or as Discontinued operations, net of tax in the case of vaginal mesh matters) when the Company determines that a loss is both probable and reasonably estimable. Legal fees and other expenses related to litigation are expensed as incurred and included in Selling, general and administrative expenses in the Consolidated Statements of Operations (or as Discontinued operations, net of tax in the case of vaginal mesh matters).</w:t>
      </w:r>
    </w:p>
    <w:p>
      <w:pPr>
        <w:spacing w:after="0" w:line="87"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Due to the fact that legal proceedings and other contingencies are inherently unpredictable, our estimates of the probability and amount of any such liabilities involve significant judgment regarding future events. The factors we consider in developing our liabilities for legal proceedings include the merits and jurisdiction of the proceeding, the nature and the number of other similar current and past proceedings, the nature of the product and the current assessment of the science subject to the proceeding, if applicable, and the likelihood of the conditions of settlement being met.</w:t>
      </w:r>
    </w:p>
    <w:p>
      <w:pPr>
        <w:spacing w:after="0" w:line="49"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In order to evaluate whether a claim is probable of loss, we may rely on certain information about the claim. Without access to and review of such information, we may not be in a position to determine whether a loss is probable. Further, the timing and extent to which we obtain any such information, and our evaluation thereof, is often impacted by items outside of our control including, without limitation, the normal cadence of the litigation process and the provision of claim information to us by plaintiff’s counsel. The amount of our liabilities for legal proceedings may change as we receive additional information and/or become aware of additional asserted or unasserted claims. Additionally, there is a possibility that we will suffer adverse decisions or verdicts of substantial amounts or that we will enter into additional monetary settlements, either of which could be in excess of amounts previously accrued for. Any changes to our liabilities for legal proceedings could have a material adverse effect on our business, financial condition, results of operations and cash flows.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As of December 31, 2020, our accrual for loss contingencies totaled $372.1 million, the most significant components of which relate to product liability and related matters associated with transvaginal surgical mesh products, which we have not sold since March 2016. Although we believe there is a possibility that a loss in excess of the amount recognized exists, we are unable to estimate the possible loss or range of loss in excess of the amount recognized at this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 and Other Key Trends</w:t>
      </w:r>
    </w:p>
    <w:p>
      <w:pPr>
        <w:spacing w:after="0" w:line="121"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We are closely monitoring the impact of COVID-19 on all aspects of our business, the pharmaceutical industry and the economy as a whole, including how it has and will continue to impact our workforce, our customers and the patients they serve, our manufacturing and supply chain operations, our R&amp;D programs and regulatory approval processes and our liquidity and access to capital. In addition to our existing business continuity plans, our executive leadership team has developed and implemented a range of proactive measures to address the risks, uncertainties and operational challenges associated with COVID-19. We continue to closely monitor the rapidly evolving situation and implement plans intended to limit the impact of COVID-19 on our business so that we can continue to produce the critical care medicines that hospitals and healthcare providers need to treat patients, including those with COVID-19. Actions we have taken to date and expected key trends are further described below.</w:t>
      </w:r>
    </w:p>
    <w:p>
      <w:pPr>
        <w:spacing w:after="0" w:line="58"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b w:val="1"/>
          <w:bCs w:val="1"/>
          <w:i w:val="1"/>
          <w:iCs w:val="1"/>
          <w:color w:val="auto"/>
        </w:rPr>
        <w:t xml:space="preserve">Workforce. </w:t>
      </w:r>
      <w:r>
        <w:rPr>
          <w:rFonts w:ascii="Arial" w:cs="Arial" w:eastAsia="Arial" w:hAnsi="Arial"/>
          <w:sz w:val="16"/>
          <w:szCs w:val="16"/>
          <w:color w:val="auto"/>
        </w:rPr>
        <w:t>We have taken, and will continue to take, proactive measures to provide for the well-being of our workforce around the globe while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continuing to safely produce products upon which patients and their healthcare providers rely. We have implemented alternative working practices and work-from-home requirements for appropriate employees, inclusive of our executive leadership team, and are continuing to pay full wages to our workforce. We have limited international and domestic travel, increased our already-thorough cleaning protocols throughout our facilities and prohibited non-essential visitors from our sites. We have also implemented temperature screenings, health questionnaires, social distancing, modified schedules, shift rotation and other similar policies at our manufacturing facilities. We launched a hybrid approach selling model as of June 1, 2020 for our field employees, which allows virtual and/or live engagement with healthcare providers and other customers. Certain of these measures have resulted in increased costs and, as further described below, resulted in the prioritization of certain products in our production plans.</w:t>
      </w:r>
    </w:p>
    <w:p>
      <w:pPr>
        <w:spacing w:after="0" w:line="57" w:lineRule="exact"/>
        <w:rPr>
          <w:sz w:val="20"/>
          <w:szCs w:val="20"/>
          <w:color w:val="auto"/>
        </w:rPr>
      </w:pPr>
    </w:p>
    <w:p>
      <w:pPr>
        <w:ind w:firstLine="486"/>
        <w:spacing w:after="0" w:line="263" w:lineRule="auto"/>
        <w:rPr>
          <w:sz w:val="20"/>
          <w:szCs w:val="20"/>
          <w:color w:val="auto"/>
        </w:rPr>
      </w:pPr>
      <w:r>
        <w:rPr>
          <w:rFonts w:ascii="Arial" w:cs="Arial" w:eastAsia="Arial" w:hAnsi="Arial"/>
          <w:sz w:val="16"/>
          <w:szCs w:val="16"/>
          <w:b w:val="1"/>
          <w:bCs w:val="1"/>
          <w:i w:val="1"/>
          <w:iCs w:val="1"/>
          <w:color w:val="auto"/>
        </w:rPr>
        <w:t xml:space="preserve">Customers and the Patients They Serve. </w:t>
      </w:r>
      <w:r>
        <w:rPr>
          <w:rFonts w:ascii="Arial" w:cs="Arial" w:eastAsia="Arial" w:hAnsi="Arial"/>
          <w:sz w:val="16"/>
          <w:szCs w:val="16"/>
          <w:color w:val="auto"/>
        </w:rPr>
        <w:t>We have experienced, and expect to continue to experience, changes in customer demand as the COVID-19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pandemic continues to evolve, which are difficult to predict. Beginning in late first-quarter 2020 and into early second-quarter 2020, we experienced an increase in sales volumes for some of our critical care products, including VASOSTRICT</w:t>
      </w:r>
      <w:r>
        <w:rPr>
          <w:rFonts w:ascii="Arial" w:cs="Arial" w:eastAsia="Arial" w:hAnsi="Arial"/>
          <w:sz w:val="20"/>
          <w:szCs w:val="20"/>
          <w:color w:val="auto"/>
          <w:vertAlign w:val="superscript"/>
        </w:rPr>
        <w:t>®</w:t>
      </w:r>
      <w:r>
        <w:rPr>
          <w:rFonts w:ascii="Arial" w:cs="Arial" w:eastAsia="Arial" w:hAnsi="Arial"/>
          <w:sz w:val="16"/>
          <w:szCs w:val="16"/>
          <w:color w:val="auto"/>
        </w:rPr>
        <w:t>. These higher volumes resulted from significant channel inventory stocking of these products in anticipation of treating certain patients infected with COVID-19 including, in the case of VASOSTRICT</w:t>
      </w:r>
      <w:r>
        <w:rPr>
          <w:rFonts w:ascii="Arial" w:cs="Arial" w:eastAsia="Arial" w:hAnsi="Arial"/>
          <w:sz w:val="20"/>
          <w:szCs w:val="20"/>
          <w:color w:val="auto"/>
          <w:vertAlign w:val="superscript"/>
        </w:rPr>
        <w:t>®</w:t>
      </w:r>
      <w:r>
        <w:rPr>
          <w:rFonts w:ascii="Arial" w:cs="Arial" w:eastAsia="Arial" w:hAnsi="Arial"/>
          <w:sz w:val="16"/>
          <w:szCs w:val="16"/>
          <w:color w:val="auto"/>
        </w:rPr>
        <w:t>, for the treatment of patients with vasodilatory shock. This increase in sales volume was followed by significant inventory destocking for the remainder of the second quarter of 2020. Sales volumes returned toward pre-COVID-19 levels during the third quarter of 2020; however, during the fourth quarter of 2020, we again experienced increased sales volumes based on a resurgence of COVID-19 cases in certain parts of the U.S. Additionally, beginning during the last two weeks of the first quarter of 2020 and continuing into the second quarter of 2020, certain of our products that are physician administered, including XIAFLEX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SUPPRELIN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LA, began experiencing significantly decreased sales volumes due to reduced physician office activity and patient office visits compared to the prior year because of the COVID-19 pandemic. In the following months, sales volumes began to recover toward pre-COVID-19 levels as physician offices reopened; however, sales volumes in the fourth quarter of 2020 were impacted as a result of a resurgence of COVID-19 cases in certain parts of the U.S. Future changes in the COVID-19 pandemic could further impact future revenues for these products.</w:t>
      </w:r>
    </w:p>
    <w:p>
      <w:pPr>
        <w:spacing w:after="0" w:line="79" w:lineRule="exact"/>
        <w:rPr>
          <w:sz w:val="20"/>
          <w:szCs w:val="20"/>
          <w:color w:val="auto"/>
        </w:rPr>
      </w:pPr>
    </w:p>
    <w:p>
      <w:pPr>
        <w:ind w:firstLine="486"/>
        <w:spacing w:after="0" w:line="262" w:lineRule="auto"/>
        <w:rPr>
          <w:sz w:val="20"/>
          <w:szCs w:val="20"/>
          <w:color w:val="auto"/>
        </w:rPr>
      </w:pPr>
      <w:r>
        <w:rPr>
          <w:rFonts w:ascii="Arial" w:cs="Arial" w:eastAsia="Arial" w:hAnsi="Arial"/>
          <w:sz w:val="17"/>
          <w:szCs w:val="17"/>
          <w:b w:val="1"/>
          <w:bCs w:val="1"/>
          <w:i w:val="1"/>
          <w:iCs w:val="1"/>
          <w:color w:val="auto"/>
        </w:rPr>
        <w:t xml:space="preserve">Manufacturing and Supply Chain Operations. </w:t>
      </w:r>
      <w:r>
        <w:rPr>
          <w:rFonts w:ascii="Arial" w:cs="Arial" w:eastAsia="Arial" w:hAnsi="Arial"/>
          <w:sz w:val="17"/>
          <w:szCs w:val="17"/>
          <w:color w:val="auto"/>
        </w:rPr>
        <w:t>As of the date of this report, our business has not experienced any material supply issues related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COVID-19 and our manufacturing facilities across the globe have continued to operate. We have taken, and plan to continue to take, commercially practical measures to keep these facilities open as they are critical to our ability to reliably supply required critical care and medically necessary products. These measures, including the implementation of temperature screenings, health questionnaires, social distancing, modified schedules, shift rotation and other similar policies at our manufacturing facilities, as well as changes in our workforce availability have impacted our manufacturing and supply chain productivity at certain of our facilities and resulted in the prioritization of certain products, such as VASOSTRICT</w:t>
      </w:r>
      <w:r>
        <w:rPr>
          <w:rFonts w:ascii="Arial" w:cs="Arial" w:eastAsia="Arial" w:hAnsi="Arial"/>
          <w:sz w:val="22"/>
          <w:szCs w:val="22"/>
          <w:color w:val="auto"/>
          <w:vertAlign w:val="superscript"/>
        </w:rPr>
        <w:t>®</w:t>
      </w:r>
      <w:r>
        <w:rPr>
          <w:rFonts w:ascii="Arial" w:cs="Arial" w:eastAsia="Arial" w:hAnsi="Arial"/>
          <w:sz w:val="17"/>
          <w:szCs w:val="17"/>
          <w:color w:val="auto"/>
        </w:rPr>
        <w:t>, in our production plans to provide for their continued availability during and after the pandemic. We believe that our diversified manufacturing footprint, which includes a combination of Endo owned and leased facilities located in the U.S. and India, supply agreements and strong business relationships with numerous contract manufacturing organizations throughout the world, including in the U.S., Canada, Europe and India, and our proven ability to be a preferred partner of choice to large pharmaceutical companies seeking authorized generic distributors for their branded products, is a critical factor to mitigate significant risks related to manufacturing and supply chain disruption. This footprint, overseen by our global quality and supply chain teams in Ireland, combined with a skilled management team with significant experience in manufacturing and supply chain operations, has enabled us to respond quickly and effectively to the evolving COVID-19 pandemic to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486"/>
        <w:spacing w:after="0" w:line="291" w:lineRule="auto"/>
        <w:rPr>
          <w:sz w:val="20"/>
          <w:szCs w:val="20"/>
          <w:color w:val="auto"/>
        </w:rPr>
      </w:pPr>
      <w:r>
        <w:rPr>
          <w:rFonts w:ascii="Arial" w:cs="Arial" w:eastAsia="Arial" w:hAnsi="Arial"/>
          <w:sz w:val="16"/>
          <w:szCs w:val="16"/>
          <w:b w:val="1"/>
          <w:bCs w:val="1"/>
          <w:i w:val="1"/>
          <w:iCs w:val="1"/>
          <w:color w:val="auto"/>
        </w:rPr>
        <w:t xml:space="preserve">Clinical and Development Programs. </w:t>
      </w:r>
      <w:r>
        <w:rPr>
          <w:rFonts w:ascii="Arial" w:cs="Arial" w:eastAsia="Arial" w:hAnsi="Arial"/>
          <w:sz w:val="16"/>
          <w:szCs w:val="16"/>
          <w:color w:val="auto"/>
        </w:rPr>
        <w:t>We have a number of ongoing clinical trials. We are committed to the safety of our patients, employees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others involved in these trials. We are monitoring COVID-19 closely and continue to partner with the FDA on our ongoing clinical trials, regulatory applications and other R&amp;D activities. Based on an assessment of our R&amp;D programs, including our clinical trials, we have developed a plan and timeline for each study in order to enhance communication with patients, sites and vendors. To date, the impacts of COVID-19 have resulted in modest delays and could continue to cause delays to certain of our clinical trials and product development and commercialization programs, including obtaining adequate patient enrollment, receiving regulatory approvals and successfully bringing product candidates to market. Additionally, as a result of COVID-19 and its impact on medical aesthetics physician office closures and consumer spending, we moved the anticipated product launch of QWO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to spring 2021.</w:t>
      </w:r>
    </w:p>
    <w:p>
      <w:pPr>
        <w:spacing w:after="0" w:line="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b w:val="1"/>
          <w:bCs w:val="1"/>
          <w:i w:val="1"/>
          <w:iCs w:val="1"/>
          <w:color w:val="auto"/>
        </w:rPr>
        <w:t xml:space="preserve">Key Trends. </w:t>
      </w:r>
      <w:r>
        <w:rPr>
          <w:rFonts w:ascii="Arial" w:cs="Arial" w:eastAsia="Arial" w:hAnsi="Arial"/>
          <w:sz w:val="18"/>
          <w:szCs w:val="18"/>
          <w:color w:val="auto"/>
        </w:rPr>
        <w:t>Since the first quarter of 2020, we, and our industry as a whole, have been impacted by COVID-19 and may experience a greater impact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going forward. The most significant trends we face as a result of the COVID-19 pandemic include: (i) decreases in demand for certain of our physician administered products due to physician office closures and a decline in patients electing to be treated because of the COVID-19 pandemic, (ii) potential temporary decreases to the supply of certain of our products due to modified production schedules to safely maintain operations in response to COVID-19 and other factors including, without limitation, workforce availability, (iii) potential idle capacity charges based on implementation of certain of the policies described above at our manufacturing facilities and (iv) potential delays in our ability to launch some new products due to production prioritization and economic conditions and other factors outside of our control. For further information regarding the impact of COVID-19 on the Company, please refer to “Risk Factors” in Part I, Item 1A of this report.</w:t>
      </w:r>
    </w:p>
    <w:p>
      <w:pPr>
        <w:spacing w:after="0" w:line="84"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Our estimated revenue trends for the full year 2021 compared to the full year 2020 are set forth below. These estimated revenue trends reflect the current expectations of our management team based on information currently available to them. Our estimates are subject to significant risks and uncertainties that could cause our actual results to differ materially from those indicated below, including, among other things, our assumptions about the duration and severity of COVID-19 and the impact of any related governmental, business or other actions, any of which could cause the impact of COVID-19 to be more significant than our current expectations.</w:t>
      </w:r>
    </w:p>
    <w:p>
      <w:pPr>
        <w:spacing w:after="0" w:line="3" w:lineRule="exact"/>
        <w:rPr>
          <w:sz w:val="20"/>
          <w:szCs w:val="20"/>
          <w:color w:val="auto"/>
        </w:rPr>
      </w:pPr>
    </w:p>
    <w:p>
      <w:pPr>
        <w:ind w:left="900" w:right="160" w:hanging="244"/>
        <w:spacing w:after="0" w:line="225" w:lineRule="auto"/>
        <w:tabs>
          <w:tab w:leader="none" w:pos="8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the full year 2021, we expect an increase in revenues from the Specialty Products portfolio of our Branded Pharmaceuticals segment as compared to 2020, primarily driven by increased revenues of XIAFLEX</w:t>
      </w:r>
      <w:r>
        <w:rPr>
          <w:rFonts w:ascii="Arial" w:cs="Arial" w:eastAsia="Arial" w:hAnsi="Arial"/>
          <w:sz w:val="23"/>
          <w:szCs w:val="23"/>
          <w:color w:val="auto"/>
          <w:vertAlign w:val="superscript"/>
        </w:rPr>
        <w:t>®</w:t>
      </w:r>
      <w:r>
        <w:rPr>
          <w:rFonts w:ascii="Arial" w:cs="Arial" w:eastAsia="Arial" w:hAnsi="Arial"/>
          <w:sz w:val="18"/>
          <w:szCs w:val="18"/>
          <w:color w:val="auto"/>
        </w:rPr>
        <w:t>. This expected increase in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is primarily driven by an anticipated increase in demand driven by our investments in and promotional efforts behind this product. Additionally, we expect physician office activity and patient office visits to increase in 2021 compared to 2020. We also expect to launch QWO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spring 2021, resulting in an increase in Branded Pharmaceuticals segment revenues in 2021.</w:t>
      </w:r>
    </w:p>
    <w:p>
      <w:pPr>
        <w:spacing w:after="0" w:line="1" w:lineRule="exact"/>
        <w:rPr>
          <w:rFonts w:ascii="Arial" w:cs="Arial" w:eastAsia="Arial" w:hAnsi="Arial"/>
          <w:sz w:val="18"/>
          <w:szCs w:val="18"/>
          <w:color w:val="auto"/>
        </w:rPr>
      </w:pPr>
    </w:p>
    <w:p>
      <w:pPr>
        <w:ind w:left="900" w:right="180" w:hanging="244"/>
        <w:spacing w:after="0" w:line="255" w:lineRule="auto"/>
        <w:tabs>
          <w:tab w:leader="none" w:pos="8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the full year 2021, we expect revenues from the Established Products portfolio of our Branded Pharmaceuticals segment and from our Sterile Injectables, Generic Pharmaceuticals and International Pharmaceuticals segments to decline as compared to 2020, primarily driven by competitive pressures impacting these product portfolios.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Review</w:t>
      </w:r>
    </w:p>
    <w:p>
      <w:pPr>
        <w:spacing w:after="0" w:line="121"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following table displays our revenue, gross margin, gross margin percentage and other pre-tax expense or income for the years ended December 31, 2020 and 2019 (dollars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 Change</w:t>
            </w:r>
          </w:p>
        </w:tc>
      </w:tr>
      <w:tr>
        <w:trPr>
          <w:trHeight w:val="188"/>
        </w:trPr>
        <w:tc>
          <w:tcPr>
            <w:tcW w:w="66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2020 vs. 2019</w:t>
            </w:r>
          </w:p>
        </w:tc>
      </w:tr>
      <w:tr>
        <w:trPr>
          <w:trHeight w:val="224"/>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2,903,074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2,914,364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1,442,511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1,569,338</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1,460,563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1,345,026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23"/>
        </w:trPr>
        <w:tc>
          <w:tcPr>
            <w:tcW w:w="6600" w:type="dxa"/>
            <w:vAlign w:val="bottom"/>
          </w:tcPr>
          <w:p>
            <w:pPr>
              <w:ind w:left="140"/>
              <w:spacing w:after="0"/>
              <w:rPr>
                <w:sz w:val="20"/>
                <w:szCs w:val="20"/>
                <w:color w:val="auto"/>
              </w:rPr>
            </w:pPr>
            <w:r>
              <w:rPr>
                <w:rFonts w:ascii="Arial" w:cs="Arial" w:eastAsia="Arial" w:hAnsi="Arial"/>
                <w:sz w:val="18"/>
                <w:szCs w:val="18"/>
                <w:i w:val="1"/>
                <w:iCs w:val="1"/>
                <w:color w:val="auto"/>
              </w:rPr>
              <w:t>Gross margin percentage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50.3 %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46.2 %</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698,506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632,420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158,902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130,732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Litigation-related and other contingencies, net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(19,049)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11,211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Asset impairment charges</w:t>
            </w:r>
          </w:p>
        </w:tc>
        <w:tc>
          <w:tcPr>
            <w:tcW w:w="3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120,344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526,082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and integration items, net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16,549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(46,098)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532,939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538,734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extinguishment of debt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(119,828)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(21,110)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16,677</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r>
      <w:tr>
        <w:trPr>
          <w:trHeight w:val="248"/>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Loss from continuing operations before income tax</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(26,518)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(344,904)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NM indicates that the percentage change is not meaningful or is greater than 100%.</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360" w:firstLine="486"/>
        <w:spacing w:after="0" w:line="286" w:lineRule="auto"/>
        <w:rPr>
          <w:sz w:val="20"/>
          <w:szCs w:val="20"/>
          <w:color w:val="auto"/>
        </w:rPr>
      </w:pPr>
      <w:r>
        <w:rPr>
          <w:rFonts w:ascii="Arial" w:cs="Arial" w:eastAsia="Arial" w:hAnsi="Arial"/>
          <w:sz w:val="17"/>
          <w:szCs w:val="17"/>
          <w:b w:val="1"/>
          <w:bCs w:val="1"/>
          <w:i w:val="1"/>
          <w:iCs w:val="1"/>
          <w:color w:val="auto"/>
        </w:rPr>
        <w:t xml:space="preserve">Total revenues, net. </w:t>
      </w:r>
      <w:r>
        <w:rPr>
          <w:rFonts w:ascii="Arial" w:cs="Arial" w:eastAsia="Arial" w:hAnsi="Arial"/>
          <w:sz w:val="17"/>
          <w:szCs w:val="17"/>
          <w:color w:val="auto"/>
        </w:rPr>
        <w:t>Total revenues in 2020 were $2,903.1 million compared to $2,914.4 million in 2019 as strong performance from our Sterile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Injectables segment was offset by declines in our Branded Pharmaceuticals, Generic Pharmaceuticals and International Pharmaceuticals segments. Our revenues are further disaggregated and described below under the heading “Business Segment Results Review.”</w:t>
      </w:r>
    </w:p>
    <w:p>
      <w:pPr>
        <w:spacing w:after="0" w:line="57"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b w:val="1"/>
          <w:bCs w:val="1"/>
          <w:i w:val="1"/>
          <w:iCs w:val="1"/>
          <w:color w:val="auto"/>
        </w:rPr>
        <w:t xml:space="preserve">Cost of revenues and gross margin percentage. </w:t>
      </w:r>
      <w:r>
        <w:rPr>
          <w:rFonts w:ascii="Arial" w:cs="Arial" w:eastAsia="Arial" w:hAnsi="Arial"/>
          <w:sz w:val="18"/>
          <w:szCs w:val="18"/>
          <w:color w:val="auto"/>
        </w:rPr>
        <w:t>During the years ended December 31, 2020 and 2019, we incurred certain charges that impact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comparability of total Cost of revenues, including those related to amortization expense and continuity and separation benefits and other cost reduction initiatives. The following table summarizes such amounts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 (1)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543,862</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Continuity and separation benefits and other cost reduction initiatives (2)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55,413</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5,693</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hanging="329"/>
        <w:spacing w:after="0" w:line="241" w:lineRule="auto"/>
        <w:tabs>
          <w:tab w:leader="none" w:pos="572"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Amortization expense fluctuates based on changes in the total amount of amortizable intangible assets and the rate of amortization in effect for each intangible asset, both of which can vary based on factors such as the amount and timing of acquisitions, dispositions, asset impairment charges, transfers between indefinite- and finite-lived intangibles assets, changes in foreign currency rates and changes in the composition of our intangible assets impacting the weighted average useful lives and amortization methodologies being utilized. The decrease in 2020 was primarily driven by asset impairment charges and decreases in the rate of amortization expense for certain assets, partially offset by the impact of certain in-process research and development assets put into service.</w:t>
      </w:r>
    </w:p>
    <w:p>
      <w:pPr>
        <w:spacing w:after="0" w:line="1" w:lineRule="exact"/>
        <w:rPr>
          <w:rFonts w:ascii="Arial" w:cs="Arial" w:eastAsia="Arial" w:hAnsi="Arial"/>
          <w:sz w:val="14"/>
          <w:szCs w:val="14"/>
          <w:color w:val="auto"/>
        </w:rPr>
      </w:pPr>
    </w:p>
    <w:p>
      <w:pPr>
        <w:ind w:left="580" w:right="160" w:hanging="329"/>
        <w:spacing w:after="0" w:line="248" w:lineRule="auto"/>
        <w:tabs>
          <w:tab w:leader="none" w:pos="572"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Amounts primarily relate to certain accelerated depreciation charges and employee separation, continuity and other benefit-related costs. For further discussion of our material restructuring initiatives, including a discussion of related charges and expected future charges, refer to Note 4. Restructuring in the Consolidated Financial Statements included in Part IV, Item 15 of this report.</w:t>
      </w:r>
    </w:p>
    <w:p>
      <w:pPr>
        <w:spacing w:after="0" w:line="87" w:lineRule="exact"/>
        <w:rPr>
          <w:sz w:val="20"/>
          <w:szCs w:val="20"/>
          <w:color w:val="auto"/>
        </w:rPr>
      </w:pPr>
    </w:p>
    <w:p>
      <w:pPr>
        <w:ind w:right="220" w:firstLine="486"/>
        <w:spacing w:after="0" w:line="308" w:lineRule="auto"/>
        <w:rPr>
          <w:sz w:val="20"/>
          <w:szCs w:val="20"/>
          <w:color w:val="auto"/>
        </w:rPr>
      </w:pPr>
      <w:r>
        <w:rPr>
          <w:rFonts w:ascii="Arial" w:cs="Arial" w:eastAsia="Arial" w:hAnsi="Arial"/>
          <w:sz w:val="17"/>
          <w:szCs w:val="17"/>
          <w:color w:val="auto"/>
        </w:rPr>
        <w:t>The decrease in Cost of revenues in 2020 was primarily due to decreased amortization expense and favorable changes in product mix as described below, partially offset by increased expenses related to continuity and separation benefits and other cost reduction initiatives.</w:t>
      </w:r>
    </w:p>
    <w:p>
      <w:pPr>
        <w:spacing w:after="0" w:line="38" w:lineRule="exact"/>
        <w:rPr>
          <w:sz w:val="20"/>
          <w:szCs w:val="20"/>
          <w:color w:val="auto"/>
        </w:rPr>
      </w:pPr>
    </w:p>
    <w:p>
      <w:pPr>
        <w:ind w:right="60" w:firstLine="486"/>
        <w:spacing w:after="0" w:line="267" w:lineRule="auto"/>
        <w:rPr>
          <w:sz w:val="20"/>
          <w:szCs w:val="20"/>
          <w:color w:val="auto"/>
        </w:rPr>
      </w:pPr>
      <w:r>
        <w:rPr>
          <w:rFonts w:ascii="Arial" w:cs="Arial" w:eastAsia="Arial" w:hAnsi="Arial"/>
          <w:sz w:val="18"/>
          <w:szCs w:val="18"/>
          <w:color w:val="auto"/>
        </w:rPr>
        <w:t>Gross margin percentage increased in 2020 as a result of decreased amortization expense and favorable changes in product mix, partially offset by increased expenses related to continuity and separation benefits and other cost reduction initiatives. The favorable change in product mix in 2020 primarily resulted from increased revenues of VASOSTRICT</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As further discussed above, beginning in December 2020, the BioSpecifics acquisition had the effect of reducing future royalty payments, which had previously been recognized in Cost of revenues.</w:t>
      </w:r>
    </w:p>
    <w:p>
      <w:pPr>
        <w:spacing w:after="0" w:line="62" w:lineRule="exact"/>
        <w:rPr>
          <w:sz w:val="20"/>
          <w:szCs w:val="20"/>
          <w:color w:val="auto"/>
        </w:rPr>
      </w:pPr>
    </w:p>
    <w:p>
      <w:pPr>
        <w:ind w:right="80" w:firstLine="486"/>
        <w:spacing w:after="0"/>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The increase in 2020 was primarily due to costs of $31.1 million in 2020 associated with the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Refinancing Transactions, costs of $27.9 million in 2020 associated with the 2020 Restructuring Initiative, a higher branded prescription drug fee, increased long-term incentive compensation costs and increased costs associated with preparing for our planned commercial launch of QWO</w:t>
      </w:r>
      <w:r>
        <w:rPr>
          <w:rFonts w:ascii="Arial" w:cs="Arial" w:eastAsia="Arial" w:hAnsi="Arial"/>
          <w:sz w:val="23"/>
          <w:szCs w:val="23"/>
          <w:color w:val="auto"/>
          <w:vertAlign w:val="superscript"/>
        </w:rPr>
        <w:t>®</w:t>
      </w:r>
      <w:r>
        <w:rPr>
          <w:rFonts w:ascii="Arial" w:cs="Arial" w:eastAsia="Arial" w:hAnsi="Arial"/>
          <w:sz w:val="18"/>
          <w:szCs w:val="18"/>
          <w:color w:val="auto"/>
        </w:rPr>
        <w:t>, partially offset by a third-quarter 2019 premium associated with an extended reporting period endorsement on an expiring insurance program that did not reoccur in 2020 as well as reduced legal costs associated with certain matters.</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further discussion of the 2020 Restructuring Initiative, including a discussion of related charges and expected future charges, refer to Note 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Restructuring in the Consolidated Financial Statements included in Part IV, Item 15 of this report.</w:t>
      </w:r>
    </w:p>
    <w:p>
      <w:pPr>
        <w:spacing w:after="0" w:line="103" w:lineRule="exact"/>
        <w:rPr>
          <w:sz w:val="20"/>
          <w:szCs w:val="20"/>
          <w:color w:val="auto"/>
        </w:rPr>
      </w:pPr>
    </w:p>
    <w:p>
      <w:pPr>
        <w:ind w:right="500" w:firstLine="486"/>
        <w:spacing w:after="0" w:line="244" w:lineRule="auto"/>
        <w:rPr>
          <w:sz w:val="20"/>
          <w:szCs w:val="20"/>
          <w:color w:val="auto"/>
        </w:rPr>
      </w:pPr>
      <w:r>
        <w:rPr>
          <w:rFonts w:ascii="Arial" w:cs="Arial" w:eastAsia="Arial" w:hAnsi="Arial"/>
          <w:sz w:val="18"/>
          <w:szCs w:val="18"/>
          <w:color w:val="auto"/>
        </w:rPr>
        <w:t>We expect Selling, general and administrative expenses to increase as compared to amounts in 2020, primarily as a result of increased costs associated with preparing for and executing on our planned commercial launch of QWO</w:t>
      </w:r>
      <w:r>
        <w:rPr>
          <w:rFonts w:ascii="Arial" w:cs="Arial" w:eastAsia="Arial" w:hAnsi="Arial"/>
          <w:sz w:val="23"/>
          <w:szCs w:val="23"/>
          <w:color w:val="auto"/>
          <w:vertAlign w:val="superscript"/>
        </w:rPr>
        <w:t>®</w:t>
      </w:r>
      <w:r>
        <w:rPr>
          <w:rFonts w:ascii="Arial" w:cs="Arial" w:eastAsia="Arial" w:hAnsi="Arial"/>
          <w:sz w:val="18"/>
          <w:szCs w:val="18"/>
          <w:color w:val="auto"/>
        </w:rPr>
        <w:t>, significantly increased investment and promotional efforts behind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increased legal costs associated with certain matters.</w:t>
      </w:r>
    </w:p>
    <w:p>
      <w:pPr>
        <w:spacing w:after="0" w:line="8" w:lineRule="exact"/>
        <w:rPr>
          <w:sz w:val="20"/>
          <w:szCs w:val="20"/>
          <w:color w:val="auto"/>
        </w:rPr>
      </w:pPr>
    </w:p>
    <w:p>
      <w:pPr>
        <w:ind w:right="640" w:firstLine="486"/>
        <w:spacing w:after="0" w:line="342" w:lineRule="auto"/>
        <w:rPr>
          <w:sz w:val="20"/>
          <w:szCs w:val="20"/>
          <w:color w:val="auto"/>
        </w:rPr>
      </w:pPr>
      <w:r>
        <w:rPr>
          <w:rFonts w:ascii="Arial" w:cs="Arial" w:eastAsia="Arial" w:hAnsi="Arial"/>
          <w:sz w:val="16"/>
          <w:szCs w:val="16"/>
          <w:b w:val="1"/>
          <w:bCs w:val="1"/>
          <w:i w:val="1"/>
          <w:iCs w:val="1"/>
          <w:color w:val="auto"/>
        </w:rPr>
        <w:t xml:space="preserve">R&amp;D expenses. </w:t>
      </w:r>
      <w:r>
        <w:rPr>
          <w:rFonts w:ascii="Arial" w:cs="Arial" w:eastAsia="Arial" w:hAnsi="Arial"/>
          <w:sz w:val="16"/>
          <w:szCs w:val="16"/>
          <w:color w:val="auto"/>
        </w:rPr>
        <w:t>The amount of R&amp;D expense we record in any period varies depending on the nature and stage of development of our R&amp;D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programs and can also vary in periods in which we incur significant upfront or milestone charges related to agreements with third parties.</w:t>
      </w:r>
    </w:p>
    <w:p>
      <w:pPr>
        <w:spacing w:after="0" w:line="16" w:lineRule="exact"/>
        <w:rPr>
          <w:sz w:val="20"/>
          <w:szCs w:val="20"/>
          <w:color w:val="auto"/>
        </w:rPr>
      </w:pPr>
    </w:p>
    <w:p>
      <w:pPr>
        <w:ind w:right="100" w:firstLine="486"/>
        <w:spacing w:after="0" w:line="238" w:lineRule="auto"/>
        <w:rPr>
          <w:sz w:val="20"/>
          <w:szCs w:val="20"/>
          <w:color w:val="auto"/>
        </w:rPr>
      </w:pPr>
      <w:r>
        <w:rPr>
          <w:rFonts w:ascii="Arial" w:cs="Arial" w:eastAsia="Arial" w:hAnsi="Arial"/>
          <w:sz w:val="17"/>
          <w:szCs w:val="17"/>
          <w:color w:val="auto"/>
        </w:rPr>
        <w:t>Our R&amp;D efforts are focused on the development of a diversified portfolio of innovative and clinically differentiated product candidates. We have been progressing and expect to continue to progress our cellulite treatment development programs for QWO</w:t>
      </w:r>
      <w:r>
        <w:rPr>
          <w:rFonts w:ascii="Arial" w:cs="Arial" w:eastAsia="Arial" w:hAnsi="Arial"/>
          <w:sz w:val="22"/>
          <w:szCs w:val="22"/>
          <w:color w:val="auto"/>
          <w:vertAlign w:val="superscript"/>
        </w:rPr>
        <w:t>®</w:t>
      </w:r>
      <w:r>
        <w:rPr>
          <w:rFonts w:ascii="Arial" w:cs="Arial" w:eastAsia="Arial" w:hAnsi="Arial"/>
          <w:sz w:val="17"/>
          <w:szCs w:val="17"/>
          <w:color w:val="auto"/>
        </w:rPr>
        <w:t>, which was approved by the FDA for the treatment of moderate to severe cellulite in the buttocks of adult women in July 2020. In early 2020, we announced that we had initiated our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development programs for the treatment of plantar fibromatosis and adhesive capsulitis, which are continuing to progress. We also expect to continue to focus investments in RTU and other product candidates in our Sterile Injectables segment, potentially including license and commercialization agreements such as our Nevakar, Inc. agreement. In 2019, Endo initiated an open-label Phase 1 PK study of VASOSTRICT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healthy volunteers, studying plasma clearance with TT genotype versus AA/AT genotype. Based on the study results, we were issued two new patents by the PTO, both of which expire in 2040. Endo also submitted a PAS application for VASOSTRICT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to the FDA, which was subsequently accepted by the agency and is under review. The timing and outcome of the FDA’s review of the PAS application are within the FDA’s discretion. As our development programs progress, it is possible that our R&amp;D expenses could increase.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59" w:lineRule="auto"/>
        <w:rPr>
          <w:sz w:val="20"/>
          <w:szCs w:val="20"/>
          <w:color w:val="auto"/>
        </w:rPr>
      </w:pPr>
      <w:r>
        <w:rPr>
          <w:rFonts w:ascii="Arial" w:cs="Arial" w:eastAsia="Arial" w:hAnsi="Arial"/>
          <w:sz w:val="17"/>
          <w:szCs w:val="17"/>
          <w:color w:val="auto"/>
        </w:rPr>
        <w:t>The increase in R&amp;D expense in 2020 was driven by a $28.6 million charge related to in-process research and development assets expensed in connection with the acquisition of BioSpecifics, which is further described in Note 5. Acquisitions in the Consolidated Financial Statements included in Part IV, Item 15 of this report, costs of $5.1 million in 2020 associated with the 2020 Restructuring Initiative and increased R&amp;D costs associated with our Sterile Injectables segment, partially offset by decreased costs associated with certain post-marketing R&amp;D commitments and our development programs for QWO</w:t>
      </w:r>
      <w:r>
        <w:rPr>
          <w:rFonts w:ascii="Arial" w:cs="Arial" w:eastAsia="Arial" w:hAnsi="Arial"/>
          <w:sz w:val="22"/>
          <w:szCs w:val="22"/>
          <w:color w:val="auto"/>
          <w:vertAlign w:val="superscript"/>
        </w:rPr>
        <w:t>®</w:t>
      </w:r>
      <w:r>
        <w:rPr>
          <w:rFonts w:ascii="Arial" w:cs="Arial" w:eastAsia="Arial" w:hAnsi="Arial"/>
          <w:sz w:val="17"/>
          <w:szCs w:val="17"/>
          <w:color w:val="auto"/>
        </w:rPr>
        <w:t>. For further discussion of the 2020 Restructuring Initiative, including a discussion of related charges and expected future charges, refer to Note 4. Restructuring in the Consolidated Financial Statements included in Part IV, Item 15 of this report.</w:t>
      </w:r>
    </w:p>
    <w:p>
      <w:pPr>
        <w:spacing w:after="0" w:line="76" w:lineRule="exact"/>
        <w:rPr>
          <w:sz w:val="20"/>
          <w:szCs w:val="20"/>
          <w:color w:val="auto"/>
        </w:rPr>
      </w:pPr>
    </w:p>
    <w:p>
      <w:pPr>
        <w:ind w:right="120" w:firstLine="486"/>
        <w:spacing w:after="0" w:line="275" w:lineRule="auto"/>
        <w:rPr>
          <w:sz w:val="20"/>
          <w:szCs w:val="20"/>
          <w:color w:val="auto"/>
        </w:rPr>
      </w:pPr>
      <w:r>
        <w:rPr>
          <w:rFonts w:ascii="Arial" w:cs="Arial" w:eastAsia="Arial" w:hAnsi="Arial"/>
          <w:sz w:val="17"/>
          <w:szCs w:val="17"/>
          <w:b w:val="1"/>
          <w:bCs w:val="1"/>
          <w:i w:val="1"/>
          <w:iCs w:val="1"/>
          <w:color w:val="auto"/>
        </w:rPr>
        <w:t xml:space="preserve">Litigation-related and other contingencies, net. </w:t>
      </w:r>
      <w:r>
        <w:rPr>
          <w:rFonts w:ascii="Arial" w:cs="Arial" w:eastAsia="Arial" w:hAnsi="Arial"/>
          <w:sz w:val="17"/>
          <w:szCs w:val="17"/>
          <w:color w:val="auto"/>
        </w:rPr>
        <w:t>Included within Litigation-related and other contingencies, net are changes to our accruals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litigation-related settlement charges and certain settlement proceeds related to suits filed by our subsidiaries. Our material legal proceedings and other contingent matters are described in more detail in Note 16. Commitments and Contingencies in the Consolidated Financial Statements included in Part IV, Item 15 of this report. As further described therein, adjustments to the corresponding liability accruals may be required in the future. This could have a material adverse effect on our business, financial condition, results of operations and cash flows.</w:t>
      </w:r>
    </w:p>
    <w:p>
      <w:pPr>
        <w:spacing w:after="0" w:line="68"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b w:val="1"/>
          <w:bCs w:val="1"/>
          <w:i w:val="1"/>
          <w:iCs w:val="1"/>
          <w:color w:val="auto"/>
        </w:rPr>
        <w:t xml:space="preserve">Asset impairment charges. </w:t>
      </w:r>
      <w:r>
        <w:rPr>
          <w:rFonts w:ascii="Arial" w:cs="Arial" w:eastAsia="Arial" w:hAnsi="Arial"/>
          <w:sz w:val="18"/>
          <w:szCs w:val="18"/>
          <w:color w:val="auto"/>
        </w:rPr>
        <w:t>The following table presents the components of our total Asset impairment charges for the years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and 2019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charges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171,908</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Other intangible asset impairment charges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79,917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347,706</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impairment charges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6,468</w:t>
            </w: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right-of-use asset impairment charges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 impairment charges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526,082</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factors leading to our material goodwill and intangible asset impairment tests, as well as the results of these tests, are further described in Note</w:t>
      </w:r>
    </w:p>
    <w:p>
      <w:pPr>
        <w:spacing w:after="0" w:line="46" w:lineRule="exact"/>
        <w:rPr>
          <w:sz w:val="20"/>
          <w:szCs w:val="20"/>
          <w:color w:val="auto"/>
        </w:rPr>
      </w:pPr>
    </w:p>
    <w:p>
      <w:pPr>
        <w:ind w:right="80" w:firstLine="8"/>
        <w:spacing w:after="0" w:line="323" w:lineRule="auto"/>
        <w:tabs>
          <w:tab w:leader="none" w:pos="263" w:val="left"/>
        </w:tabs>
        <w:numPr>
          <w:ilvl w:val="0"/>
          <w:numId w:val="49"/>
        </w:numPr>
        <w:rPr>
          <w:rFonts w:ascii="Arial" w:cs="Arial" w:eastAsia="Arial" w:hAnsi="Arial"/>
          <w:sz w:val="16"/>
          <w:szCs w:val="16"/>
          <w:color w:val="auto"/>
        </w:rPr>
      </w:pPr>
      <w:r>
        <w:rPr>
          <w:rFonts w:ascii="Arial" w:cs="Arial" w:eastAsia="Arial" w:hAnsi="Arial"/>
          <w:sz w:val="16"/>
          <w:szCs w:val="16"/>
          <w:color w:val="auto"/>
        </w:rPr>
        <w:t>Goodwill and Other Intangibles in the Consolidated Financial Statements included in Part IV, Item 15 of this report. A discussion of critical accounting estimates made in connection with certain of our impairment tests is included above under the caption “CRITICAL ACCOUNTING ESTIMATES.”</w:t>
      </w:r>
    </w:p>
    <w:p>
      <w:pPr>
        <w:spacing w:after="0" w:line="30"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b w:val="1"/>
          <w:bCs w:val="1"/>
          <w:i w:val="1"/>
          <w:iCs w:val="1"/>
          <w:color w:val="auto"/>
        </w:rPr>
        <w:t xml:space="preserve">Acquisition-related and integration items, net. </w:t>
      </w:r>
      <w:r>
        <w:rPr>
          <w:rFonts w:ascii="Arial" w:cs="Arial" w:eastAsia="Arial" w:hAnsi="Arial"/>
          <w:sz w:val="17"/>
          <w:szCs w:val="17"/>
          <w:color w:val="auto"/>
        </w:rPr>
        <w:t>Acquisition-related and integration items, net primarily consist of the net expense (benefit)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changes in the fair value of acquisition-related contingent consideration liabilities resulting from changes to our estimates regarding the timing and amount of the future revenues of the underlying products and changes in other assumptions impacting the probability of incurring, and extent to which we could incur, related contingent obligations. See Note 7. Fair Value Measurements in the Consolidated Financial Statements included in Part IV, Item 15 of this report for further discussion of our acquisition-related contingent consideration.</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 xml:space="preserve">Interest expense, net. </w:t>
      </w:r>
      <w:r>
        <w:rPr>
          <w:rFonts w:ascii="Arial" w:cs="Arial" w:eastAsia="Arial" w:hAnsi="Arial"/>
          <w:sz w:val="17"/>
          <w:szCs w:val="17"/>
          <w:color w:val="auto"/>
        </w:rPr>
        <w:t>The components of Interest expense, net for the years ended December 31, 2020 and 2019 are as follows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558,680</w:t>
            </w:r>
          </w:p>
        </w:tc>
      </w:tr>
      <w:tr>
        <w:trPr>
          <w:trHeight w:val="23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2"/>
              </w:rPr>
              <w:t>(19,946)</w:t>
            </w:r>
          </w:p>
        </w:tc>
      </w:tr>
      <w:tr>
        <w:trPr>
          <w:trHeight w:val="248"/>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532,939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8"/>
              </w:rPr>
              <w:t>538,734</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486"/>
        <w:spacing w:after="0" w:line="286" w:lineRule="auto"/>
        <w:rPr>
          <w:sz w:val="20"/>
          <w:szCs w:val="20"/>
          <w:color w:val="auto"/>
        </w:rPr>
      </w:pPr>
      <w:r>
        <w:rPr>
          <w:rFonts w:ascii="Arial" w:cs="Arial" w:eastAsia="Arial" w:hAnsi="Arial"/>
          <w:sz w:val="16"/>
          <w:szCs w:val="16"/>
          <w:color w:val="auto"/>
        </w:rPr>
        <w:t>The decrease in interest expense in 2020 was primarily attributable to decreases to LIBOR that impacted our variable-rate debt and the reductions to the amount of our indebtedness associated with the March 2019 Refinancing Transactions (as defined below) and June 2020 Refinancing Transactions, partially offset by the increases to the weighted average interest rate applicable to our notes following the March 2019 Refinancing Transactions and June 2020 Refinancing Transactions, as well as interest expense associated with our June 2019 Revolving Credit Facility draw of $300.0 million. Refer to Note</w:t>
      </w:r>
    </w:p>
    <w:p>
      <w:pPr>
        <w:spacing w:after="0" w:line="1" w:lineRule="exact"/>
        <w:rPr>
          <w:sz w:val="20"/>
          <w:szCs w:val="20"/>
          <w:color w:val="auto"/>
        </w:rPr>
      </w:pPr>
    </w:p>
    <w:p>
      <w:pPr>
        <w:jc w:val="both"/>
        <w:ind w:right="40" w:firstLine="8"/>
        <w:spacing w:after="0" w:line="255" w:lineRule="auto"/>
        <w:tabs>
          <w:tab w:leader="none" w:pos="27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Debt in the Consolidated Financial Statements included in Part IV, Item 15 of this report for further discussion of these transactions. Changes in interest rates could increase our interest expense in the future, which could have a material adverse effect on our business, financial condition, results of operations and cash flows.</w:t>
      </w:r>
    </w:p>
    <w:p>
      <w:pPr>
        <w:spacing w:after="0" w:line="82"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Interest income varies primarily based on the amounts of our interest-bearing investments, such as money market funds, as well as changes in the corresponding interest rates.</w:t>
      </w:r>
    </w:p>
    <w:p>
      <w:pPr>
        <w:spacing w:after="0" w:line="62" w:lineRule="exact"/>
        <w:rPr>
          <w:sz w:val="20"/>
          <w:szCs w:val="20"/>
          <w:color w:val="auto"/>
        </w:rPr>
      </w:pPr>
    </w:p>
    <w:p>
      <w:pPr>
        <w:ind w:right="900" w:firstLine="486"/>
        <w:spacing w:after="0" w:line="277" w:lineRule="auto"/>
        <w:rPr>
          <w:sz w:val="20"/>
          <w:szCs w:val="20"/>
          <w:color w:val="auto"/>
        </w:rPr>
      </w:pPr>
      <w:r>
        <w:rPr>
          <w:rFonts w:ascii="Arial" w:cs="Arial" w:eastAsia="Arial" w:hAnsi="Arial"/>
          <w:sz w:val="18"/>
          <w:szCs w:val="18"/>
          <w:b w:val="1"/>
          <w:bCs w:val="1"/>
          <w:i w:val="1"/>
          <w:iCs w:val="1"/>
          <w:color w:val="auto"/>
        </w:rPr>
        <w:t xml:space="preserve">Gain on extinguishment of debt. </w:t>
      </w:r>
      <w:r>
        <w:rPr>
          <w:rFonts w:ascii="Arial" w:cs="Arial" w:eastAsia="Arial" w:hAnsi="Arial"/>
          <w:sz w:val="18"/>
          <w:szCs w:val="18"/>
          <w:color w:val="auto"/>
        </w:rPr>
        <w:t>The amount in 2019 relates to the March 2019 Refinancing Transactions. Refer to Note 15. Debt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Financial Statements included in Part IV, Item 15 of this report for further discussion.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The components of Other (income) expense, net for the years ended December 31, 2020 and 2019 are as follows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on sale of business and other assets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(6,367)</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Foreign currency loss,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5,247</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loss from our investments in the equity of other companies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r>
      <w:tr>
        <w:trPr>
          <w:trHeight w:val="23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miscellaneous, net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15,451</w:t>
            </w:r>
          </w:p>
        </w:tc>
      </w:tr>
      <w:tr>
        <w:trPr>
          <w:trHeight w:val="248"/>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16,677</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For additional information on the components of Other (income) expense, net, refer to Note 20. Other (Income) Expense, Net in the Consolidated Financial Statements included in Part IV, Item 15 of this report.</w:t>
      </w:r>
    </w:p>
    <w:p>
      <w:pPr>
        <w:spacing w:after="0" w:line="62"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b w:val="1"/>
          <w:bCs w:val="1"/>
          <w:i w:val="1"/>
          <w:iCs w:val="1"/>
          <w:color w:val="auto"/>
        </w:rPr>
        <w:t>Income tax (benefit) expense</w:t>
      </w:r>
      <w:r>
        <w:rPr>
          <w:rFonts w:ascii="Arial" w:cs="Arial" w:eastAsia="Arial" w:hAnsi="Arial"/>
          <w:sz w:val="18"/>
          <w:szCs w:val="18"/>
          <w:color w:val="auto"/>
        </w:rPr>
        <w:t>. The following table displays our Loss from continuing operations before income tax, Income tax (benefit)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Effective tax rate for the years ended December 31, 2020 and 2019 (dollars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 before income tax</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(26,518)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(344,904)</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(273,982)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5"/>
              <w:spacing w:after="0"/>
              <w:rPr>
                <w:sz w:val="20"/>
                <w:szCs w:val="20"/>
                <w:color w:val="auto"/>
              </w:rPr>
            </w:pPr>
            <w:r>
              <w:rPr>
                <w:rFonts w:ascii="Arial" w:cs="Arial" w:eastAsia="Arial" w:hAnsi="Arial"/>
                <w:sz w:val="18"/>
                <w:szCs w:val="18"/>
                <w:color w:val="auto"/>
              </w:rPr>
              <w:t>15,680</w:t>
            </w: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Effective tax rate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1,033.2 %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(4.5)%</w:t>
            </w:r>
          </w:p>
        </w:tc>
      </w:tr>
    </w:tbl>
    <w:p>
      <w:pPr>
        <w:spacing w:after="0" w:line="94"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Our tax rate is affected by recurring items, such as tax rates in non-U.S. jurisdictions as compared to the notional U.S. federal statutory tax rate, and the relative amount of income or loss in those various jurisdictions. It is also impacted by certain items that may occur in any given period, but are not consistent from period to period.</w:t>
      </w:r>
    </w:p>
    <w:p>
      <w:pPr>
        <w:spacing w:after="0" w:line="76"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change in income tax benefit in 2020 as compared to the 2019 income tax expense primarily relates to the income tax benefit arising from the CARES Act and a change in deferred tax liabilities following the BioSpecifics acquisition during 2020.</w:t>
      </w:r>
    </w:p>
    <w:p>
      <w:pPr>
        <w:spacing w:after="0" w:line="62"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We have valuation allowances established against our deferred tax assets in most jurisdictions in which we operate, with the exception of Canada and India. Accordingly, it would be unlikely for future pre-tax losses to create a tax benefit that would be more likely than not to be realized. Although the Company has valuation allowances established against deferred tax assets in most major jurisdictions as of December 31, 2020, it is possible that there could be material reversals, particularly if certain proposed law changes were to be enacted.</w:t>
      </w:r>
    </w:p>
    <w:p>
      <w:pPr>
        <w:spacing w:after="0" w:line="63"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We are incorporated in Ireland and also maintain subsidiaries in, among other jurisdictions, the U.S., Canada, India, the United Kingdom and Luxembourg. The IRS and other taxing authorities may continue to challenge our tax positions. The IRS presently is examining certain of our subsidiaries’ U.S. income tax returns for fiscal years ended between December 31, 2011 and December 31, 2015 and, in connection with those examinations, is reviewing our tax positions related to, among other things, certain intercompany arrangements, including the level of profit earned by our U.S. subsidiaries pursuant to such arrangements, and a worthless stock deduction directly attributable to product liability losses. For additional information, including a discussion of related recent developments and their potential impact on us, refer to Note 21. Income Taxes in the Consolidated Financial Statements included in Part IV, Item 15 of this report.</w:t>
      </w:r>
    </w:p>
    <w:p>
      <w:pPr>
        <w:spacing w:after="0" w:line="87"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During the third quarter of 2020, the IRS opened an examination into certain of our subsidiaries’ U.S. income tax returns for fiscal years ended between December 31, 2016 and December 31, 2018. The IRS will likely examine our tax returns for other fiscal years and/or for other tax positions. Similarly, other tax authorities, including the Canada Revenue Agency, are currently examining our non-U.S. tax returns. Additionally, other jurisdictions where we are not currently under audit remain subject to potential future examinations. Such examinations may lead to proposed or actual adjustments to our taxes that may be material, individually or in the aggregate. See the risk factor “The IRS and other taxing authorities may continue to challenge our tax positions and we may not be able to successfully maintain such positions” in Part I, Item 1A of this document for more information.</w:t>
      </w:r>
    </w:p>
    <w:p>
      <w:pPr>
        <w:spacing w:after="0" w:line="56"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For additional information on our income taxes, including information about the impact of the CARES Act, refer to Note 21. Income Taxes in the Consolidated Financial Statements included in Part IV, Item 15 of this report.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b w:val="1"/>
          <w:bCs w:val="1"/>
          <w:i w:val="1"/>
          <w:iCs w:val="1"/>
          <w:color w:val="auto"/>
        </w:rPr>
        <w:t xml:space="preserve">Discontinued operations, net of tax. </w:t>
      </w:r>
      <w:r>
        <w:rPr>
          <w:rFonts w:ascii="Arial" w:cs="Arial" w:eastAsia="Arial" w:hAnsi="Arial"/>
          <w:sz w:val="17"/>
          <w:szCs w:val="17"/>
          <w:color w:val="auto"/>
        </w:rPr>
        <w:t>The operating results of the Company’s Astora business, which the Board resolved to wind-down in 2016,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reported as Discontinued operations, net of tax in the Consolidated Statements of Operations for all periods presented. The following table provides the operating results of Astora Discontinued operations, net of tax, for the years ended December 31, 2020 and 2019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Litigation-related and other contingencies,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30,400</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Loss from discontinued operations before income taxes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(67,847)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(62,052)</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Discontinued operations, net of tax</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(63,520)</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(62,052)</w:t>
            </w:r>
          </w:p>
        </w:tc>
      </w:tr>
    </w:tbl>
    <w:p>
      <w:pPr>
        <w:spacing w:after="0" w:line="93" w:lineRule="exact"/>
        <w:rPr>
          <w:sz w:val="20"/>
          <w:szCs w:val="20"/>
          <w:color w:val="auto"/>
        </w:rPr>
      </w:pPr>
    </w:p>
    <w:p>
      <w:pPr>
        <w:ind w:right="80" w:firstLine="486"/>
        <w:spacing w:after="0" w:line="311" w:lineRule="auto"/>
        <w:rPr>
          <w:sz w:val="20"/>
          <w:szCs w:val="20"/>
          <w:color w:val="auto"/>
        </w:rPr>
      </w:pPr>
      <w:r>
        <w:rPr>
          <w:rFonts w:ascii="Arial" w:cs="Arial" w:eastAsia="Arial" w:hAnsi="Arial"/>
          <w:sz w:val="16"/>
          <w:szCs w:val="16"/>
          <w:color w:val="auto"/>
        </w:rPr>
        <w:t>Amounts included in the Litigation-related and other contingencies, net line of the table above are for mesh-related litigation. The remaining pre-tax amounts in 2020 and 2019 were primarily related to mesh-related legal defense costs and certain other items. For additional discussion of mesh-related matters, refer to Note 16. Commitments and Contingencies in the Consolidated Financial Statements included in Part IV, Item 15 of this report.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Results Review</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Refer to Note 6. Segment Results in the Consolidated Financial Statements included in Part IV, Item 15 of this report for further details regarding our reportable segments and Segment adjusted income from continuing operations before income tax (the measure we use to evaluate segment performance), as well as reconciliations of Total consolidated loss from continuing operations before income tax, which is determined in accordance with U.S. GAAP, to our Total segment adjusted income from continuing operations before income tax.</w:t>
      </w:r>
    </w:p>
    <w:p>
      <w:pPr>
        <w:spacing w:after="0" w:line="79" w:lineRule="exact"/>
        <w:rPr>
          <w:sz w:val="20"/>
          <w:szCs w:val="20"/>
          <w:color w:val="auto"/>
        </w:rPr>
      </w:pPr>
    </w:p>
    <w:p>
      <w:pPr>
        <w:ind w:right="100" w:firstLine="486"/>
        <w:spacing w:after="0" w:line="269" w:lineRule="auto"/>
        <w:rPr>
          <w:sz w:val="20"/>
          <w:szCs w:val="20"/>
          <w:color w:val="auto"/>
        </w:rPr>
      </w:pPr>
      <w:r>
        <w:rPr>
          <w:rFonts w:ascii="Arial" w:cs="Arial" w:eastAsia="Arial" w:hAnsi="Arial"/>
          <w:sz w:val="17"/>
          <w:szCs w:val="17"/>
          <w:color w:val="auto"/>
        </w:rPr>
        <w:t>We refer to Segment adjusted income from continuing operations before income tax, a financial measure not defined by U.S. GAAP, in making operating decisions because we believe it provides meaningful supplemental information regarding our operational performance. For instance, we believe that this measure facilitates internal comparisons to our historical operating results and comparisons to competitors’ results. We believe this measure is useful to investors in allowing for greater transparency related to supplemental information used in our financial and operational decision-making. Further, we believe that Segment adjusted income from continuing operations before income tax may be useful to investors as we are aware that certain of our significant shareholders utilize Segment adjusted income from continuing operations before income tax to evaluate our financial performance. Finally, Segment adjusted income from continuing operations before income tax is utilized in the calculation of other financial measures not determined in accordance with U.S. GAAP that are used by the Compensation Committee of the Company’s Board in assessing the performance and compensation of substantially all of our employees, including our executive officers. Effective January 1, 2020, the Company revised its definition of Segment adjusted income from continuing operations before income tax to exclude certain legal costs in order to reflect changes in how the chief operating decision maker (CODM) reviews segment performance. Refer to Note 6. Segment Results in the Consolidated Financial Statements included in Part IV, Item 15 of this report for further details regarding this revision.</w:t>
      </w:r>
    </w:p>
    <w:p>
      <w:pPr>
        <w:spacing w:after="0" w:line="71"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There are limitations to using financial measures such as Segment adjusted income from continuing operations before income tax. Other companies in our industry may define Segment adjusted income from continuing operations before income tax differently than we do. As a result, it may be difficult to use Segment adjusted income from continuing operations before income tax or similarly named adjusted financial measures that other companies may use to compare the performance of those companies to our performance. Because of these limitations, Segment adjusted income from continuing operations before income tax is not intended to represent cash flow from operations as defined by U.S. GAAP and should not be used as an indicator of operating performance, a measure of liquidity or as alternative to net income, cash flows or any other financial measure determined in accordance with U.S. GAAP. We compensate for these limitations by providing, in Note 6. Segment Results in the Consolidated Financial Statements included in Part IV, Item 15 of this report, reconciliations of Total consolidated loss from continuing operations before income tax, which is determined in accordance with U.S. GAAP, to our Total segment adjusted income from continuing operations before income tax.</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b w:val="1"/>
          <w:bCs w:val="1"/>
          <w:i w:val="1"/>
          <w:iCs w:val="1"/>
          <w:color w:val="auto"/>
        </w:rPr>
        <w:t xml:space="preserve">Revenues, net. </w:t>
      </w:r>
      <w:r>
        <w:rPr>
          <w:rFonts w:ascii="Arial" w:cs="Arial" w:eastAsia="Arial" w:hAnsi="Arial"/>
          <w:sz w:val="18"/>
          <w:szCs w:val="18"/>
          <w:color w:val="auto"/>
        </w:rPr>
        <w:t>The following table displays our revenue by reportable segment for the years ended December 31, 2020 and 2019 (dollars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 Change</w:t>
            </w:r>
          </w:p>
        </w:tc>
      </w:tr>
      <w:tr>
        <w:trPr>
          <w:trHeight w:val="188"/>
        </w:trPr>
        <w:tc>
          <w:tcPr>
            <w:tcW w:w="68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 vs. 2019</w:t>
            </w:r>
          </w:p>
        </w:tc>
      </w:tr>
      <w:tr>
        <w:trPr>
          <w:trHeight w:val="224"/>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Branded Pharmaceuticals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855,402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Sterile Injectables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1,238,847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1,063,131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 Pharmaceuticals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879,882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Pharmaceuticals (1)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115,949</w:t>
            </w:r>
          </w:p>
        </w:tc>
        <w:tc>
          <w:tcPr>
            <w:tcW w:w="1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w:t>
            </w:r>
          </w:p>
        </w:tc>
      </w:tr>
      <w:tr>
        <w:trPr>
          <w:trHeight w:val="248"/>
        </w:trPr>
        <w:tc>
          <w:tcPr>
            <w:tcW w:w="6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revenues from external customers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2,903,074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2,914,364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Revenues generated by our International Pharmaceuticals segment are primarily attributable to external customers located in Canada.</w:t>
      </w:r>
    </w:p>
    <w:p>
      <w:pPr>
        <w:spacing w:after="0" w:line="101"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i w:val="1"/>
          <w:iCs w:val="1"/>
          <w:color w:val="auto"/>
        </w:rPr>
        <w:t>Branded Pharmaceuticals</w:t>
      </w:r>
      <w:r>
        <w:rPr>
          <w:rFonts w:ascii="Arial" w:cs="Arial" w:eastAsia="Arial" w:hAnsi="Arial"/>
          <w:sz w:val="18"/>
          <w:szCs w:val="18"/>
          <w:color w:val="auto"/>
        </w:rPr>
        <w:t>. The following table displays the significant components of our Branded Pharmaceuticals revenues from external</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for the years ended December 31, 2020 and 2019 (dollars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188"/>
        </w:trPr>
        <w:tc>
          <w:tcPr>
            <w:tcW w:w="68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 vs. 2019</w:t>
            </w:r>
          </w:p>
        </w:tc>
      </w:tr>
      <w:tr>
        <w:trPr>
          <w:trHeight w:val="211"/>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Specialty Products: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XIAFLEX®</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316,234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327,638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SUPPRELIN® LA</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86,797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6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Specialty (1)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105,241</w:t>
            </w:r>
          </w:p>
        </w:tc>
        <w:tc>
          <w:tcPr>
            <w:tcW w:w="1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Specialty Products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497,078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519,676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9"/>
        </w:trPr>
        <w:tc>
          <w:tcPr>
            <w:tcW w:w="6820" w:type="dxa"/>
            <w:vAlign w:val="bottom"/>
          </w:tcPr>
          <w:p>
            <w:pPr>
              <w:ind w:left="20"/>
              <w:spacing w:after="0"/>
              <w:rPr>
                <w:sz w:val="20"/>
                <w:szCs w:val="20"/>
                <w:color w:val="auto"/>
              </w:rPr>
            </w:pPr>
            <w:r>
              <w:rPr>
                <w:rFonts w:ascii="Arial" w:cs="Arial" w:eastAsia="Arial" w:hAnsi="Arial"/>
                <w:sz w:val="18"/>
                <w:szCs w:val="18"/>
                <w:i w:val="1"/>
                <w:iCs w:val="1"/>
                <w:color w:val="auto"/>
              </w:rPr>
              <w:t>Established Products: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PERCOCET®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116,012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820" w:type="dxa"/>
            <w:vAlign w:val="bottom"/>
          </w:tcPr>
          <w:p>
            <w:pPr>
              <w:ind w:left="140"/>
              <w:spacing w:after="0"/>
              <w:rPr>
                <w:sz w:val="20"/>
                <w:szCs w:val="20"/>
                <w:color w:val="auto"/>
              </w:rPr>
            </w:pPr>
            <w:r>
              <w:rPr>
                <w:rFonts w:ascii="Arial" w:cs="Arial" w:eastAsia="Arial" w:hAnsi="Arial"/>
                <w:sz w:val="18"/>
                <w:szCs w:val="18"/>
                <w:color w:val="auto"/>
              </w:rPr>
              <w:t>TESTOPEL®</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55,244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Established (2)</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164,470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Established Products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335,726</w:t>
            </w:r>
          </w:p>
        </w:tc>
        <w:tc>
          <w:tcPr>
            <w:tcW w:w="1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Branded Pharmaceuticals (3)</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781,780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855,402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ind w:left="560" w:hanging="309"/>
        <w:spacing w:after="0" w:line="202" w:lineRule="auto"/>
        <w:tabs>
          <w:tab w:leader="none" w:pos="5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Products included within Other Specialty are NASCOBAL</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Nasal Spray and AVEED</w:t>
      </w:r>
      <w:r>
        <w:rPr>
          <w:rFonts w:ascii="Arial" w:cs="Arial" w:eastAsia="Arial" w:hAnsi="Arial"/>
          <w:sz w:val="18"/>
          <w:szCs w:val="18"/>
          <w:color w:val="auto"/>
          <w:vertAlign w:val="superscript"/>
        </w:rPr>
        <w:t>®</w:t>
      </w:r>
      <w:r>
        <w:rPr>
          <w:rFonts w:ascii="Arial" w:cs="Arial" w:eastAsia="Arial" w:hAnsi="Arial"/>
          <w:sz w:val="14"/>
          <w:szCs w:val="14"/>
          <w:color w:val="auto"/>
        </w:rPr>
        <w:t>.</w:t>
      </w:r>
    </w:p>
    <w:p>
      <w:pPr>
        <w:ind w:left="560" w:hanging="309"/>
        <w:spacing w:after="0" w:line="187" w:lineRule="auto"/>
        <w:tabs>
          <w:tab w:leader="none" w:pos="5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EDEX</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LIDODERM</w:t>
      </w:r>
      <w:r>
        <w:rPr>
          <w:rFonts w:ascii="Arial" w:cs="Arial" w:eastAsia="Arial" w:hAnsi="Arial"/>
          <w:sz w:val="18"/>
          <w:szCs w:val="18"/>
          <w:color w:val="auto"/>
          <w:vertAlign w:val="superscript"/>
        </w:rPr>
        <w:t>®</w:t>
      </w:r>
      <w:r>
        <w:rPr>
          <w:rFonts w:ascii="Arial" w:cs="Arial" w:eastAsia="Arial" w:hAnsi="Arial"/>
          <w:sz w:val="14"/>
          <w:szCs w:val="14"/>
          <w:color w:val="auto"/>
        </w:rPr>
        <w:t>.</w:t>
      </w:r>
    </w:p>
    <w:p>
      <w:pPr>
        <w:ind w:left="580" w:right="180" w:hanging="329"/>
        <w:spacing w:after="0" w:line="255" w:lineRule="auto"/>
        <w:tabs>
          <w:tab w:leader="none" w:pos="572"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for the year ended December 31, 2020 and/or any product having revenues in excess of $100 million during any of the years ended December 31, 2020, 2019 or 2018 or $25 million during any quarterly period in 2020 or 2019.</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Specialty Products</w:t>
      </w:r>
    </w:p>
    <w:p>
      <w:pPr>
        <w:spacing w:after="0" w:line="112" w:lineRule="exact"/>
        <w:rPr>
          <w:sz w:val="20"/>
          <w:szCs w:val="20"/>
          <w:color w:val="auto"/>
        </w:rPr>
      </w:pPr>
    </w:p>
    <w:p>
      <w:pPr>
        <w:ind w:right="40" w:firstLine="486"/>
        <w:spacing w:after="0" w:line="218" w:lineRule="auto"/>
        <w:rPr>
          <w:sz w:val="20"/>
          <w:szCs w:val="20"/>
          <w:color w:val="auto"/>
        </w:rPr>
      </w:pPr>
      <w:r>
        <w:rPr>
          <w:rFonts w:ascii="Arial" w:cs="Arial" w:eastAsia="Arial" w:hAnsi="Arial"/>
          <w:sz w:val="18"/>
          <w:szCs w:val="18"/>
          <w:color w:val="auto"/>
        </w:rPr>
        <w:t>XIAFLEX</w:t>
      </w:r>
      <w:r>
        <w:rPr>
          <w:rFonts w:ascii="Arial" w:cs="Arial" w:eastAsia="Arial" w:hAnsi="Arial"/>
          <w:sz w:val="23"/>
          <w:szCs w:val="23"/>
          <w:color w:val="auto"/>
          <w:vertAlign w:val="superscript"/>
        </w:rPr>
        <w:t>®</w:t>
      </w:r>
      <w:r>
        <w:rPr>
          <w:rFonts w:ascii="Arial" w:cs="Arial" w:eastAsia="Arial" w:hAnsi="Arial"/>
          <w:sz w:val="18"/>
          <w:szCs w:val="18"/>
          <w:color w:val="auto"/>
        </w:rPr>
        <w:t>, 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 and certain of our Other Specialty Products are physician administered products. Beginning during the last two weeks of the first quarter of 2020 and continuing into the second quarter of 2020, certain of our products that are physician administered, including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 began experiencing significantly decreased sales volumes due to reduced physician office activity and patient office visits compared to the prior year because of the COVID-19 pandemic. In the following months, sales volumes began to recover toward pre-COVID-19 levels as physician offices reopened; however, sales volumes in the fourth quarter of 2020 were impacted as a result of a resurgence of COVID-19 cases in certain parts of the U.S. In 2020, overall sales volumes for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decreased, resulting in decreased revenues. The decrease in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in 2020 was partially offset by price.</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decrease in Other Specialty revenues in 2020 was primarily attributable to decreased volume.</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Established Products</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decrease in PERCOCET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in 2020 was primarily attributable to decreased volume, partially offset by increased price.</w:t>
      </w:r>
    </w:p>
    <w:p>
      <w:pPr>
        <w:spacing w:after="0" w:line="60" w:lineRule="exact"/>
        <w:rPr>
          <w:sz w:val="20"/>
          <w:szCs w:val="20"/>
          <w:color w:val="auto"/>
        </w:rPr>
      </w:pPr>
    </w:p>
    <w:p>
      <w:pPr>
        <w:ind w:right="180" w:firstLine="486"/>
        <w:spacing w:after="0" w:line="229" w:lineRule="auto"/>
        <w:rPr>
          <w:sz w:val="20"/>
          <w:szCs w:val="20"/>
          <w:color w:val="auto"/>
        </w:rPr>
      </w:pPr>
      <w:r>
        <w:rPr>
          <w:rFonts w:ascii="Arial" w:cs="Arial" w:eastAsia="Arial" w:hAnsi="Arial"/>
          <w:sz w:val="18"/>
          <w:szCs w:val="18"/>
          <w:color w:val="auto"/>
        </w:rPr>
        <w:t>The decrease in TESTOPEL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in 2020 was primarily attributable to decrease volume resulting from a temporary supply disruption, which was subsequently resolved in the third quarter of 2020.</w:t>
      </w:r>
    </w:p>
    <w:p>
      <w:pPr>
        <w:spacing w:after="0" w:line="95"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The decrease in Other Established Products revenues in 2020 was primarily attributable to volume decreases as a result of ongoing competitive pressures.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i w:val="1"/>
          <w:iCs w:val="1"/>
          <w:color w:val="auto"/>
        </w:rPr>
        <w:t xml:space="preserve">Sterile Injectables. </w:t>
      </w:r>
      <w:r>
        <w:rPr>
          <w:rFonts w:ascii="Arial" w:cs="Arial" w:eastAsia="Arial" w:hAnsi="Arial"/>
          <w:sz w:val="18"/>
          <w:szCs w:val="18"/>
          <w:color w:val="auto"/>
        </w:rPr>
        <w:t>The following table displays the significant components of our Sterile Injectables revenues from external customers for the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2020 and 2019 (dollars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 Change</w:t>
            </w:r>
          </w:p>
        </w:tc>
      </w:tr>
      <w:tr>
        <w:trPr>
          <w:trHeight w:val="188"/>
        </w:trPr>
        <w:tc>
          <w:tcPr>
            <w:tcW w:w="68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2020 vs. 2019</w:t>
            </w:r>
          </w:p>
        </w:tc>
      </w:tr>
      <w:tr>
        <w:trPr>
          <w:trHeight w:val="224"/>
        </w:trPr>
        <w:tc>
          <w:tcPr>
            <w:tcW w:w="68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VASOSTRICT</w:t>
            </w:r>
            <w:r>
              <w:rPr>
                <w:rFonts w:ascii="Arial" w:cs="Arial" w:eastAsia="Arial" w:hAnsi="Arial"/>
                <w:sz w:val="23"/>
                <w:szCs w:val="23"/>
                <w:color w:val="auto"/>
                <w:vertAlign w:val="superscript"/>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531,737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29"/>
        </w:trPr>
        <w:tc>
          <w:tcPr>
            <w:tcW w:w="6820" w:type="dxa"/>
            <w:vAlign w:val="bottom"/>
          </w:tcPr>
          <w:p>
            <w:pPr>
              <w:ind w:left="20"/>
              <w:spacing w:after="0" w:line="230" w:lineRule="exact"/>
              <w:rPr>
                <w:sz w:val="20"/>
                <w:szCs w:val="20"/>
                <w:color w:val="auto"/>
              </w:rPr>
            </w:pPr>
            <w:r>
              <w:rPr>
                <w:rFonts w:ascii="Arial" w:cs="Arial" w:eastAsia="Arial" w:hAnsi="Arial"/>
                <w:sz w:val="18"/>
                <w:szCs w:val="18"/>
                <w:color w:val="auto"/>
              </w:rPr>
              <w:t>ADRENALIN</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152,074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179,295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Ertapenem for injection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104,679</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6820" w:type="dxa"/>
            <w:vAlign w:val="bottom"/>
          </w:tcPr>
          <w:p>
            <w:pPr>
              <w:ind w:left="20"/>
              <w:spacing w:after="0" w:line="230" w:lineRule="exact"/>
              <w:rPr>
                <w:sz w:val="20"/>
                <w:szCs w:val="20"/>
                <w:color w:val="auto"/>
              </w:rPr>
            </w:pPr>
            <w:r>
              <w:rPr>
                <w:rFonts w:ascii="Arial" w:cs="Arial" w:eastAsia="Arial" w:hAnsi="Arial"/>
                <w:sz w:val="18"/>
                <w:szCs w:val="18"/>
                <w:color w:val="auto"/>
              </w:rPr>
              <w:t>APLISOL</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36,220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61,826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Sterile Injectables (1)</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185,594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23"/>
        </w:trPr>
        <w:tc>
          <w:tcPr>
            <w:tcW w:w="6820" w:type="dxa"/>
            <w:vAlign w:val="bottom"/>
          </w:tcPr>
          <w:p>
            <w:pPr>
              <w:ind w:left="140"/>
              <w:spacing w:after="0"/>
              <w:rPr>
                <w:sz w:val="20"/>
                <w:szCs w:val="20"/>
                <w:color w:val="auto"/>
              </w:rPr>
            </w:pPr>
            <w:r>
              <w:rPr>
                <w:rFonts w:ascii="Arial" w:cs="Arial" w:eastAsia="Arial" w:hAnsi="Arial"/>
                <w:sz w:val="18"/>
                <w:szCs w:val="18"/>
                <w:color w:val="auto"/>
              </w:rPr>
              <w:t>Total Sterile Injectables (2)</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1,238,847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1,063,131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21"/>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Products included within Other Sterile Injectables include ephedrine sulfate injection and others.</w:t>
      </w:r>
    </w:p>
    <w:p>
      <w:pPr>
        <w:spacing w:after="0" w:line="1" w:lineRule="exact"/>
        <w:rPr>
          <w:rFonts w:ascii="Arial" w:cs="Arial" w:eastAsia="Arial" w:hAnsi="Arial"/>
          <w:sz w:val="14"/>
          <w:szCs w:val="14"/>
          <w:color w:val="auto"/>
        </w:rPr>
      </w:pPr>
    </w:p>
    <w:p>
      <w:pPr>
        <w:ind w:left="580" w:right="120" w:hanging="329"/>
        <w:spacing w:after="0" w:line="293" w:lineRule="auto"/>
        <w:tabs>
          <w:tab w:leader="none" w:pos="572"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Individual products presented above represent the top two performing products within the Sterile Injectables segment for the year ended December 31, 2020 and/or any product having revenues in excess of $100 million during any of the years ended December 31, 2020, 2019 or 2018 or $25 million during any quarterly period in 2020 or 2019.</w:t>
      </w:r>
    </w:p>
    <w:p>
      <w:pPr>
        <w:spacing w:after="0" w:line="59" w:lineRule="exact"/>
        <w:rPr>
          <w:sz w:val="20"/>
          <w:szCs w:val="20"/>
          <w:color w:val="auto"/>
        </w:rPr>
      </w:pPr>
    </w:p>
    <w:p>
      <w:pPr>
        <w:ind w:right="220" w:firstLine="486"/>
        <w:spacing w:after="0" w:line="249" w:lineRule="auto"/>
        <w:rPr>
          <w:sz w:val="20"/>
          <w:szCs w:val="20"/>
          <w:color w:val="auto"/>
        </w:rPr>
      </w:pPr>
      <w:r>
        <w:rPr>
          <w:rFonts w:ascii="Arial" w:cs="Arial" w:eastAsia="Arial" w:hAnsi="Arial"/>
          <w:sz w:val="17"/>
          <w:szCs w:val="17"/>
          <w:color w:val="auto"/>
        </w:rPr>
        <w:t>The increase in VASOSTRICT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revenues in 2020 was primarily attributable to a combination of increased volume resulting from the impacts of COVID-19 described above, as well as price. Although there has been a resurgence of COVID-19 that is expected to continue into 2021, we expect sales volumes to decrease toward pre-COVID-19 levels later in 2021 to the extent hospitalizations related to COVID-19 decline.</w:t>
      </w:r>
    </w:p>
    <w:p>
      <w:pPr>
        <w:spacing w:after="0" w:line="88" w:lineRule="exact"/>
        <w:rPr>
          <w:sz w:val="20"/>
          <w:szCs w:val="20"/>
          <w:color w:val="auto"/>
        </w:rPr>
      </w:pPr>
    </w:p>
    <w:p>
      <w:pPr>
        <w:ind w:right="60" w:firstLine="486"/>
        <w:spacing w:after="0" w:line="212" w:lineRule="auto"/>
        <w:rPr>
          <w:sz w:val="20"/>
          <w:szCs w:val="20"/>
          <w:color w:val="auto"/>
        </w:rPr>
      </w:pPr>
      <w:r>
        <w:rPr>
          <w:rFonts w:ascii="Arial" w:cs="Arial" w:eastAsia="Arial" w:hAnsi="Arial"/>
          <w:sz w:val="18"/>
          <w:szCs w:val="18"/>
          <w:color w:val="auto"/>
        </w:rPr>
        <w:t>As of December 31, 2020, we have 14 patents covering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listed in the Orange Book, including with respect to presentations that have not yet been commercialized, and additional patents pending with the PTO. The FDA requires any applicant seeking FDA approval for vasopressin prior to patent expiry and relying on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 the reference-listed drug to notify us of its filing before the FDA will issue an approval. As further discussed in Note 16. Commitments and Contingencies in the Consolidated Financial Statements included in Part IV, Item 15 of this report under the heading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Related Matters,” we have received notice letters from certain other pharmaceutical companies advising of the filing by such companies of ANDAs for generic versions of VASOSTRICT</w:t>
      </w:r>
      <w:r>
        <w:rPr>
          <w:rFonts w:ascii="Arial" w:cs="Arial" w:eastAsia="Arial" w:hAnsi="Arial"/>
          <w:sz w:val="23"/>
          <w:szCs w:val="23"/>
          <w:color w:val="auto"/>
          <w:vertAlign w:val="superscript"/>
        </w:rPr>
        <w:t>®</w:t>
      </w:r>
      <w:r>
        <w:rPr>
          <w:rFonts w:ascii="Arial" w:cs="Arial" w:eastAsia="Arial" w:hAnsi="Arial"/>
          <w:sz w:val="18"/>
          <w:szCs w:val="18"/>
          <w:color w:val="auto"/>
        </w:rPr>
        <w:t>. We have taken and plan to continue to take actions in our best interest to protect our rights with respect to VASOSTRICT</w:t>
      </w:r>
      <w:r>
        <w:rPr>
          <w:rFonts w:ascii="Arial" w:cs="Arial" w:eastAsia="Arial" w:hAnsi="Arial"/>
          <w:sz w:val="23"/>
          <w:szCs w:val="23"/>
          <w:color w:val="auto"/>
          <w:vertAlign w:val="superscript"/>
        </w:rPr>
        <w:t>®</w:t>
      </w:r>
      <w:r>
        <w:rPr>
          <w:rFonts w:ascii="Arial" w:cs="Arial" w:eastAsia="Arial" w:hAnsi="Arial"/>
          <w:sz w:val="18"/>
          <w:szCs w:val="18"/>
          <w:color w:val="auto"/>
        </w:rPr>
        <w:t>. The introduction of any competing versions of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could result in significant reductions to our market share, revenues and cash flows, both in the short term and long term, and could have a material adverse effect on our business, financial condition, results of operations and cash flows.</w:t>
      </w:r>
    </w:p>
    <w:p>
      <w:pPr>
        <w:spacing w:after="0" w:line="102" w:lineRule="exact"/>
        <w:rPr>
          <w:sz w:val="20"/>
          <w:szCs w:val="20"/>
          <w:color w:val="auto"/>
        </w:rPr>
      </w:pPr>
    </w:p>
    <w:p>
      <w:pPr>
        <w:jc w:val="both"/>
        <w:ind w:right="400" w:firstLine="486"/>
        <w:spacing w:after="0" w:line="215" w:lineRule="auto"/>
        <w:rPr>
          <w:sz w:val="20"/>
          <w:szCs w:val="20"/>
          <w:color w:val="auto"/>
        </w:rPr>
      </w:pPr>
      <w:r>
        <w:rPr>
          <w:rFonts w:ascii="Arial" w:cs="Arial" w:eastAsia="Arial" w:hAnsi="Arial"/>
          <w:sz w:val="18"/>
          <w:szCs w:val="18"/>
          <w:color w:val="auto"/>
        </w:rPr>
        <w:t>The decrease in ADRENALIN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in 2020 was primarily driven by the impact of competitive entrants. The introduction of one or more additional competing versions of ADRENALIN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could result in further reductions to our market share and could have a material adverse effect on our business, financial condition, results of operations and cash flows.</w:t>
      </w:r>
    </w:p>
    <w:p>
      <w:pPr>
        <w:spacing w:after="0" w:line="97" w:lineRule="exact"/>
        <w:rPr>
          <w:sz w:val="20"/>
          <w:szCs w:val="20"/>
          <w:color w:val="auto"/>
        </w:rPr>
      </w:pPr>
    </w:p>
    <w:p>
      <w:pPr>
        <w:ind w:right="360" w:firstLine="486"/>
        <w:spacing w:after="0" w:line="227" w:lineRule="auto"/>
        <w:rPr>
          <w:sz w:val="20"/>
          <w:szCs w:val="20"/>
          <w:color w:val="auto"/>
        </w:rPr>
      </w:pPr>
      <w:r>
        <w:rPr>
          <w:rFonts w:ascii="Arial" w:cs="Arial" w:eastAsia="Arial" w:hAnsi="Arial"/>
          <w:sz w:val="18"/>
          <w:szCs w:val="18"/>
          <w:color w:val="auto"/>
        </w:rPr>
        <w:t>The decrease in revenues of ertapenem for injection (the authorized generic of Merck’s Invanz</w:t>
      </w:r>
      <w:r>
        <w:rPr>
          <w:rFonts w:ascii="Arial" w:cs="Arial" w:eastAsia="Arial" w:hAnsi="Arial"/>
          <w:sz w:val="23"/>
          <w:szCs w:val="23"/>
          <w:color w:val="auto"/>
          <w:vertAlign w:val="superscript"/>
        </w:rPr>
        <w:t>®</w:t>
      </w:r>
      <w:r>
        <w:rPr>
          <w:rFonts w:ascii="Arial" w:cs="Arial" w:eastAsia="Arial" w:hAnsi="Arial"/>
          <w:sz w:val="18"/>
          <w:szCs w:val="18"/>
          <w:color w:val="auto"/>
        </w:rPr>
        <w:t>) in 2020 was primarily attributable to decreased volume and price as a result of increased competition.</w:t>
      </w:r>
    </w:p>
    <w:p>
      <w:pPr>
        <w:spacing w:after="0" w:line="94" w:lineRule="exact"/>
        <w:rPr>
          <w:sz w:val="20"/>
          <w:szCs w:val="20"/>
          <w:color w:val="auto"/>
        </w:rPr>
      </w:pPr>
    </w:p>
    <w:p>
      <w:pPr>
        <w:ind w:right="320" w:firstLine="486"/>
        <w:spacing w:after="0" w:line="281" w:lineRule="auto"/>
        <w:rPr>
          <w:sz w:val="20"/>
          <w:szCs w:val="20"/>
          <w:color w:val="auto"/>
        </w:rPr>
      </w:pPr>
      <w:r>
        <w:rPr>
          <w:rFonts w:ascii="Arial" w:cs="Arial" w:eastAsia="Arial" w:hAnsi="Arial"/>
          <w:sz w:val="16"/>
          <w:szCs w:val="16"/>
          <w:color w:val="auto"/>
        </w:rPr>
        <w:t>The decrease in APLISOL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revenues in 2020 was driven in part by decreased volumes resulting from competition. Additionally, during the third quarter of 2019, APLISOL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revenues benefited from wholesalers restocking after a temporary supply shortage. This benefit did not reoccur in 2020.</w:t>
      </w:r>
    </w:p>
    <w:p>
      <w:pPr>
        <w:spacing w:after="0" w:line="1"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The increase in Other Sterile Injectables revenues in 2020 was primarily driven by increased volumes, partially offset by decreased prices across multiple products within the product portfolio.</w:t>
      </w:r>
    </w:p>
    <w:p>
      <w:pPr>
        <w:spacing w:after="0" w:line="62" w:lineRule="exact"/>
        <w:rPr>
          <w:sz w:val="20"/>
          <w:szCs w:val="20"/>
          <w:color w:val="auto"/>
        </w:rPr>
      </w:pPr>
    </w:p>
    <w:p>
      <w:pPr>
        <w:ind w:right="360" w:firstLine="486"/>
        <w:spacing w:after="0" w:line="234" w:lineRule="auto"/>
        <w:rPr>
          <w:sz w:val="20"/>
          <w:szCs w:val="20"/>
          <w:color w:val="auto"/>
        </w:rPr>
      </w:pPr>
      <w:r>
        <w:rPr>
          <w:rFonts w:ascii="Arial" w:cs="Arial" w:eastAsia="Arial" w:hAnsi="Arial"/>
          <w:sz w:val="18"/>
          <w:szCs w:val="18"/>
          <w:i w:val="1"/>
          <w:iCs w:val="1"/>
          <w:color w:val="auto"/>
        </w:rPr>
        <w:t xml:space="preserve">Generic Pharmaceuticals. </w:t>
      </w:r>
      <w:r>
        <w:rPr>
          <w:rFonts w:ascii="Arial" w:cs="Arial" w:eastAsia="Arial" w:hAnsi="Arial"/>
          <w:sz w:val="18"/>
          <w:szCs w:val="18"/>
          <w:color w:val="auto"/>
        </w:rPr>
        <w:t>The decrease in Generic Pharmaceuticals revenues in 2020 was primarily attributable to decreased sales of colchicine</w:t>
      </w:r>
      <w:r>
        <w:rPr>
          <w:rFonts w:ascii="Arial" w:cs="Arial" w:eastAsia="Arial" w:hAnsi="Arial"/>
          <w:sz w:val="18"/>
          <w:szCs w:val="18"/>
          <w:i w:val="1"/>
          <w:iCs w:val="1"/>
          <w:color w:val="auto"/>
        </w:rPr>
        <w:t xml:space="preserve"> </w:t>
      </w:r>
      <w:r>
        <w:rPr>
          <w:rFonts w:ascii="Arial" w:cs="Arial" w:eastAsia="Arial" w:hAnsi="Arial"/>
          <w:sz w:val="18"/>
          <w:szCs w:val="18"/>
          <w:color w:val="auto"/>
        </w:rPr>
        <w:t>tablets (the authorized generic of Takeda’s Colcrys</w:t>
      </w:r>
      <w:r>
        <w:rPr>
          <w:rFonts w:ascii="Arial" w:cs="Arial" w:eastAsia="Arial" w:hAnsi="Arial"/>
          <w:sz w:val="23"/>
          <w:szCs w:val="23"/>
          <w:color w:val="auto"/>
          <w:vertAlign w:val="superscript"/>
        </w:rPr>
        <w:t>®</w:t>
      </w:r>
      <w:r>
        <w:rPr>
          <w:rFonts w:ascii="Arial" w:cs="Arial" w:eastAsia="Arial" w:hAnsi="Arial"/>
          <w:sz w:val="18"/>
          <w:szCs w:val="18"/>
          <w:color w:val="auto"/>
        </w:rPr>
        <w:t>) resulting from competition, as well as competitive pressures on certain other generic products, partially offset by increased revenues from certain recent product launches.</w:t>
      </w:r>
    </w:p>
    <w:p>
      <w:pPr>
        <w:spacing w:after="0" w:line="95"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i w:val="1"/>
          <w:iCs w:val="1"/>
          <w:color w:val="auto"/>
        </w:rPr>
        <w:t>International Pharmaceuticals</w:t>
      </w:r>
      <w:r>
        <w:rPr>
          <w:rFonts w:ascii="Arial" w:cs="Arial" w:eastAsia="Arial" w:hAnsi="Arial"/>
          <w:sz w:val="18"/>
          <w:szCs w:val="18"/>
          <w:color w:val="auto"/>
        </w:rPr>
        <w:t>. The decrease in International Pharmaceuticals revenues in 2020 was primarily attributable to competitive pressures</w:t>
      </w:r>
      <w:r>
        <w:rPr>
          <w:rFonts w:ascii="Arial" w:cs="Arial" w:eastAsia="Arial" w:hAnsi="Arial"/>
          <w:sz w:val="18"/>
          <w:szCs w:val="18"/>
          <w:i w:val="1"/>
          <w:iCs w:val="1"/>
          <w:color w:val="auto"/>
        </w:rPr>
        <w:t xml:space="preserve"> </w:t>
      </w:r>
      <w:r>
        <w:rPr>
          <w:rFonts w:ascii="Arial" w:cs="Arial" w:eastAsia="Arial" w:hAnsi="Arial"/>
          <w:sz w:val="18"/>
          <w:szCs w:val="18"/>
          <w:color w:val="auto"/>
        </w:rPr>
        <w:t>in certain international markets and the impact of certain product discontinuation activities.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80" w:firstLine="486"/>
        <w:spacing w:after="0" w:line="342" w:lineRule="auto"/>
        <w:rPr>
          <w:sz w:val="20"/>
          <w:szCs w:val="20"/>
          <w:color w:val="auto"/>
        </w:rPr>
      </w:pPr>
      <w:r>
        <w:rPr>
          <w:rFonts w:ascii="Arial" w:cs="Arial" w:eastAsia="Arial" w:hAnsi="Arial"/>
          <w:sz w:val="16"/>
          <w:szCs w:val="16"/>
          <w:b w:val="1"/>
          <w:bCs w:val="1"/>
          <w:i w:val="1"/>
          <w:iCs w:val="1"/>
          <w:color w:val="auto"/>
        </w:rPr>
        <w:t xml:space="preserve">Segment adjusted income from continuing operations before income tax. </w:t>
      </w:r>
      <w:r>
        <w:rPr>
          <w:rFonts w:ascii="Arial" w:cs="Arial" w:eastAsia="Arial" w:hAnsi="Arial"/>
          <w:sz w:val="16"/>
          <w:szCs w:val="16"/>
          <w:color w:val="auto"/>
        </w:rPr>
        <w:t>The following table displays our Segment adjusted income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continuing operations before income tax by reportable segment for the years ended December 31, 2020, 2019 and 2018 (dollars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w w:val="97"/>
              </w:rPr>
              <w:t>% Change</w:t>
            </w:r>
          </w:p>
        </w:tc>
        <w:tc>
          <w:tcPr>
            <w:tcW w:w="1160" w:type="dxa"/>
            <w:vAlign w:val="bottom"/>
            <w:tcBorders>
              <w:bottom w:val="single" w:sz="8" w:color="auto"/>
            </w:tcBorders>
          </w:tcPr>
          <w:p>
            <w:pPr>
              <w:spacing w:after="0"/>
              <w:rPr>
                <w:sz w:val="16"/>
                <w:szCs w:val="16"/>
                <w:color w:val="auto"/>
              </w:rPr>
            </w:pPr>
          </w:p>
        </w:tc>
      </w:tr>
      <w:tr>
        <w:trPr>
          <w:trHeight w:val="188"/>
        </w:trPr>
        <w:tc>
          <w:tcPr>
            <w:tcW w:w="3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860" w:type="dxa"/>
            <w:vAlign w:val="bottom"/>
            <w:gridSpan w:val="3"/>
          </w:tcPr>
          <w:p>
            <w:pPr>
              <w:ind w:left="320"/>
              <w:spacing w:after="0"/>
              <w:rPr>
                <w:sz w:val="20"/>
                <w:szCs w:val="20"/>
                <w:color w:val="auto"/>
              </w:rPr>
            </w:pPr>
            <w:r>
              <w:rPr>
                <w:rFonts w:ascii="Arial" w:cs="Arial" w:eastAsia="Arial" w:hAnsi="Arial"/>
                <w:sz w:val="14"/>
                <w:szCs w:val="14"/>
                <w:b w:val="1"/>
                <w:bCs w:val="1"/>
                <w:color w:val="auto"/>
              </w:rPr>
              <w:t>2020 vs. 2019</w:t>
            </w:r>
          </w:p>
        </w:tc>
        <w:tc>
          <w:tcPr>
            <w:tcW w:w="1160" w:type="dxa"/>
            <w:vAlign w:val="bottom"/>
          </w:tcPr>
          <w:p>
            <w:pPr>
              <w:jc w:val="right"/>
              <w:ind w:right="234"/>
              <w:spacing w:after="0"/>
              <w:rPr>
                <w:sz w:val="20"/>
                <w:szCs w:val="20"/>
                <w:color w:val="auto"/>
              </w:rPr>
            </w:pPr>
            <w:r>
              <w:rPr>
                <w:rFonts w:ascii="Arial" w:cs="Arial" w:eastAsia="Arial" w:hAnsi="Arial"/>
                <w:sz w:val="14"/>
                <w:szCs w:val="14"/>
                <w:b w:val="1"/>
                <w:bCs w:val="1"/>
                <w:color w:val="auto"/>
                <w:w w:val="91"/>
              </w:rPr>
              <w:t>2019 vs. 2018</w:t>
            </w:r>
          </w:p>
        </w:tc>
      </w:tr>
      <w:tr>
        <w:trPr>
          <w:trHeight w:val="224"/>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Branded Pharmaceuticals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377,526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426,677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412,543</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Sterile Injectables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950,145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780,799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695,363</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 Pharmaceuticals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317,892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International Pharmaceuticals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41,022</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44,758</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59,094</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93" w:lineRule="exact"/>
        <w:rPr>
          <w:sz w:val="20"/>
          <w:szCs w:val="20"/>
          <w:color w:val="auto"/>
        </w:rPr>
      </w:pPr>
    </w:p>
    <w:p>
      <w:pPr>
        <w:ind w:right="420" w:firstLine="486"/>
        <w:spacing w:after="0" w:line="281" w:lineRule="auto"/>
        <w:rPr>
          <w:sz w:val="20"/>
          <w:szCs w:val="20"/>
          <w:color w:val="auto"/>
        </w:rPr>
      </w:pPr>
      <w:r>
        <w:rPr>
          <w:rFonts w:ascii="Arial" w:cs="Arial" w:eastAsia="Arial" w:hAnsi="Arial"/>
          <w:sz w:val="16"/>
          <w:szCs w:val="16"/>
          <w:i w:val="1"/>
          <w:iCs w:val="1"/>
          <w:color w:val="auto"/>
        </w:rPr>
        <w:t xml:space="preserve">Branded Pharmaceuticals. </w:t>
      </w:r>
      <w:r>
        <w:rPr>
          <w:rFonts w:ascii="Arial" w:cs="Arial" w:eastAsia="Arial" w:hAnsi="Arial"/>
          <w:sz w:val="16"/>
          <w:szCs w:val="16"/>
          <w:color w:val="auto"/>
        </w:rPr>
        <w:t>The decrease in Segment adjusted income from continuing operations before income tax in 2020 was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attributable to the gross margin effect of the decreased revenues further described above and increased costs associated with preparing for our planned commercial launch of QWO</w:t>
      </w:r>
      <w:r>
        <w:rPr>
          <w:rFonts w:ascii="Arial" w:cs="Arial" w:eastAsia="Arial" w:hAnsi="Arial"/>
          <w:sz w:val="20"/>
          <w:szCs w:val="20"/>
          <w:color w:val="auto"/>
          <w:vertAlign w:val="superscript"/>
        </w:rPr>
        <w:t>®</w:t>
      </w:r>
      <w:r>
        <w:rPr>
          <w:rFonts w:ascii="Arial" w:cs="Arial" w:eastAsia="Arial" w:hAnsi="Arial"/>
          <w:sz w:val="16"/>
          <w:szCs w:val="16"/>
          <w:color w:val="auto"/>
        </w:rPr>
        <w:t>, partially offset by reduced R&amp;D expense resulting from lower costs associated with certain post-marketing R&amp;D commitments and our development programs for QWO</w:t>
      </w:r>
      <w:r>
        <w:rPr>
          <w:rFonts w:ascii="Arial" w:cs="Arial" w:eastAsia="Arial" w:hAnsi="Arial"/>
          <w:sz w:val="20"/>
          <w:szCs w:val="20"/>
          <w:color w:val="auto"/>
          <w:vertAlign w:val="superscript"/>
        </w:rPr>
        <w:t>®</w:t>
      </w:r>
      <w:r>
        <w:rPr>
          <w:rFonts w:ascii="Arial" w:cs="Arial" w:eastAsia="Arial" w:hAnsi="Arial"/>
          <w:sz w:val="16"/>
          <w:szCs w:val="16"/>
          <w:color w:val="auto"/>
        </w:rPr>
        <w:t>, as well as reduced legal costs associated with certain matters.</w:t>
      </w:r>
    </w:p>
    <w:p>
      <w:pPr>
        <w:spacing w:after="0" w:line="3" w:lineRule="exact"/>
        <w:rPr>
          <w:sz w:val="20"/>
          <w:szCs w:val="20"/>
          <w:color w:val="auto"/>
        </w:rPr>
      </w:pPr>
    </w:p>
    <w:p>
      <w:pPr>
        <w:jc w:val="both"/>
        <w:ind w:right="40" w:firstLine="486"/>
        <w:spacing w:after="0" w:line="261" w:lineRule="auto"/>
        <w:rPr>
          <w:sz w:val="20"/>
          <w:szCs w:val="20"/>
          <w:color w:val="auto"/>
        </w:rPr>
      </w:pPr>
      <w:r>
        <w:rPr>
          <w:rFonts w:ascii="Arial" w:cs="Arial" w:eastAsia="Arial" w:hAnsi="Arial"/>
          <w:sz w:val="18"/>
          <w:szCs w:val="18"/>
          <w:color w:val="auto"/>
        </w:rPr>
        <w:t>We expect this segment’s 2021 Segment adjusted income from continuing operations before income tax to reflect increased gross margins as a result of both the increase in revenues described above and the reduction to royalty payments relating to the BioSpecifics acquisition as described above, partially offset by increased operating expenses, including increased costs associated with preparing for and executing on our planned commercial launch of QWO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significantly increased investment and promotional efforts behind XIAFLEX</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9" w:lineRule="exact"/>
        <w:rPr>
          <w:sz w:val="20"/>
          <w:szCs w:val="20"/>
          <w:color w:val="auto"/>
        </w:rPr>
      </w:pPr>
    </w:p>
    <w:p>
      <w:pPr>
        <w:ind w:right="100" w:firstLine="486"/>
        <w:spacing w:after="0" w:line="243" w:lineRule="auto"/>
        <w:rPr>
          <w:sz w:val="20"/>
          <w:szCs w:val="20"/>
          <w:color w:val="auto"/>
        </w:rPr>
      </w:pPr>
      <w:r>
        <w:rPr>
          <w:rFonts w:ascii="Arial" w:cs="Arial" w:eastAsia="Arial" w:hAnsi="Arial"/>
          <w:sz w:val="18"/>
          <w:szCs w:val="18"/>
          <w:color w:val="auto"/>
        </w:rPr>
        <w:t>The increase in Segment adjusted income from continuing operations before income tax in 2019 was primarily attributable to increased gross margins resulting from changes in product mix, reduced legal costs associated with certain matters and lower R&amp;D expense resulting from reduced costs associated with our clinical trials of QWO</w:t>
      </w:r>
      <w:r>
        <w:rPr>
          <w:rFonts w:ascii="Arial" w:cs="Arial" w:eastAsia="Arial" w:hAnsi="Arial"/>
          <w:sz w:val="23"/>
          <w:szCs w:val="23"/>
          <w:color w:val="auto"/>
          <w:vertAlign w:val="superscript"/>
        </w:rPr>
        <w:t>®</w:t>
      </w:r>
      <w:r>
        <w:rPr>
          <w:rFonts w:ascii="Arial" w:cs="Arial" w:eastAsia="Arial" w:hAnsi="Arial"/>
          <w:sz w:val="18"/>
          <w:szCs w:val="18"/>
          <w:color w:val="auto"/>
        </w:rPr>
        <w:t>, partially offset by increased costs associated with certain post-marketing R&amp;D commitments. These increases were partially offset by increased costs related to our investment and promotional efforts behind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increased costs associated with preparing for our planned commercial launch of QWO</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24"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i w:val="1"/>
          <w:iCs w:val="1"/>
          <w:color w:val="auto"/>
        </w:rPr>
        <w:t xml:space="preserve">Sterile Injectables. </w:t>
      </w:r>
      <w:r>
        <w:rPr>
          <w:rFonts w:ascii="Arial" w:cs="Arial" w:eastAsia="Arial" w:hAnsi="Arial"/>
          <w:sz w:val="18"/>
          <w:szCs w:val="18"/>
          <w:color w:val="auto"/>
        </w:rPr>
        <w:t>The increase in Segment adjusted income from continuing operations before income tax in 2020 was primarily attributable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gross margin effect of the increased revenues further described above.</w:t>
      </w:r>
    </w:p>
    <w:p>
      <w:pPr>
        <w:spacing w:after="0" w:line="62"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The increase in Segment adjusted income from continuing operations before income tax in 2019 was primarily driven by increased revenues and gross margins resulting from strong performance across several products in this segment.</w:t>
      </w:r>
    </w:p>
    <w:p>
      <w:pPr>
        <w:spacing w:after="0" w:line="62" w:lineRule="exact"/>
        <w:rPr>
          <w:sz w:val="20"/>
          <w:szCs w:val="20"/>
          <w:color w:val="auto"/>
        </w:rPr>
      </w:pPr>
    </w:p>
    <w:p>
      <w:pPr>
        <w:ind w:right="820" w:firstLine="486"/>
        <w:spacing w:after="0" w:line="277" w:lineRule="auto"/>
        <w:rPr>
          <w:sz w:val="20"/>
          <w:szCs w:val="20"/>
          <w:color w:val="auto"/>
        </w:rPr>
      </w:pPr>
      <w:r>
        <w:rPr>
          <w:rFonts w:ascii="Arial" w:cs="Arial" w:eastAsia="Arial" w:hAnsi="Arial"/>
          <w:sz w:val="18"/>
          <w:szCs w:val="18"/>
          <w:i w:val="1"/>
          <w:iCs w:val="1"/>
          <w:color w:val="auto"/>
        </w:rPr>
        <w:t xml:space="preserve">Generic Pharmaceuticals. </w:t>
      </w:r>
      <w:r>
        <w:rPr>
          <w:rFonts w:ascii="Arial" w:cs="Arial" w:eastAsia="Arial" w:hAnsi="Arial"/>
          <w:sz w:val="18"/>
          <w:szCs w:val="18"/>
          <w:color w:val="auto"/>
        </w:rPr>
        <w:t>The decrease in Segment adjusted income from continuing operations before income tax in 2020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the gross margin effects of the decreased revenues further described above.</w:t>
      </w:r>
    </w:p>
    <w:p>
      <w:pPr>
        <w:spacing w:after="0" w:line="62"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The decrease in Segment adjusted income from continuing operations before income tax in 2019 was primarily attributable to decreased revenues and the resulting reduction to gross margin. Additionally, gross margin was negatively impacted by changes in product mix resulting from increased sales of certain lower margin authorized generic products. These decreases were partially offset by reduced expenses including the impact of certain restructuring and other cost saving initiatives and a lower branded prescription drug fee. Our material restructuring initiatives are described in Note 4. Restructuring in the Consolidated Financial Statements included in Part IV, Item 15 of this report.</w:t>
      </w:r>
    </w:p>
    <w:p>
      <w:pPr>
        <w:spacing w:after="0" w:line="68"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i w:val="1"/>
          <w:iCs w:val="1"/>
          <w:color w:val="auto"/>
        </w:rPr>
        <w:t xml:space="preserve">International Pharmaceuticals. </w:t>
      </w:r>
      <w:r>
        <w:rPr>
          <w:rFonts w:ascii="Arial" w:cs="Arial" w:eastAsia="Arial" w:hAnsi="Arial"/>
          <w:sz w:val="18"/>
          <w:szCs w:val="18"/>
          <w:color w:val="auto"/>
        </w:rPr>
        <w:t>The decrease in Segment adjusted income from continuing operations before income tax in 2020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the gross margin effects of the decreased revenues further described above.</w:t>
      </w:r>
    </w:p>
    <w:p>
      <w:pPr>
        <w:spacing w:after="0" w:line="62"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decrease in Segment adjusted income from continuing operations before income tax in 2019 was primarily attributable to decreased revenues and the resulting reduction to gross margin.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Our principal source of liquidity is cash generated from operations. Our principal liquidity requirements are primarily for working capital for operations, licenses, milestone payments, capital expenditures, mergers and acquisitions (such as the recent acquisition of BioSpecifics), contingent liabilities, debt service payments, income taxes and litigation-related matters, including in connection with vaginal mesh matters and other matters. The Company’s working capital was $1,159.4 million at December 31, 2020 compared to working capital of $1,125.9 million at December 31, 2019. The amounts at December 31, 2020 and December 31, 2019 include restricted cash and cash equivalents of $127.0 million and $242.8 million, respectively, held in Qualified Settlement Funds (QSFs) for mesh-related matters. Although these amounts in QSFs are included in working capital, they are required to be used for mesh product liability settlement agreements.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Cash and cash equivalents, which primarily consisted of bank deposits and money market accounts, totaled $1,213.4 million at December 31, 2020 compared to $1,454.5 million at December 31, 2019. While we currently expect our operating cash flows, together with our cash, cash equivalents, restricted cash and restricted cash equivalents, to be sufficient to cover our principal liquidity requirements over the next year, the extent to which COVID-19 could impact our business, financial condition, results of operations and cash flows in the short- and medium-term cannot be predicted with certainty, but such impact could be material. To the extent COVID-19 has resulted in any increase to our Cash and cash equivalents, including as a result of any increase in revenues as described above, such increase could be temporary. Additionally, on a longer term basis, we may not be able to accurately predict the effect of certain developments on our sales and gross margins, such as the degree of market acceptance, patent protection and exclusivity of our products, pricing pressures (including those due to the impact of competition), the effectiveness of our sales and marketing efforts and the outcome of our current efforts to develop, receive approval for and successfully launch our product candidates. We may also face unexpected costs in connection with our business operations, our ongoing and future legal proceedings, governmental investigations and other contingent liabilities, including potential costs related to settlements and judgments, as well as legal defense costs, and the implementation of our COVID-19 related policies and procedures. Furthermore, we may not be successful in implementing, or may face unexpected changes or expenses in connection with, our strategic direction, including the potential for opportunistic corporate development transactions. Any of the above could have a material adverse effect on our business, financial condition, results of operations and cash flows and require us to seek additional sources of liquidity and capital resources as described below. For information regarding the impact of COVID-19 on the Company, including on our liquidity and capital resources, please refer to “Risk Factors” in Part I, Item 1A of this report.</w:t>
      </w:r>
    </w:p>
    <w:p>
      <w:pPr>
        <w:spacing w:after="0" w:line="59"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To the extent our operating cash flows, together with our cash, cash equivalents, restricted cash and restricted cash equivalents, become insufficient to cover our liquidity and capital requirements, including funds for any future acquisitions and other corporate transactions, we may be required to seek third-party financing, including additional draws on our Revolving Credit Facility or additional credit facilities, and/or engage in one or more capital market transactions. There can be no assurance that we would be able to obtain any required financing on a timely basis or at all. Further, lenders and other financial institutions could require us to agree to more restrictive covenants, grant liens on our assets as collateral (resulting in an increase in our total outstanding secured indebtedness) and/or accept other terms that are not commercially beneficial to us in order to obtain financing. Such terms could further restrict our operations and exacerbate any impact on our results of operations and liquidity that may result from COVID-19.</w:t>
      </w:r>
    </w:p>
    <w:p>
      <w:pPr>
        <w:spacing w:after="0" w:line="58"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We may also, from time to time, seek to enter into certain transactions to reduce our leverage and/or interest expense and/or to extend the maturities of our outstanding indebtedness or obtain greater covenant flexibility. Such transactions could include, for example, transactions to exchange existing indebtedness for our ordinary shares or other debt (including exchanges of unsecured debt for secured debt), to issue equity (including convertible securities) or to repurchase, redeem, exchange or refinance our existing indebtedness (including the Credit Agreement) as well as our outstanding senior notes. Any of these transactions could impact our liquidity or results of operations, including requiring us to take charges. Further, the terms of any such transactions, including the amount of any exchange consideration and terms of any refinanced debt, could also be less favorable than we have been able to obtain in the past.</w:t>
      </w:r>
    </w:p>
    <w:p>
      <w:pPr>
        <w:spacing w:after="0" w:line="87" w:lineRule="exact"/>
        <w:rPr>
          <w:sz w:val="20"/>
          <w:szCs w:val="20"/>
          <w:color w:val="auto"/>
        </w:rPr>
      </w:pPr>
    </w:p>
    <w:p>
      <w:pPr>
        <w:ind w:right="120" w:firstLine="486"/>
        <w:spacing w:after="0" w:line="272" w:lineRule="auto"/>
        <w:rPr>
          <w:sz w:val="20"/>
          <w:szCs w:val="20"/>
          <w:color w:val="auto"/>
        </w:rPr>
      </w:pPr>
      <w:r>
        <w:rPr>
          <w:rFonts w:ascii="Arial" w:cs="Arial" w:eastAsia="Arial" w:hAnsi="Arial"/>
          <w:sz w:val="17"/>
          <w:szCs w:val="17"/>
          <w:color w:val="auto"/>
        </w:rPr>
        <w:t>We may also require additional financing to fund our future operational needs or for future corporate transactions, including acquisitions. We have historically had broad access to financial markets that provide liquidity; however, we cannot be certain that funding will be available to us in the future on terms acceptable to us, or at all. Any issuances of equity securities or convertible securities, in connection with an acquisition or otherwise, could have a dilutive effect on the ownership interest of our current shareholders and may adversely impact net income per share in future periods. An acquisition may be accretive or dilutive and, by its nature, involves numerous risks and uncertainties. As a result of acquisition efforts, if any, we are likely to experience significant charges to earnings for merger and related expenses (whether or not the acquisitions are consummated) that may include transaction costs, closure costs or costs of restructuring activities.</w:t>
      </w:r>
    </w:p>
    <w:p>
      <w:pPr>
        <w:spacing w:after="0" w:line="69" w:lineRule="exact"/>
        <w:rPr>
          <w:sz w:val="20"/>
          <w:szCs w:val="20"/>
          <w:color w:val="auto"/>
        </w:rPr>
      </w:pPr>
    </w:p>
    <w:p>
      <w:pPr>
        <w:ind w:right="20" w:firstLine="486"/>
        <w:spacing w:after="0" w:line="311" w:lineRule="auto"/>
        <w:rPr>
          <w:sz w:val="20"/>
          <w:szCs w:val="20"/>
          <w:color w:val="auto"/>
        </w:rPr>
      </w:pPr>
      <w:r>
        <w:rPr>
          <w:rFonts w:ascii="Arial" w:cs="Arial" w:eastAsia="Arial" w:hAnsi="Arial"/>
          <w:sz w:val="16"/>
          <w:szCs w:val="16"/>
          <w:color w:val="auto"/>
        </w:rPr>
        <w:t>We consider the undistributed earnings from the majority of our subsidiaries as of December 31, 2020 to be indefinitely reinvested outside of Ireland and, accordingly, neither income tax nor withholding taxes have been provided thereon. As of December 31, 2020, indefinitely reinvested earnings were approximately $1,424.3 million. We do not anticipate incurring tax in deploying funds to satisfy liquidity needs arising in the ordinary course of business.</w:t>
      </w:r>
    </w:p>
    <w:p>
      <w:pPr>
        <w:spacing w:after="0" w:line="4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b w:val="1"/>
          <w:bCs w:val="1"/>
          <w:i w:val="1"/>
          <w:iCs w:val="1"/>
          <w:color w:val="auto"/>
        </w:rPr>
        <w:t xml:space="preserve">Indebtedness. </w:t>
      </w:r>
      <w:r>
        <w:rPr>
          <w:rFonts w:ascii="Arial" w:cs="Arial" w:eastAsia="Arial" w:hAnsi="Arial"/>
          <w:sz w:val="18"/>
          <w:szCs w:val="18"/>
          <w:color w:val="auto"/>
        </w:rPr>
        <w:t>The Company and certain of its subsidiaries are party to the Credit Agreement governing the Credit Facilities (as defined below)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indentures governing our various senior secured and senior unsecured notes. As of December 31, 2020, approximately $3.3 billion was outstanding under the Term Loan Facility, approximately $0.3 billion was outstanding under the Revolving Credit Facility and approximately $4.8 billion was outstanding under the senior secured and senior unsecured notes.</w:t>
      </w:r>
    </w:p>
    <w:p>
      <w:pPr>
        <w:spacing w:after="0" w:line="79"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After giving effect to previous borrowings and issued and outstanding letters of credit, approximately $0.7 billion of remaining credit was available under the Revolving Credit Facility at December 31, 2020. The Company’s outstanding debt agreements contain a number of restrictive covenants, including certain limitations on the Company’s ability to incur additional indebtedness.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3" w:name="page74"/>
    <w:bookmarkEnd w:id="7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40" w:firstLine="486"/>
        <w:spacing w:after="0" w:line="301" w:lineRule="auto"/>
        <w:rPr>
          <w:sz w:val="20"/>
          <w:szCs w:val="20"/>
          <w:color w:val="auto"/>
        </w:rPr>
      </w:pPr>
      <w:r>
        <w:rPr>
          <w:rFonts w:ascii="Arial" w:cs="Arial" w:eastAsia="Arial" w:hAnsi="Arial"/>
          <w:sz w:val="16"/>
          <w:szCs w:val="16"/>
          <w:color w:val="auto"/>
        </w:rPr>
        <w:t>The Credit Agreement and the indentures governing our various senior secured notes and the 6.00% Senior Notes due 2028 contain certain covenants. As of December 31, 2020 and December 31, 2019, the Company was in compliance with all such covenants. Following the March 2019 Refinancing Transactions and June 2020 Refinancing Transactions, we have eliminated substantially all of the restrictive covenants and certain events of default in the indentures governing our senior unsecured notes, except for those in the indenture governing the 6.00% Senior Notes due 2028.</w:t>
      </w:r>
    </w:p>
    <w:p>
      <w:pPr>
        <w:spacing w:after="0" w:line="49"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In addition, after each fiscal year-end, the Company is required to perform a calculation of Excess Cash Flow (as defined in the Credit Agreement), which could result in certain pre-payments of the principal relating to the Term Loan Facility in accordance with the terms of the Credit Agreement. No such payment is required at December 31, 2020.</w:t>
      </w:r>
    </w:p>
    <w:p>
      <w:pPr>
        <w:spacing w:after="0" w:line="76" w:lineRule="exact"/>
        <w:rPr>
          <w:sz w:val="20"/>
          <w:szCs w:val="20"/>
          <w:color w:val="auto"/>
        </w:rPr>
      </w:pPr>
    </w:p>
    <w:p>
      <w:pPr>
        <w:ind w:right="460" w:firstLine="486"/>
        <w:spacing w:after="0" w:line="342" w:lineRule="auto"/>
        <w:rPr>
          <w:sz w:val="20"/>
          <w:szCs w:val="20"/>
          <w:color w:val="auto"/>
        </w:rPr>
      </w:pPr>
      <w:r>
        <w:rPr>
          <w:rFonts w:ascii="Arial" w:cs="Arial" w:eastAsia="Arial" w:hAnsi="Arial"/>
          <w:sz w:val="16"/>
          <w:szCs w:val="16"/>
          <w:color w:val="auto"/>
        </w:rPr>
        <w:t>Refer to Note 15. Debt in the Consolidated Financial Statements included in Part IV, Item 15 of this report for additional information about our indebtedness, including our debt refinancing transactions and information about covenants, maturities, interest rates, security and priority.</w:t>
      </w:r>
    </w:p>
    <w:p>
      <w:pPr>
        <w:spacing w:after="0" w:line="16"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b w:val="1"/>
          <w:bCs w:val="1"/>
          <w:i w:val="1"/>
          <w:iCs w:val="1"/>
          <w:color w:val="auto"/>
        </w:rPr>
        <w:t xml:space="preserve">Credit ratings. </w:t>
      </w:r>
      <w:r>
        <w:rPr>
          <w:rFonts w:ascii="Arial" w:cs="Arial" w:eastAsia="Arial" w:hAnsi="Arial"/>
          <w:sz w:val="18"/>
          <w:szCs w:val="18"/>
          <w:color w:val="auto"/>
        </w:rPr>
        <w:t>The Company’s corporate credit ratings assigned by Moody’s Investors Service and Standard &amp; Poor’s are B3 with a stable outlook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 with a negative outlook, respectively. No report of any rating agency is being incorporated by reference herein.</w:t>
      </w:r>
    </w:p>
    <w:p>
      <w:pPr>
        <w:spacing w:after="0" w:line="62"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components of our working capital and our liquidity at December 31, 2020 and December 31, 2019 are below (dollars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2020</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229"/>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2,413,258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2,586,218</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total current liabilities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1,253,824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1,460,289</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1,159,434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1,125,929</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Current ratio (total current assets divided by total current 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Arial" w:cs="Arial" w:eastAsia="Arial" w:hAnsi="Arial"/>
                <w:sz w:val="18"/>
                <w:szCs w:val="18"/>
                <w:color w:val="auto"/>
              </w:rPr>
              <w:t>1.9:1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180" w:firstLine="486"/>
        <w:spacing w:after="0" w:line="272" w:lineRule="auto"/>
        <w:rPr>
          <w:sz w:val="20"/>
          <w:szCs w:val="20"/>
          <w:color w:val="auto"/>
        </w:rPr>
      </w:pPr>
      <w:r>
        <w:rPr>
          <w:rFonts w:ascii="Arial" w:cs="Arial" w:eastAsia="Arial" w:hAnsi="Arial"/>
          <w:sz w:val="17"/>
          <w:szCs w:val="17"/>
          <w:color w:val="auto"/>
        </w:rPr>
        <w:t>Net working capital increased by $33.5 million from December 31, 2019 to December 31, 2020. This increase primarily reflects the favorable impact to net current assets resulting from operations during the year ended December 31, 2020, partially offset by the impacts of: (i) the December 2020 acquisition of BioSpecifics, including acquisition consideration of $655.7 million, partially offset by net current assets acquired of $109.5 million; (ii) the June 2020 Refinancing Transactions that, during the year ended December 31, 2020, resulted in the incurrence of approximately $31.1 million of fees to third parties and cash expenditures of $47.2 million to settle noncurrent debt obligations; (iii) the August 2020 Tender Offer (as defined below), which resulted in cash expenditures of approximately $10 million to settle noncurrent debt obligations; and (iv) Capital expenditures, excluding capitalized interest, of $70.0 million during the year ended December 31, 2020.</w:t>
      </w:r>
    </w:p>
    <w:p>
      <w:pPr>
        <w:spacing w:after="0" w:line="6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summarizes our Consolidated Statements of Cash Flows for the years ended December 31, 2020 and 2019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 provided by (used in):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397,392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98,052</w:t>
            </w: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(60,198)</w:t>
            </w: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(108,567)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204,601</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exchange rate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restricted cash and restricted cash equivalents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(335,388)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243,551</w:t>
            </w:r>
          </w:p>
        </w:tc>
      </w:tr>
      <w:tr>
        <w:trPr>
          <w:trHeight w:val="20"/>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represents the cash receipts and cash disbursements from all of our activities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investing activities and financing activities. Changes in cash from operating activities reflect, among other things, the timing of cash collections from customers, payments to suppliers, managed care organizations, government agencies, collaborative partners and employees in the ordinary course of business, as well as the timing and amount of cash payments and/or receipts related to interest, litigation-related matters, restructurings, income taxes and certain other items.</w:t>
      </w:r>
    </w:p>
    <w:p>
      <w:pPr>
        <w:spacing w:after="0" w:line="80" w:lineRule="exact"/>
        <w:rPr>
          <w:sz w:val="20"/>
          <w:szCs w:val="20"/>
          <w:color w:val="auto"/>
        </w:rPr>
      </w:pPr>
    </w:p>
    <w:p>
      <w:pPr>
        <w:ind w:right="80" w:firstLine="486"/>
        <w:spacing w:after="0" w:line="286" w:lineRule="auto"/>
        <w:rPr>
          <w:sz w:val="20"/>
          <w:szCs w:val="20"/>
          <w:color w:val="auto"/>
        </w:rPr>
      </w:pPr>
      <w:r>
        <w:rPr>
          <w:rFonts w:ascii="Arial" w:cs="Arial" w:eastAsia="Arial" w:hAnsi="Arial"/>
          <w:sz w:val="16"/>
          <w:szCs w:val="16"/>
          <w:color w:val="auto"/>
        </w:rPr>
        <w:t>The $299.3 million increase in Net cash provided by operating activities in 2020 compared to the prior year period was primarily due to our results of operations as described above and the timing of cash collections and cash payments related to our operations, including a decrease of $161.3 million in cash outflows for certain mesh-related matters. We currently expect to fund all of the remaining payments under all previously executed settlement agreements during 2021, which could result in reductions to our operating cash flows. For additional information about mesh-related matters, refer to Note</w:t>
      </w:r>
    </w:p>
    <w:p>
      <w:pPr>
        <w:spacing w:after="0" w:line="1" w:lineRule="exact"/>
        <w:rPr>
          <w:sz w:val="20"/>
          <w:szCs w:val="20"/>
          <w:color w:val="auto"/>
        </w:rPr>
      </w:pPr>
    </w:p>
    <w:p>
      <w:pPr>
        <w:ind w:left="5540" w:right="2500" w:hanging="5532"/>
        <w:spacing w:after="0" w:line="761" w:lineRule="auto"/>
        <w:tabs>
          <w:tab w:leader="none" w:pos="284"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Commitments and Contingencies in the Consolidated Financial Statements included in Part IV, Item 15 of this report.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The $564.7 million increase in Net cash used in investing activities in 2020 compared to the prior year period was primarily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 increase in Acquisitions, including in-process research and development, net of cash and restricted cash acquired of $649.5 million relating to the BioSpecifics acquisition, an increase in Capital expenditures, excluding capitalized interest of $6.1 million and an increase in Product acquisition costs and license fees of $2.0 million, partially offset by an increase in Proceeds from sales and maturities of investments of $92.8 million, which primarily related to investments acquired as part of the BioSpecifics acquisition.</w:t>
      </w:r>
    </w:p>
    <w:p>
      <w:pPr>
        <w:spacing w:after="0" w:line="80" w:lineRule="exact"/>
        <w:rPr>
          <w:sz w:val="20"/>
          <w:szCs w:val="20"/>
          <w:color w:val="auto"/>
        </w:rPr>
      </w:pPr>
    </w:p>
    <w:p>
      <w:pPr>
        <w:jc w:val="both"/>
        <w:ind w:right="180" w:firstLine="486"/>
        <w:spacing w:after="0" w:line="263"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During 2020, Net cash used in financing activities related primarily to Repayments of notes of $57.6 million associated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June 2020 Refinancing Transactions and August 2020 Tender Offer, Repayments of term loans of $34.2 million and Payments of tax withholding for restricted shares of $8.0 million.</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During 2019, Net cash provided by financing activities related primarily to the $300.0 million June 2019 borrowing under the Revolving Credit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Facility. The proceeds from this transaction were offset by Repayments of term loans of $34.2 million, Payments for contingent consideration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$16.8 million, Payments of tax withholding for restricted shares of $10.2 million, Repayments of other indebtedness of $9.2 million and the net effect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March 2019 Refinancing Transactions, which resulted in Repayments of notes totaling $1,500.0 million and Payments for debt issuance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extinguishment costs of $6.4 million, partially offset by Proceeds from issuance of notes, net of $1,483.1 million.</w:t>
      </w:r>
    </w:p>
    <w:p>
      <w:pPr>
        <w:spacing w:after="0" w:line="103"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b w:val="1"/>
          <w:bCs w:val="1"/>
          <w:i w:val="1"/>
          <w:iCs w:val="1"/>
          <w:color w:val="auto"/>
        </w:rPr>
        <w:t xml:space="preserve">R&amp;D. </w:t>
      </w:r>
      <w:r>
        <w:rPr>
          <w:rFonts w:ascii="Arial" w:cs="Arial" w:eastAsia="Arial" w:hAnsi="Arial"/>
          <w:sz w:val="18"/>
          <w:szCs w:val="18"/>
          <w:color w:val="auto"/>
        </w:rPr>
        <w:t>As further described above under the heading “RESULTS OF OPERATIONS,” in recent years, we have incurred significant expenditures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R&amp;D. We expect to continue incur R&amp;D expenditures related to the development and advancement of our current product pipeline and any additional product candidates we may add via license, acquisition or organically. There can be no assurance that the results of any ongoing or future nonclinical or clinical trials related to these projects will be successful, that additional trials will not be required, that any compound, product or indication under development will receive regulatory approval in a timely manner or at all or that such compound, product or indication could be successfully manufactured in accordance with local current good manufacturing practices or marketed successfully, or that we will have sufficient funds to develop or commercialize any of our products.</w:t>
      </w:r>
    </w:p>
    <w:p>
      <w:pPr>
        <w:spacing w:after="0" w:line="87"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b w:val="1"/>
          <w:bCs w:val="1"/>
          <w:i w:val="1"/>
          <w:iCs w:val="1"/>
          <w:color w:val="auto"/>
        </w:rPr>
        <w:t xml:space="preserve">Manufacturing, supply and other service agreements. </w:t>
      </w:r>
      <w:r>
        <w:rPr>
          <w:rFonts w:ascii="Arial" w:cs="Arial" w:eastAsia="Arial" w:hAnsi="Arial"/>
          <w:sz w:val="17"/>
          <w:szCs w:val="17"/>
          <w:color w:val="auto"/>
        </w:rPr>
        <w:t>We contract with various third party manufacturers, suppliers and service providers to supply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products, or materials used in the manufacturing of our products, and to provide additional services such as packaging, processing, labeling, warehousing, distribution and customer service support. Any interruption to the goods or services provided for by these and similar contracts could have a material adverse effect on our business, financial condition, results of operations and cash flows.</w:t>
      </w:r>
    </w:p>
    <w:p>
      <w:pPr>
        <w:spacing w:after="0" w:line="63"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b w:val="1"/>
          <w:bCs w:val="1"/>
          <w:i w:val="1"/>
          <w:iCs w:val="1"/>
          <w:color w:val="auto"/>
        </w:rPr>
        <w:t xml:space="preserve">License and collaboration agreements. </w:t>
      </w:r>
      <w:r>
        <w:rPr>
          <w:rFonts w:ascii="Arial" w:cs="Arial" w:eastAsia="Arial" w:hAnsi="Arial"/>
          <w:sz w:val="16"/>
          <w:szCs w:val="16"/>
          <w:color w:val="auto"/>
        </w:rPr>
        <w:t>We could become obligated to make certain contingent payments pursuant to our license, collaboration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agreements. Payments under these agreements generally become due and payable only upon the achievement of certain developmental, regulatory, commercial and/or other milestones. Due to the fact that it is uncertain whether and when certain of these milestones will be achieved, they have not been recorded in our Consolidated Balance Sheets. In addition, we may be required to make sales-based royalty or similar payments under certain arrangements.</w:t>
      </w:r>
    </w:p>
    <w:p>
      <w:pPr>
        <w:spacing w:after="0" w:line="49"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b w:val="1"/>
          <w:bCs w:val="1"/>
          <w:i w:val="1"/>
          <w:iCs w:val="1"/>
          <w:color w:val="auto"/>
        </w:rPr>
        <w:t xml:space="preserve">Acquisitions. </w:t>
      </w:r>
      <w:r>
        <w:rPr>
          <w:rFonts w:ascii="Arial" w:cs="Arial" w:eastAsia="Arial" w:hAnsi="Arial"/>
          <w:sz w:val="16"/>
          <w:szCs w:val="16"/>
          <w:color w:val="auto"/>
        </w:rPr>
        <w:t>Going forward, our primary focus will be on organic growth. However, we may consider and, as appropriate, make acquisitions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businesses, products, product rights or technologies. Our cash reserves and other liquid assets may be inadequate to consummate such acquisitions and it may be necessary for us to issue ordinary shares or raise substantial additional funds in the future to complete future transactions. In addition, as a result of any acquisition efforts, we are likely to experience significant charges to earnings for merger and related expenses (whether or not our efforts are successful) that may include transaction costs, closure costs, integration costs and/or costs of restructuring activities.</w:t>
      </w:r>
    </w:p>
    <w:p>
      <w:pPr>
        <w:spacing w:after="0" w:line="53"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b w:val="1"/>
          <w:bCs w:val="1"/>
          <w:i w:val="1"/>
          <w:iCs w:val="1"/>
          <w:color w:val="auto"/>
        </w:rPr>
        <w:t xml:space="preserve">Legal proceedings. </w:t>
      </w:r>
      <w:r>
        <w:rPr>
          <w:rFonts w:ascii="Arial" w:cs="Arial" w:eastAsia="Arial" w:hAnsi="Arial"/>
          <w:sz w:val="18"/>
          <w:szCs w:val="18"/>
          <w:color w:val="auto"/>
        </w:rPr>
        <w:t>We are subject to various patent challenges, product liability claims, government investigations and other legal proceedings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ordinary course of business. Contingent accruals are recorded when we determine that a loss is both probable and reasonably estimable. Due to the fact that legal proceedings and other contingencies are inherently unpredictable, our assessments involve significant judgments regarding future events. For additional discussion of legal proceedings, see Note 16. Commitments and Contingencies in the Consolidated Financial Statements included in Part IV, Item 15 of this report.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5" w:name="page76"/>
    <w:bookmarkEnd w:id="7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 xml:space="preserve">Contractual Obligations. </w:t>
      </w:r>
      <w:r>
        <w:rPr>
          <w:rFonts w:ascii="Arial" w:cs="Arial" w:eastAsia="Arial" w:hAnsi="Arial"/>
          <w:sz w:val="17"/>
          <w:szCs w:val="17"/>
          <w:color w:val="auto"/>
        </w:rPr>
        <w:t>The following table lists our enforceable and legally binding noncancelable obligations as of December 31, 2020.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b w:val="1"/>
                <w:bCs w:val="1"/>
                <w:color w:val="auto"/>
              </w:rPr>
              <w:t>Payment Due by Period (in thousands)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6"/>
                <w:szCs w:val="16"/>
                <w:color w:val="auto"/>
              </w:rPr>
            </w:pPr>
          </w:p>
        </w:tc>
        <w:tc>
          <w:tcPr>
            <w:tcW w:w="880" w:type="dxa"/>
            <w:vAlign w:val="bottom"/>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35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72"/>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24"/>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Long-term debt obligations (1)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8,376,443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34,150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237,292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96,713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3,770,225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4,216,485</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Arial" w:cs="Arial" w:eastAsia="Arial" w:hAnsi="Arial"/>
                <w:sz w:val="18"/>
                <w:szCs w:val="18"/>
                <w:color w:val="auto"/>
              </w:rPr>
              <w:t>Interest expense (2)</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2,850,528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523,855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516,454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509,112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389,802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316,789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594,516</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 (3)</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12,299</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Arial" w:cs="Arial" w:eastAsia="Arial" w:hAnsi="Arial"/>
                <w:sz w:val="18"/>
                <w:szCs w:val="18"/>
                <w:color w:val="auto"/>
                <w:w w:val="95"/>
              </w:rPr>
              <w:t>Operating lease obligations (3)</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58,418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11,017</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obligations (4)</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176"/>
        </w:trPr>
        <w:tc>
          <w:tcPr>
            <w:tcW w:w="2380" w:type="dxa"/>
            <w:vAlign w:val="bottom"/>
          </w:tcPr>
          <w:p>
            <w:pPr>
              <w:ind w:left="20"/>
              <w:spacing w:after="0" w:line="176" w:lineRule="exact"/>
              <w:rPr>
                <w:sz w:val="20"/>
                <w:szCs w:val="20"/>
                <w:color w:val="auto"/>
              </w:rPr>
            </w:pPr>
            <w:r>
              <w:rPr>
                <w:rFonts w:ascii="Arial" w:cs="Arial" w:eastAsia="Arial" w:hAnsi="Arial"/>
                <w:sz w:val="18"/>
                <w:szCs w:val="18"/>
                <w:color w:val="auto"/>
              </w:rPr>
              <w:t>Mesh-related product liability</w:t>
            </w:r>
          </w:p>
        </w:tc>
        <w:tc>
          <w:tcPr>
            <w:tcW w:w="2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35,570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35,570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Arial" w:cs="Arial" w:eastAsia="Arial" w:hAnsi="Arial"/>
                <w:sz w:val="18"/>
                <w:szCs w:val="18"/>
                <w:color w:val="auto"/>
              </w:rPr>
              <w:t>settlements (5)</w:t>
            </w:r>
          </w:p>
        </w:tc>
        <w:tc>
          <w:tcPr>
            <w:tcW w:w="2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obligations and</w:t>
            </w: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(6)</w:t>
            </w: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Total (7)</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11,385,763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629,512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776,460</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625,165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4,173,918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344,346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4,836,362</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60" w:hanging="329"/>
        <w:spacing w:after="0" w:line="241" w:lineRule="auto"/>
        <w:tabs>
          <w:tab w:leader="none" w:pos="572"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minimum cash payments related to principal associated with our indebtedness as of December 31, 2020. A discussion of such indebtedness is included above under the caption “Indebtedness.” The amounts in this table do not reflect any potential early or accelerated principal payments such as the potential payments described in Note 15. Debt in the Consolidated Financial Statements included in Part IV, Item 15 of this report.</w:t>
      </w:r>
    </w:p>
    <w:p>
      <w:pPr>
        <w:spacing w:after="0" w:line="1" w:lineRule="exact"/>
        <w:rPr>
          <w:rFonts w:ascii="Arial" w:cs="Arial" w:eastAsia="Arial" w:hAnsi="Arial"/>
          <w:sz w:val="14"/>
          <w:szCs w:val="14"/>
          <w:color w:val="auto"/>
        </w:rPr>
      </w:pPr>
    </w:p>
    <w:p>
      <w:pPr>
        <w:ind w:left="580" w:right="40" w:hanging="329"/>
        <w:spacing w:after="0" w:line="241" w:lineRule="auto"/>
        <w:tabs>
          <w:tab w:leader="none" w:pos="572"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These amounts represent future cash interest payments related to our indebtedness as of December 31, 2020 based on interest rates specified in the associated debt agreements. Payments related to variable-rate debt are based on applicable market rates, estimated at December 31, 2020, plus the specified margin in the associated debt agreements for each period presented.</w:t>
      </w:r>
    </w:p>
    <w:p>
      <w:pPr>
        <w:spacing w:after="0" w:line="1" w:lineRule="exact"/>
        <w:rPr>
          <w:rFonts w:ascii="Arial" w:cs="Arial" w:eastAsia="Arial" w:hAnsi="Arial"/>
          <w:sz w:val="14"/>
          <w:szCs w:val="14"/>
          <w:color w:val="auto"/>
        </w:rPr>
      </w:pPr>
    </w:p>
    <w:p>
      <w:pPr>
        <w:ind w:left="580" w:right="40" w:hanging="329"/>
        <w:spacing w:after="0" w:line="241" w:lineRule="auto"/>
        <w:tabs>
          <w:tab w:leader="none" w:pos="572"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Refer to Note 9. Leases in the Consolidated Financial Statements included in Part IV, Item 15 of this report for additional information about our leases. We have entered into agreements to sublease certain properties. Most significantly, we sublease 140,000 square feet of our Malvern, Pennsylvania facility and substantially all of our Chesterbrook, Pennsylvania facility. As of December 31, 2020, we expect to receive approximately $19.6 million in future minimum rental payments over the remaining terms of the Malvern and Chesterbrook subleases from 2021 to 2024. Amounts of expected sublease income are not reflected in the table above.</w:t>
      </w:r>
    </w:p>
    <w:p>
      <w:pPr>
        <w:spacing w:after="0" w:line="1" w:lineRule="exact"/>
        <w:rPr>
          <w:rFonts w:ascii="Arial" w:cs="Arial" w:eastAsia="Arial" w:hAnsi="Arial"/>
          <w:sz w:val="14"/>
          <w:szCs w:val="14"/>
          <w:color w:val="auto"/>
        </w:rPr>
      </w:pPr>
    </w:p>
    <w:p>
      <w:pPr>
        <w:ind w:left="560" w:hanging="309"/>
        <w:spacing w:after="0"/>
        <w:tabs>
          <w:tab w:leader="none" w:pos="5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Purchase obligations are enforceable and legally binding obligations for purchases of goods and services, including minimum inventory contracts.</w:t>
      </w:r>
    </w:p>
    <w:p>
      <w:pPr>
        <w:spacing w:after="0" w:line="1" w:lineRule="exact"/>
        <w:rPr>
          <w:rFonts w:ascii="Arial" w:cs="Arial" w:eastAsia="Arial" w:hAnsi="Arial"/>
          <w:sz w:val="14"/>
          <w:szCs w:val="14"/>
          <w:color w:val="auto"/>
        </w:rPr>
      </w:pPr>
    </w:p>
    <w:p>
      <w:pPr>
        <w:ind w:left="580" w:right="20" w:hanging="329"/>
        <w:spacing w:after="0" w:line="241" w:lineRule="auto"/>
        <w:tabs>
          <w:tab w:leader="none" w:pos="572"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amounts included above represent contractual payments for mesh-related product liability settlements and reflect the earliest date that a settlement payment could be due and the largest amount that could be due on that date. These matters are described in more detail in Note 16. Commitments and Contingencies in the Consolidated Financial Statements included in Part IV, Item 15 of this report.</w:t>
      </w:r>
    </w:p>
    <w:p>
      <w:pPr>
        <w:spacing w:after="0" w:line="1" w:lineRule="exact"/>
        <w:rPr>
          <w:rFonts w:ascii="Arial" w:cs="Arial" w:eastAsia="Arial" w:hAnsi="Arial"/>
          <w:sz w:val="14"/>
          <w:szCs w:val="14"/>
          <w:color w:val="auto"/>
        </w:rPr>
      </w:pPr>
    </w:p>
    <w:p>
      <w:pPr>
        <w:ind w:left="560" w:hanging="309"/>
        <w:spacing w:after="0"/>
        <w:tabs>
          <w:tab w:leader="none" w:pos="5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Other obligations and commitments relate to any agreements to purchase third-party assets, products and services and other minimum royalty obligations.</w:t>
      </w:r>
    </w:p>
    <w:p>
      <w:pPr>
        <w:spacing w:after="0" w:line="1" w:lineRule="exact"/>
        <w:rPr>
          <w:rFonts w:ascii="Arial" w:cs="Arial" w:eastAsia="Arial" w:hAnsi="Arial"/>
          <w:sz w:val="14"/>
          <w:szCs w:val="14"/>
          <w:color w:val="auto"/>
        </w:rPr>
      </w:pPr>
    </w:p>
    <w:p>
      <w:pPr>
        <w:ind w:left="580" w:right="200" w:hanging="329"/>
        <w:spacing w:after="0" w:line="293" w:lineRule="auto"/>
        <w:tabs>
          <w:tab w:leader="none" w:pos="572" w:val="left"/>
        </w:tabs>
        <w:numPr>
          <w:ilvl w:val="0"/>
          <w:numId w:val="55"/>
        </w:numPr>
        <w:rPr>
          <w:rFonts w:ascii="Arial" w:cs="Arial" w:eastAsia="Arial" w:hAnsi="Arial"/>
          <w:sz w:val="13"/>
          <w:szCs w:val="13"/>
          <w:color w:val="auto"/>
        </w:rPr>
      </w:pPr>
      <w:r>
        <w:rPr>
          <w:rFonts w:ascii="Arial" w:cs="Arial" w:eastAsia="Arial" w:hAnsi="Arial"/>
          <w:sz w:val="13"/>
          <w:szCs w:val="13"/>
          <w:color w:val="auto"/>
        </w:rPr>
        <w:t>Total generally does not include contractual obligations already included in current liabilities on our Consolidated Balance Sheets, except for amounts related to the current portion of long-term debt, accrued interest, current lease obligations, mesh-related product liabilities and certain purchase obligations, which are discussed below.</w:t>
      </w:r>
    </w:p>
    <w:p>
      <w:pPr>
        <w:spacing w:after="0" w:line="59"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For purposes of the table above, obligations for the purchase of goods or services are included only for significant noncancelable purchase orders at least one year in length that are enforceable, legally binding and specify all significant terms, including fixed or minimum quantities to be purchased, fixed, minimum or variable price provisions and the timing of the obligation. In cases where our minimum obligations are variable based on future contingent events or circumstances, we estimate the minimum obligations based on information available to us at the time of disclosure. Our purchase orders are based on our current manufacturing needs and are typically fulfilled by our suppliers within a relatively short period. At December 31, 2020, we have open purchase orders that represent authorizations to purchase, rather than binding agreements, that are not included in the table above. In addition, we do not include collaboration agreements and potential payments under those agreements or potential payments related to contingent consideration.</w:t>
      </w:r>
    </w:p>
    <w:p>
      <w:pPr>
        <w:spacing w:after="0" w:line="58"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Information about our liability for unrecognized tax benefits is included in Note 21. Income Taxes in the Consolidated Financial Statements included in Part IV, Item 15 of this report under the caption “Uncertain Tax Positions.” Due to the nature and timing of the ultimate outcome of these uncertain tax positions, we cannot make a reliable estimate of the amount and period of related future payments, if any. Therefore, our liability has been excluded from the above contractual obligations table.</w:t>
      </w:r>
    </w:p>
    <w:p>
      <w:pPr>
        <w:spacing w:after="0" w:line="79"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b w:val="1"/>
          <w:bCs w:val="1"/>
          <w:i w:val="1"/>
          <w:iCs w:val="1"/>
          <w:color w:val="auto"/>
        </w:rPr>
        <w:t xml:space="preserve">Fluctuations. </w:t>
      </w:r>
      <w:r>
        <w:rPr>
          <w:rFonts w:ascii="Arial" w:cs="Arial" w:eastAsia="Arial" w:hAnsi="Arial"/>
          <w:sz w:val="17"/>
          <w:szCs w:val="17"/>
          <w:color w:val="auto"/>
        </w:rPr>
        <w:t>Our quarterly results have fluctuated in the past and may continue to fluctuate. These fluctuations may be due to the timing of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 launches, purchasing patterns of our customers, market acceptance of our products, the impact of competitive products and pricing, certain actions taken by us which may impact the availability of our products, asset impairment charges, charges related to litigation, restructuring costs including separation benefits, acquisition transaction costs, the impact of financing transactions, upfront, milestone and certain other payments made or accrued pursuant to licensing agreements and changes in the fair value of financial instruments and contingent assets and liabilities recorded as part of acquisitions. Further, a substantial portion of our total revenues are through three wholesale drug distributors who in turn supply our products to pharmacies, hospitals and physicians. Accordingly, we are potentially subject to a concentration of credit risk with respect to our trade receivables. The impact of COVID-19 may heighten these fluctuations in our operating results.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Additionally, the current economic crisis and increased unemployment rates resulting from COVID-19 have significantly reduced individual disposable income and depressed consumer confidence, which could limit the ability of some consumers to purchase certain pharmaceutical products and reduce consumer spend on certain medical procedures in both the short- and medium-term. Additionally, as part of the measures to address COVID-19, certain healthcare providers are not currently performing various medical procedures.</w:t>
      </w:r>
    </w:p>
    <w:p>
      <w:pPr>
        <w:spacing w:after="0" w:line="7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b w:val="1"/>
          <w:bCs w:val="1"/>
          <w:i w:val="1"/>
          <w:iCs w:val="1"/>
          <w:color w:val="auto"/>
        </w:rPr>
        <w:t xml:space="preserve">Growth opportunities. </w:t>
      </w:r>
      <w:r>
        <w:rPr>
          <w:rFonts w:ascii="Arial" w:cs="Arial" w:eastAsia="Arial" w:hAnsi="Arial"/>
          <w:sz w:val="18"/>
          <w:szCs w:val="18"/>
          <w:color w:val="auto"/>
        </w:rPr>
        <w:t>We continue to evaluate growth opportunities including investments, licensing arrangements, acquisitions of product rights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businesses and strategic alliances and promotional arrangements, any of which could require significant capital resources. We continue to focus our business development activities on further diversifying our revenue base through product licensing and company acquisitions, as well as other opportunities to enhance shareholder value. Through execution of our business strategy, we focus on developing new products both internally and with contract and collaborative partners; expanding our product lines by acquiring new products and technologies, increasing revenues and earnings through sales and marketing programs for our innovative product offerings and effectively using our resources; and providing additional resources to support our businesses.</w:t>
      </w:r>
    </w:p>
    <w:p>
      <w:pPr>
        <w:spacing w:after="0" w:line="87"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 xml:space="preserve">Non-U.S. operations. </w:t>
      </w:r>
      <w:r>
        <w:rPr>
          <w:rFonts w:ascii="Arial" w:cs="Arial" w:eastAsia="Arial" w:hAnsi="Arial"/>
          <w:sz w:val="17"/>
          <w:szCs w:val="17"/>
          <w:color w:val="auto"/>
        </w:rPr>
        <w:t>Fluctuations in foreign currency rates resulted in a net loss of $2.5 million in 2020 and a net loss of $5.2 million in 2019.</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Inflation. </w:t>
      </w:r>
      <w:r>
        <w:rPr>
          <w:rFonts w:ascii="Arial" w:cs="Arial" w:eastAsia="Arial" w:hAnsi="Arial"/>
          <w:sz w:val="18"/>
          <w:szCs w:val="18"/>
          <w:color w:val="auto"/>
        </w:rPr>
        <w:t>We do not believe that inflation had a material adverse effect on our financial statements for the periods presented.</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We have no off-balance sheet arrangements.</w:t>
      </w:r>
    </w:p>
    <w:p>
      <w:pPr>
        <w:spacing w:after="0" w:line="11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Market risk is the potential loss arising from adverse changes in the financial markets, including interest rates and foreign currency exchange rates.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Our exposure to interest rate risk relates primarily to our variable-rate indebtedness associated with our Credit Facilities. At December 31, 2020 and December 31, 2019, the aggregate principal amounts of such variable-rate indebtedness were $3,595.5 million and $3,629.6 million, respectively. Borrowings under the Credit Facilities may from time to time bear interest at variable rates, in certain cases subject to a floor. At December 31, 2020 and December 31, 2019, a hypothetical 1% increase in the applicable rate over the floor would have resulted in $36.0 million and $36.3 million, respectively, of incremental interest expense (representing the annual rate of expense) related to our variable-rate debt borrowings.</w:t>
      </w:r>
    </w:p>
    <w:p>
      <w:pPr>
        <w:spacing w:after="0" w:line="68" w:lineRule="exact"/>
        <w:rPr>
          <w:sz w:val="20"/>
          <w:szCs w:val="20"/>
          <w:color w:val="auto"/>
        </w:rPr>
      </w:pPr>
    </w:p>
    <w:p>
      <w:pPr>
        <w:ind w:right="860" w:firstLine="486"/>
        <w:spacing w:after="0" w:line="277" w:lineRule="auto"/>
        <w:rPr>
          <w:sz w:val="20"/>
          <w:szCs w:val="20"/>
          <w:color w:val="auto"/>
        </w:rPr>
      </w:pPr>
      <w:r>
        <w:rPr>
          <w:rFonts w:ascii="Arial" w:cs="Arial" w:eastAsia="Arial" w:hAnsi="Arial"/>
          <w:sz w:val="18"/>
          <w:szCs w:val="18"/>
          <w:color w:val="auto"/>
        </w:rPr>
        <w:t>To the extent that we utilize additional amounts under the Revolving Credit Facility or otherwise increase the amount of our variable-rate indebtedness, we will be exposed to additional interest rate risk.</w:t>
      </w:r>
    </w:p>
    <w:p>
      <w:pPr>
        <w:spacing w:after="0" w:line="62" w:lineRule="exact"/>
        <w:rPr>
          <w:sz w:val="20"/>
          <w:szCs w:val="20"/>
          <w:color w:val="auto"/>
        </w:rPr>
      </w:pPr>
    </w:p>
    <w:p>
      <w:pPr>
        <w:ind w:left="260" w:right="1640" w:firstLine="243"/>
        <w:spacing w:after="0" w:line="375" w:lineRule="auto"/>
        <w:rPr>
          <w:sz w:val="20"/>
          <w:szCs w:val="20"/>
          <w:color w:val="auto"/>
        </w:rPr>
      </w:pPr>
      <w:r>
        <w:rPr>
          <w:rFonts w:ascii="Arial" w:cs="Arial" w:eastAsia="Arial" w:hAnsi="Arial"/>
          <w:sz w:val="18"/>
          <w:szCs w:val="18"/>
          <w:color w:val="auto"/>
        </w:rPr>
        <w:t xml:space="preserve">As of December 31, 2020 and December 31, 2019, we had no other assets or liabilities with significant interest rate sensitivity. </w:t>
      </w:r>
      <w:r>
        <w:rPr>
          <w:rFonts w:ascii="Arial" w:cs="Arial" w:eastAsia="Arial" w:hAnsi="Arial"/>
          <w:sz w:val="18"/>
          <w:szCs w:val="18"/>
          <w:i w:val="1"/>
          <w:iCs w:val="1"/>
          <w:color w:val="auto"/>
        </w:rPr>
        <w:t>Foreign Currency Exchange Rate Risk</w:t>
      </w:r>
    </w:p>
    <w:p>
      <w:pPr>
        <w:spacing w:after="0" w:line="1" w:lineRule="exact"/>
        <w:rPr>
          <w:sz w:val="20"/>
          <w:szCs w:val="20"/>
          <w:color w:val="auto"/>
        </w:rPr>
      </w:pPr>
    </w:p>
    <w:p>
      <w:pPr>
        <w:ind w:right="340" w:firstLine="486"/>
        <w:spacing w:after="0" w:line="291" w:lineRule="auto"/>
        <w:rPr>
          <w:sz w:val="20"/>
          <w:szCs w:val="20"/>
          <w:color w:val="auto"/>
        </w:rPr>
      </w:pPr>
      <w:r>
        <w:rPr>
          <w:rFonts w:ascii="Arial" w:cs="Arial" w:eastAsia="Arial" w:hAnsi="Arial"/>
          <w:sz w:val="16"/>
          <w:szCs w:val="16"/>
          <w:color w:val="auto"/>
        </w:rPr>
        <w:t>We operate and transact business in various foreign countries and are therefore subject to risks associated with foreign currency exchange rate fluctuations. The Company manages this foreign currency risk, in part, through operational means including managing foreign currency revenues in relation to same-currency costs and foreign currency assets in relation to same-currency liabilities. The Company is also exposed to potential earnings effects from intercompany foreign currency assets and liabilities that arise from normal trade receivables and payables and other intercompany loans. Additionally, certain of the Company’s subsidiaries maintain their books of record in currencies other than their respective functional currencies. These subsidiaries’ financial statements are remeasured into their respective functional currencies. Such remeasurement adjustments could have a material adverse effect on our business, financial condition, results of operations and cash flows.</w:t>
      </w:r>
    </w:p>
    <w:p>
      <w:pPr>
        <w:spacing w:after="0" w:line="58"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assets and liabilities of certain of our international subsidiaries are also translated to U.S. dollars at period-end exchange rates. Translation adjustments arising from the use of differing exchange rates are included in Accumulated other comprehensive loss. Gains and losses on foreign currency transactions and short-term intercompany receivables from foreign subsidiaries are included in Other (income) expense, net in the Consolidated Statements of Operations. Refer to Note 20. Other (Income) Expense, Net in the Consolidated Financial Statements included in Part IV, Item 15 of this report for the amounts of Foreign currency loss, net.</w:t>
      </w:r>
    </w:p>
    <w:p>
      <w:pPr>
        <w:spacing w:after="0" w:line="80"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Based on the Company’s significant foreign currency denominated intercompany loans, we separately considered the hypothetical impact of a 10% change in the underlying currencies of our foreign currency denominated intercompany loans, relative to the U.S. dollar, at December 31, 2020 and December 31, 2019. A 10% change at December 31, 2020 would have resulted in approximately $11 million in incremental foreign currency losses on such date. A 10% change at December 31, 2019 would have resulted in approximately $11 million in incremental foreign currency losses on such date.</w:t>
      </w:r>
    </w:p>
    <w:p>
      <w:pPr>
        <w:spacing w:after="0" w:line="4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21"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The information required by this item is contained in the financial statements set forth in Item 15. under the caption “Consolidated Financial Statements” as part of this Annual Report on Form 10-K.</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11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Company’s management, with the participation of the Company’s Chief Executive Officer and Principal Financial Officer, has evaluated the effectiveness of the Company’s disclosure controls and procedures, as defined in Rules 13a-15(e) and 15d-15(e) of the Exchange Act, as of December 31, 2020. Based on that evaluation, the Company’s Chief Executive Officer and Principal Financial Officer concluded that the Company’s disclosure controls and procedures were effective as of December 31, 2020.</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 Management’s Report on Internal Control over Financial Reporting</w:t>
      </w:r>
    </w:p>
    <w:p>
      <w:pPr>
        <w:spacing w:after="0" w:line="117"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report of management of the Company regarding internal control over financial reporting is set forth in Item 15. of this Annual Report on Form 10-K under the caption “MANAGEMENT’S REPORT ON INTERNAL CONTROL OVER FINANCIAL REPORTING” and incorporated herein by reference.</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 Attestation Report of Independent Registered Public Accounting Firm</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attestation report of the Company’s independent registered public accounting firm regarding internal control over financial reporting is set forth in Item 15. of this Annual Report on Form 10-K under the caption “REPORT OF INDEPENDENT REGISTERED PUBLIC ACCOUNTING FIRM” and incorporated herein by reference.</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 Changes in Internal Control over Financial Reporting</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fiscal quarter ended December 31, 2020 that have materially affected, or are reasonably likely to materially affect, the Company’s internal control over financial reporting.</w:t>
      </w:r>
    </w:p>
    <w:p>
      <w:pPr>
        <w:spacing w:after="0" w:line="5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78" w:name="page79"/>
    <w:bookmarkEnd w:id="7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Directors</w:t>
      </w:r>
    </w:p>
    <w:p>
      <w:pPr>
        <w:spacing w:after="0" w:line="117"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information concerning our directors required under this item is incorporated herein by reference from our proxy statement relating to our 2021 Annual General Meeting (2021 Proxy Statement), which will be filed with the SEC.</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Executive Officers</w:t>
      </w:r>
    </w:p>
    <w:p>
      <w:pPr>
        <w:spacing w:after="0" w:line="117" w:lineRule="exact"/>
        <w:rPr>
          <w:sz w:val="20"/>
          <w:szCs w:val="20"/>
          <w:color w:val="auto"/>
        </w:rPr>
      </w:pPr>
    </w:p>
    <w:p>
      <w:pPr>
        <w:ind w:right="740" w:firstLine="486"/>
        <w:spacing w:after="0" w:line="277" w:lineRule="auto"/>
        <w:rPr>
          <w:sz w:val="20"/>
          <w:szCs w:val="20"/>
          <w:color w:val="auto"/>
        </w:rPr>
      </w:pPr>
      <w:r>
        <w:rPr>
          <w:rFonts w:ascii="Arial" w:cs="Arial" w:eastAsia="Arial" w:hAnsi="Arial"/>
          <w:sz w:val="18"/>
          <w:szCs w:val="18"/>
          <w:color w:val="auto"/>
        </w:rPr>
        <w:t>For information concerning Endo’s executive officers, see Part I, Item 1 of this report “Business” under the caption “Information about our Executive Officers” and our 2021 Proxy Statement.</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Code of Ethics</w:t>
      </w:r>
    </w:p>
    <w:p>
      <w:pPr>
        <w:spacing w:after="0" w:line="117"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 xml:space="preserve">The information concerning our Code of Conduct is incorporated herein by reference from our 2021 Proxy Statement and can be viewed on our website, the internet address for which is www.endo.com </w:t>
      </w:r>
      <w:r>
        <w:rPr>
          <w:rFonts w:ascii="Arial" w:cs="Arial" w:eastAsia="Arial" w:hAnsi="Arial"/>
          <w:sz w:val="18"/>
          <w:szCs w:val="18"/>
          <w:i w:val="1"/>
          <w:iCs w:val="1"/>
          <w:color w:val="auto"/>
        </w:rPr>
        <w:t>(intended to be an inactive textual reference only).</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concerning our Audit Committee is incorporated herein by reference from our 2021 Proxy Statement.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Audit Committee Financial Experts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concerning our Audit Committee Financial Experts is incorporated herein by reference from our 2021 Proxy Statement.</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under this item is incorporated herein by reference from our 2021 Proxy Statement.</w:t>
      </w:r>
    </w:p>
    <w:p>
      <w:pPr>
        <w:spacing w:after="0" w:line="11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Equity Compensation Plan Information</w:t>
      </w:r>
    </w:p>
    <w:p>
      <w:pPr>
        <w:spacing w:after="0" w:line="117"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The following table sets forth aggregate information for the fiscal year ended December 31, 2020 regarding the Company’s compensation plans, under which equity securities of Endo may be issued to employees and directors.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6"/>
              </w:rPr>
              <w:t>Column A</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Column B</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6"/>
              </w:rPr>
              <w:t>Column C</w:t>
            </w:r>
          </w:p>
        </w:tc>
        <w:tc>
          <w:tcPr>
            <w:tcW w:w="0" w:type="dxa"/>
            <w:vAlign w:val="bottom"/>
          </w:tcPr>
          <w:p>
            <w:pPr>
              <w:spacing w:after="0"/>
              <w:rPr>
                <w:sz w:val="1"/>
                <w:szCs w:val="1"/>
                <w:color w:val="auto"/>
              </w:rPr>
            </w:pPr>
          </w:p>
        </w:tc>
      </w:tr>
      <w:tr>
        <w:trPr>
          <w:trHeight w:val="134"/>
        </w:trPr>
        <w:tc>
          <w:tcPr>
            <w:tcW w:w="5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35"/>
        </w:trPr>
        <w:tc>
          <w:tcPr>
            <w:tcW w:w="5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securities to be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Weighted-average</w:t>
            </w: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35"/>
        </w:trPr>
        <w:tc>
          <w:tcPr>
            <w:tcW w:w="5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35"/>
        </w:trPr>
        <w:tc>
          <w:tcPr>
            <w:tcW w:w="5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issued upon exercise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8"/>
              </w:rPr>
              <w:t>exercise price of</w:t>
            </w: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135"/>
        </w:trPr>
        <w:tc>
          <w:tcPr>
            <w:tcW w:w="6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outstanding options,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outstanding options,</w:t>
            </w: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88"/>
        </w:trPr>
        <w:tc>
          <w:tcPr>
            <w:tcW w:w="6020" w:type="dxa"/>
            <w:vAlign w:val="bottom"/>
            <w:gridSpan w:val="2"/>
            <w:vMerge w:val="continue"/>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warrants and rights (1)</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224"/>
        </w:trPr>
        <w:tc>
          <w:tcPr>
            <w:tcW w:w="5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17,500,180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18.11</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12,122,093</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17,500,180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18.11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12,122,093</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Excludes shares of restricted stock units, performance share units and long-term cash incentive awards which will be settled in the Company’s ordinary shares.</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other information required under this item is incorporated herein by reference from our 2021 Proxy Statement.</w:t>
      </w:r>
    </w:p>
    <w:p>
      <w:pPr>
        <w:spacing w:after="0" w:line="11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under this item is incorporated herein by reference from our 2021 Proxy Statement.</w:t>
      </w:r>
    </w:p>
    <w:p>
      <w:pPr>
        <w:spacing w:after="0" w:line="16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12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Information about the fees for 2020 and 2019 for professional services rendered by our independent registered public accounting firm is incorporated herein by reference from our 2021 Proxy Statement. Our Audit Committee’s policy on pre-approval of audit and permissible non-audit services of our independent registered public accounting firm is incorporated herein by reference from our 2021 Proxy Statement.</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under this item is incorporated herein by reference from our 2021 Proxy Statement.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 The following documents are filed as part of this report:</w:t>
      </w:r>
    </w:p>
    <w:p>
      <w:pPr>
        <w:spacing w:after="0" w:line="117" w:lineRule="exact"/>
        <w:rPr>
          <w:sz w:val="20"/>
          <w:szCs w:val="20"/>
          <w:color w:val="auto"/>
        </w:rPr>
      </w:pPr>
    </w:p>
    <w:p>
      <w:pPr>
        <w:ind w:left="500"/>
        <w:spacing w:after="0"/>
        <w:tabs>
          <w:tab w:leader="none" w:pos="780" w:val="left"/>
        </w:tabs>
        <w:rPr>
          <w:sz w:val="20"/>
          <w:szCs w:val="20"/>
          <w:color w:val="auto"/>
        </w:rPr>
      </w:pPr>
      <w:r>
        <w:rPr>
          <w:rFonts w:ascii="Arial" w:cs="Arial" w:eastAsia="Arial" w:hAnsi="Arial"/>
          <w:sz w:val="18"/>
          <w:szCs w:val="18"/>
          <w:i w:val="1"/>
          <w:iCs w:val="1"/>
          <w:color w:val="auto"/>
        </w:rPr>
        <w:t>1.</w:t>
        <w:tab/>
        <w:t>The Consolidated Financial Statements:</w:t>
      </w:r>
    </w:p>
    <w:p>
      <w:pPr>
        <w:spacing w:after="0" w:line="63"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Report of Independent Registered Public Accounting Firm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Consolidated Balance Sheets as of December 31, 2020 and 2019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Consolidated Statements of Operations for the years ended December 31, 2020, 2019 and 2018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Consolidated Statements of Comprehensive Income (Loss) for the years ended December 31, 2020, 2019 and 2018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Consolidated Statements of Shareholders' Equity (Deficit) for the years ended December 31, 2020, 2019 and 2018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Consolidated Statements of Cash Flows for the years ended December 31, 2020, 2019 and 2018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Notes to Consolidated Financial Statements</w:t>
      </w:r>
    </w:p>
    <w:p>
      <w:pPr>
        <w:spacing w:after="0" w:line="103" w:lineRule="exact"/>
        <w:rPr>
          <w:sz w:val="20"/>
          <w:szCs w:val="20"/>
          <w:color w:val="auto"/>
        </w:rPr>
      </w:pPr>
    </w:p>
    <w:p>
      <w:pPr>
        <w:ind w:left="500"/>
        <w:spacing w:after="0"/>
        <w:tabs>
          <w:tab w:leader="none" w:pos="780" w:val="left"/>
        </w:tabs>
        <w:rPr>
          <w:sz w:val="20"/>
          <w:szCs w:val="20"/>
          <w:color w:val="auto"/>
        </w:rPr>
      </w:pPr>
      <w:r>
        <w:rPr>
          <w:rFonts w:ascii="Arial" w:cs="Arial" w:eastAsia="Arial" w:hAnsi="Arial"/>
          <w:sz w:val="18"/>
          <w:szCs w:val="18"/>
          <w:i w:val="1"/>
          <w:iCs w:val="1"/>
          <w:color w:val="auto"/>
        </w:rPr>
        <w:t>2.</w:t>
        <w:tab/>
        <w:t>Financial Statement Schedules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Balance at Beginning</w:t>
            </w: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Additions, Costs and</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Deductions, Write-</w:t>
            </w:r>
          </w:p>
        </w:tc>
        <w:tc>
          <w:tcPr>
            <w:tcW w:w="24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Other (1)</w:t>
            </w:r>
          </w:p>
        </w:tc>
        <w:tc>
          <w:tcPr>
            <w:tcW w:w="120" w:type="dxa"/>
            <w:vAlign w:val="bottom"/>
          </w:tcPr>
          <w:p>
            <w:pPr>
              <w:spacing w:after="0"/>
              <w:rPr>
                <w:sz w:val="14"/>
                <w:szCs w:val="14"/>
                <w:color w:val="auto"/>
              </w:rPr>
            </w:pPr>
          </w:p>
        </w:tc>
        <w:tc>
          <w:tcPr>
            <w:tcW w:w="1240" w:type="dxa"/>
            <w:vAlign w:val="bottom"/>
          </w:tcPr>
          <w:p>
            <w:pPr>
              <w:jc w:val="right"/>
              <w:ind w:right="57"/>
              <w:spacing w:after="0"/>
              <w:rPr>
                <w:sz w:val="20"/>
                <w:szCs w:val="20"/>
                <w:color w:val="auto"/>
              </w:rPr>
            </w:pPr>
            <w:r>
              <w:rPr>
                <w:rFonts w:ascii="Arial" w:cs="Arial" w:eastAsia="Arial" w:hAnsi="Arial"/>
                <w:sz w:val="14"/>
                <w:szCs w:val="14"/>
                <w:b w:val="1"/>
                <w:bCs w:val="1"/>
                <w:color w:val="auto"/>
                <w:w w:val="91"/>
              </w:rPr>
              <w:t>Balance at End of</w:t>
            </w:r>
          </w:p>
        </w:tc>
        <w:tc>
          <w:tcPr>
            <w:tcW w:w="0" w:type="dxa"/>
            <w:vAlign w:val="bottom"/>
          </w:tcPr>
          <w:p>
            <w:pPr>
              <w:spacing w:after="0"/>
              <w:rPr>
                <w:sz w:val="1"/>
                <w:szCs w:val="1"/>
                <w:color w:val="auto"/>
              </w:rPr>
            </w:pPr>
          </w:p>
        </w:tc>
      </w:tr>
      <w:tr>
        <w:trPr>
          <w:trHeight w:val="188"/>
        </w:trPr>
        <w:tc>
          <w:tcPr>
            <w:tcW w:w="4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of Period</w:t>
            </w:r>
          </w:p>
        </w:tc>
        <w:tc>
          <w:tcPr>
            <w:tcW w:w="26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Expenses</w:t>
            </w:r>
          </w:p>
        </w:tc>
        <w:tc>
          <w:tcPr>
            <w:tcW w:w="34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offs</w:t>
            </w: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397"/>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70"/>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Valuation Allowance For Deferred Tax Assets:</w:t>
            </w:r>
          </w:p>
        </w:tc>
        <w:tc>
          <w:tcPr>
            <w:tcW w:w="2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Year Ended December 31, 2018</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8,062,975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2,569,175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(752,274)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9,877,617</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2019</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9,877,617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(338,952)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9,828,959</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Year Ended December 31, 2020</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9,828,959</w:t>
            </w:r>
          </w:p>
        </w:tc>
        <w:tc>
          <w:tcPr>
            <w:tcW w:w="10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150,500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(316,474)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9,668,556</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the remeasurement of net deferred tax assets due to changes in statutory tax rates.</w:t>
      </w:r>
    </w:p>
    <w:p>
      <w:pPr>
        <w:spacing w:after="0" w:line="10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All other financial statement schedules have been omitted because they are not applicable or the required information is included in the Consolidated Financial Statements or notes thereto.</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3.</w:t>
            </w:r>
          </w:p>
        </w:tc>
        <w:tc>
          <w:tcPr>
            <w:tcW w:w="5600" w:type="dxa"/>
            <w:vAlign w:val="bottom"/>
            <w:gridSpan w:val="16"/>
          </w:tcPr>
          <w:p>
            <w:pPr>
              <w:ind w:left="80"/>
              <w:spacing w:after="0"/>
              <w:rPr>
                <w:sz w:val="20"/>
                <w:szCs w:val="20"/>
                <w:color w:val="auto"/>
              </w:rPr>
            </w:pPr>
            <w:r>
              <w:rPr>
                <w:rFonts w:ascii="Arial" w:cs="Arial" w:eastAsia="Arial" w:hAnsi="Arial"/>
                <w:sz w:val="18"/>
                <w:szCs w:val="18"/>
                <w:i w:val="1"/>
                <w:iCs w:val="1"/>
                <w:color w:val="auto"/>
              </w:rPr>
              <w:t>Exhibits:</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75"/>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Incorporated by Reference from:</w:t>
            </w: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w w:val="90"/>
              </w:rPr>
              <w:t>Description</w:t>
            </w:r>
          </w:p>
        </w:tc>
        <w:tc>
          <w:tcPr>
            <w:tcW w:w="4660" w:type="dxa"/>
            <w:vAlign w:val="bottom"/>
            <w:gridSpan w:val="14"/>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4"/>
                <w:szCs w:val="14"/>
                <w:b w:val="1"/>
                <w:bCs w:val="1"/>
                <w:color w:val="auto"/>
                <w:w w:val="93"/>
              </w:rPr>
              <w:t>File Number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Filing Type</w:t>
            </w:r>
          </w:p>
        </w:tc>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15"/>
          </w:tcPr>
          <w:p>
            <w:pPr>
              <w:spacing w:after="0"/>
              <w:rPr>
                <w:rFonts w:ascii="Arial" w:cs="Arial" w:eastAsia="Arial" w:hAnsi="Arial"/>
                <w:sz w:val="18"/>
                <w:szCs w:val="18"/>
                <w:color w:val="0000FF"/>
                <w:w w:val="96"/>
              </w:rPr>
            </w:pPr>
            <w:hyperlink r:id="rId90">
              <w:r>
                <w:rPr>
                  <w:rFonts w:ascii="Arial" w:cs="Arial" w:eastAsia="Arial" w:hAnsi="Arial"/>
                  <w:sz w:val="18"/>
                  <w:szCs w:val="18"/>
                  <w:color w:val="0000FF"/>
                  <w:w w:val="96"/>
                </w:rPr>
                <w:t>Agreement and Plan of Merger, dated as of October 19, 2020, by and</w:t>
              </w:r>
            </w:hyperlink>
          </w:p>
        </w:tc>
        <w:tc>
          <w:tcPr>
            <w:tcW w:w="100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3920" w:type="dxa"/>
            <w:vAlign w:val="bottom"/>
            <w:gridSpan w:val="6"/>
          </w:tcPr>
          <w:p>
            <w:pPr>
              <w:ind w:left="140"/>
              <w:spacing w:after="0"/>
              <w:rPr>
                <w:sz w:val="20"/>
                <w:szCs w:val="20"/>
                <w:color w:val="auto"/>
              </w:rPr>
            </w:pPr>
            <w:r>
              <w:rPr>
                <w:rFonts w:ascii="Arial" w:cs="Arial" w:eastAsia="Arial" w:hAnsi="Arial"/>
                <w:sz w:val="18"/>
                <w:szCs w:val="18"/>
                <w:color w:val="auto"/>
              </w:rPr>
              <w:t>Current Report on Form 8- October 19, 2020</w:t>
            </w: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980" w:type="dxa"/>
            <w:vAlign w:val="bottom"/>
            <w:tcBorders>
              <w:top w:val="single" w:sz="8" w:color="0000FF"/>
            </w:tcBorders>
            <w:gridSpan w:val="9"/>
          </w:tcPr>
          <w:p>
            <w:pPr>
              <w:spacing w:after="0" w:line="156" w:lineRule="exact"/>
              <w:rPr>
                <w:rFonts w:ascii="Arial" w:cs="Arial" w:eastAsia="Arial" w:hAnsi="Arial"/>
                <w:sz w:val="18"/>
                <w:szCs w:val="18"/>
                <w:color w:val="0000FF"/>
                <w:w w:val="91"/>
              </w:rPr>
            </w:pPr>
            <w:hyperlink r:id="rId90">
              <w:r>
                <w:rPr>
                  <w:rFonts w:ascii="Arial" w:cs="Arial" w:eastAsia="Arial" w:hAnsi="Arial"/>
                  <w:sz w:val="18"/>
                  <w:szCs w:val="18"/>
                  <w:color w:val="0000FF"/>
                  <w:w w:val="91"/>
                </w:rPr>
                <w:t>among BioSpecifics Technologies Corp., Endo International plc, and</w:t>
              </w:r>
            </w:hyperlink>
          </w:p>
        </w:tc>
        <w:tc>
          <w:tcPr>
            <w:tcW w:w="400" w:type="dxa"/>
            <w:vAlign w:val="bottom"/>
            <w:gridSpan w:val="6"/>
          </w:tcPr>
          <w:p>
            <w:pPr>
              <w:ind w:left="20"/>
              <w:spacing w:after="0" w:line="156" w:lineRule="exact"/>
              <w:rPr>
                <w:rFonts w:ascii="Arial" w:cs="Arial" w:eastAsia="Arial" w:hAnsi="Arial"/>
                <w:sz w:val="18"/>
                <w:szCs w:val="18"/>
                <w:color w:val="0000FF"/>
                <w:w w:val="97"/>
              </w:rPr>
            </w:pPr>
            <w:hyperlink r:id="rId90">
              <w:r>
                <w:rPr>
                  <w:rFonts w:ascii="Arial" w:cs="Arial" w:eastAsia="Arial" w:hAnsi="Arial"/>
                  <w:sz w:val="18"/>
                  <w:szCs w:val="18"/>
                  <w:color w:val="0000FF"/>
                  <w:w w:val="97"/>
                </w:rPr>
                <w:t>Beta</w:t>
              </w:r>
            </w:hyperlink>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4"/>
          </w:tcPr>
          <w:p>
            <w:pPr>
              <w:ind w:left="140"/>
              <w:spacing w:after="0" w:line="156" w:lineRule="exact"/>
              <w:rPr>
                <w:sz w:val="20"/>
                <w:szCs w:val="20"/>
                <w:color w:val="auto"/>
              </w:rPr>
            </w:pPr>
            <w:r>
              <w:rPr>
                <w:rFonts w:ascii="Arial" w:cs="Arial" w:eastAsia="Arial" w:hAnsi="Arial"/>
                <w:sz w:val="18"/>
                <w:szCs w:val="18"/>
                <w:color w:val="auto"/>
              </w:rPr>
              <w:t>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4"/>
              </w:rPr>
            </w:pPr>
            <w:hyperlink r:id="rId90">
              <w:r>
                <w:rPr>
                  <w:rFonts w:ascii="Arial" w:cs="Arial" w:eastAsia="Arial" w:hAnsi="Arial"/>
                  <w:sz w:val="18"/>
                  <w:szCs w:val="18"/>
                  <w:color w:val="0000FF"/>
                  <w:w w:val="94"/>
                </w:rPr>
                <w:t>Acquisition Corp.</w:t>
              </w:r>
            </w:hyperlink>
          </w:p>
        </w:tc>
        <w:tc>
          <w:tcPr>
            <w:tcW w:w="404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10"/>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15"/>
          </w:tcPr>
          <w:p>
            <w:pPr>
              <w:spacing w:after="0"/>
              <w:rPr>
                <w:rFonts w:ascii="Arial" w:cs="Arial" w:eastAsia="Arial" w:hAnsi="Arial"/>
                <w:sz w:val="18"/>
                <w:szCs w:val="18"/>
                <w:color w:val="0000FF"/>
              </w:rPr>
            </w:pPr>
            <w:hyperlink r:id="rId91">
              <w:r>
                <w:rPr>
                  <w:rFonts w:ascii="Arial" w:cs="Arial" w:eastAsia="Arial" w:hAnsi="Arial"/>
                  <w:sz w:val="18"/>
                  <w:szCs w:val="18"/>
                  <w:color w:val="0000FF"/>
                </w:rPr>
                <w:t>Certificate of Incorporation on re-registration as a public limited</w:t>
              </w:r>
            </w:hyperlink>
          </w:p>
        </w:tc>
        <w:tc>
          <w:tcPr>
            <w:tcW w:w="100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3920" w:type="dxa"/>
            <w:vAlign w:val="bottom"/>
            <w:gridSpan w:val="6"/>
          </w:tcPr>
          <w:p>
            <w:pPr>
              <w:ind w:left="140"/>
              <w:spacing w:after="0"/>
              <w:rPr>
                <w:sz w:val="20"/>
                <w:szCs w:val="20"/>
                <w:color w:val="auto"/>
              </w:rPr>
            </w:pPr>
            <w:r>
              <w:rPr>
                <w:rFonts w:ascii="Arial" w:cs="Arial" w:eastAsia="Arial" w:hAnsi="Arial"/>
                <w:sz w:val="18"/>
                <w:szCs w:val="18"/>
                <w:color w:val="auto"/>
              </w:rPr>
              <w:t>Current Report on Form 8- February 28, 2014</w:t>
            </w: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91">
              <w:r>
                <w:rPr>
                  <w:rFonts w:ascii="Arial" w:cs="Arial" w:eastAsia="Arial" w:hAnsi="Arial"/>
                  <w:sz w:val="18"/>
                  <w:szCs w:val="18"/>
                  <w:color w:val="0000FF"/>
                  <w:w w:val="91"/>
                </w:rPr>
                <w:t>company of Endo International plc</w:t>
              </w:r>
            </w:hyperlink>
          </w:p>
        </w:tc>
        <w:tc>
          <w:tcPr>
            <w:tcW w:w="2120" w:type="dxa"/>
            <w:vAlign w:val="bottom"/>
            <w:tcBorders>
              <w:top w:val="single" w:sz="8" w:color="0000FF"/>
            </w:tcBorders>
            <w:gridSpan w:val="2"/>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4"/>
          </w:tcPr>
          <w:p>
            <w:pPr>
              <w:ind w:left="140"/>
              <w:spacing w:after="0" w:line="156" w:lineRule="exact"/>
              <w:rPr>
                <w:sz w:val="20"/>
                <w:szCs w:val="20"/>
                <w:color w:val="auto"/>
              </w:rPr>
            </w:pPr>
            <w:r>
              <w:rPr>
                <w:rFonts w:ascii="Arial" w:cs="Arial" w:eastAsia="Arial" w:hAnsi="Arial"/>
                <w:sz w:val="18"/>
                <w:szCs w:val="18"/>
                <w:color w:val="auto"/>
              </w:rPr>
              <w:t>K12B</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10"/>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15"/>
          </w:tcPr>
          <w:p>
            <w:pPr>
              <w:spacing w:after="0"/>
              <w:rPr>
                <w:rFonts w:ascii="Arial" w:cs="Arial" w:eastAsia="Arial" w:hAnsi="Arial"/>
                <w:sz w:val="18"/>
                <w:szCs w:val="18"/>
                <w:color w:val="0000FF"/>
              </w:rPr>
            </w:pPr>
            <w:hyperlink r:id="rId92">
              <w:r>
                <w:rPr>
                  <w:rFonts w:ascii="Arial" w:cs="Arial" w:eastAsia="Arial" w:hAnsi="Arial"/>
                  <w:sz w:val="18"/>
                  <w:szCs w:val="18"/>
                  <w:color w:val="0000FF"/>
                </w:rPr>
                <w:t>Memorandum and Articles of Association of Endo International plc,</w:t>
              </w:r>
            </w:hyperlink>
          </w:p>
        </w:tc>
        <w:tc>
          <w:tcPr>
            <w:tcW w:w="100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120" w:type="dxa"/>
            <w:vAlign w:val="bottom"/>
            <w:gridSpan w:val="4"/>
          </w:tcPr>
          <w:p>
            <w:pPr>
              <w:ind w:left="140"/>
              <w:spacing w:after="0"/>
              <w:rPr>
                <w:sz w:val="20"/>
                <w:szCs w:val="20"/>
                <w:color w:val="auto"/>
              </w:rPr>
            </w:pPr>
            <w:r>
              <w:rPr>
                <w:rFonts w:ascii="Arial" w:cs="Arial" w:eastAsia="Arial" w:hAnsi="Arial"/>
                <w:sz w:val="18"/>
                <w:szCs w:val="18"/>
                <w:color w:val="auto"/>
                <w:w w:val="95"/>
              </w:rPr>
              <w:t>Quarterly Report on Form</w:t>
            </w:r>
          </w:p>
        </w:tc>
        <w:tc>
          <w:tcPr>
            <w:tcW w:w="1800" w:type="dxa"/>
            <w:vAlign w:val="bottom"/>
            <w:gridSpan w:val="2"/>
          </w:tcPr>
          <w:p>
            <w:pPr>
              <w:spacing w:after="0"/>
              <w:rPr>
                <w:sz w:val="20"/>
                <w:szCs w:val="20"/>
                <w:color w:val="auto"/>
              </w:rPr>
            </w:pPr>
            <w:r>
              <w:rPr>
                <w:rFonts w:ascii="Arial" w:cs="Arial" w:eastAsia="Arial" w:hAnsi="Arial"/>
                <w:sz w:val="18"/>
                <w:szCs w:val="18"/>
                <w:color w:val="auto"/>
              </w:rPr>
              <w:t>August 8, 2017</w:t>
            </w:r>
          </w:p>
        </w:tc>
      </w:tr>
      <w:tr>
        <w:trPr>
          <w:trHeight w:val="195"/>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920" w:type="dxa"/>
            <w:vAlign w:val="bottom"/>
            <w:tcBorders>
              <w:top w:val="single" w:sz="8" w:color="0000FF"/>
            </w:tcBorders>
            <w:gridSpan w:val="7"/>
          </w:tcPr>
          <w:p>
            <w:pPr>
              <w:spacing w:after="0" w:line="195" w:lineRule="exact"/>
              <w:rPr>
                <w:rFonts w:ascii="Arial" w:cs="Arial" w:eastAsia="Arial" w:hAnsi="Arial"/>
                <w:sz w:val="18"/>
                <w:szCs w:val="18"/>
                <w:u w:val="single" w:color="auto"/>
                <w:color w:val="0000FF"/>
                <w:w w:val="93"/>
              </w:rPr>
            </w:pPr>
            <w:hyperlink r:id="rId92">
              <w:r>
                <w:rPr>
                  <w:rFonts w:ascii="Arial" w:cs="Arial" w:eastAsia="Arial" w:hAnsi="Arial"/>
                  <w:sz w:val="18"/>
                  <w:szCs w:val="18"/>
                  <w:u w:val="single" w:color="auto"/>
                  <w:color w:val="0000FF"/>
                  <w:w w:val="93"/>
                </w:rPr>
                <w:t>dated as of October 31, 2013 and as amended as of June 8, 2017</w:t>
              </w:r>
            </w:hyperlink>
          </w:p>
        </w:tc>
        <w:tc>
          <w:tcPr>
            <w:tcW w:w="20" w:type="dxa"/>
            <w:vAlign w:val="bottom"/>
          </w:tcPr>
          <w:p>
            <w:pPr>
              <w:spacing w:after="0"/>
              <w:rPr>
                <w:sz w:val="16"/>
                <w:szCs w:val="16"/>
                <w:color w:val="auto"/>
              </w:rPr>
            </w:pPr>
          </w:p>
        </w:tc>
        <w:tc>
          <w:tcPr>
            <w:tcW w:w="20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4"/>
          </w:tcPr>
          <w:p>
            <w:pPr>
              <w:ind w:left="140"/>
              <w:spacing w:after="0" w:line="195" w:lineRule="exact"/>
              <w:rPr>
                <w:sz w:val="20"/>
                <w:szCs w:val="20"/>
                <w:color w:val="auto"/>
              </w:rPr>
            </w:pPr>
            <w:r>
              <w:rPr>
                <w:rFonts w:ascii="Arial" w:cs="Arial" w:eastAsia="Arial" w:hAnsi="Arial"/>
                <w:sz w:val="18"/>
                <w:szCs w:val="18"/>
                <w:color w:val="auto"/>
              </w:rPr>
              <w:t>10-Q</w:t>
            </w: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0"/>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15"/>
          </w:tcPr>
          <w:p>
            <w:pPr>
              <w:spacing w:after="0"/>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Description of Registrant’s Securities</w:t>
              </w:r>
            </w:hyperlink>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filed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15"/>
          </w:tcPr>
          <w:p>
            <w:pPr>
              <w:spacing w:after="0"/>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Specimen Share Certificate of Endo International plc</w:t>
              </w:r>
            </w:hyperlink>
          </w:p>
        </w:tc>
        <w:tc>
          <w:tcPr>
            <w:tcW w:w="1000" w:type="dxa"/>
            <w:vAlign w:val="bottom"/>
            <w:gridSpan w:val="2"/>
          </w:tcPr>
          <w:p>
            <w:pPr>
              <w:spacing w:after="0"/>
              <w:rPr>
                <w:sz w:val="20"/>
                <w:szCs w:val="20"/>
                <w:color w:val="auto"/>
              </w:rPr>
            </w:pPr>
            <w:r>
              <w:rPr>
                <w:rFonts w:ascii="Arial" w:cs="Arial" w:eastAsia="Arial" w:hAnsi="Arial"/>
                <w:sz w:val="18"/>
                <w:szCs w:val="18"/>
                <w:color w:val="auto"/>
              </w:rPr>
              <w:t>333-194253</w:t>
            </w:r>
          </w:p>
        </w:tc>
        <w:tc>
          <w:tcPr>
            <w:tcW w:w="2120" w:type="dxa"/>
            <w:vAlign w:val="bottom"/>
            <w:gridSpan w:val="4"/>
          </w:tcPr>
          <w:p>
            <w:pPr>
              <w:ind w:left="140"/>
              <w:spacing w:after="0"/>
              <w:rPr>
                <w:sz w:val="20"/>
                <w:szCs w:val="20"/>
                <w:color w:val="auto"/>
              </w:rPr>
            </w:pPr>
            <w:r>
              <w:rPr>
                <w:rFonts w:ascii="Arial" w:cs="Arial" w:eastAsia="Arial" w:hAnsi="Arial"/>
                <w:sz w:val="18"/>
                <w:szCs w:val="18"/>
                <w:color w:val="auto"/>
              </w:rPr>
              <w:t>Form S-8</w:t>
            </w:r>
          </w:p>
        </w:tc>
        <w:tc>
          <w:tcPr>
            <w:tcW w:w="1800" w:type="dxa"/>
            <w:vAlign w:val="bottom"/>
            <w:gridSpan w:val="2"/>
          </w:tcPr>
          <w:p>
            <w:pPr>
              <w:spacing w:after="0"/>
              <w:rPr>
                <w:sz w:val="20"/>
                <w:szCs w:val="20"/>
                <w:color w:val="auto"/>
              </w:rPr>
            </w:pPr>
            <w:r>
              <w:rPr>
                <w:rFonts w:ascii="Arial" w:cs="Arial" w:eastAsia="Arial" w:hAnsi="Arial"/>
                <w:sz w:val="18"/>
                <w:szCs w:val="18"/>
                <w:color w:val="auto"/>
              </w:rPr>
              <w:t>February 28, 2014</w:t>
            </w:r>
          </w:p>
        </w:tc>
      </w:tr>
      <w:tr>
        <w:trPr>
          <w:trHeight w:val="190"/>
        </w:trPr>
        <w:tc>
          <w:tcPr>
            <w:tcW w:w="54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4.3</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80" w:type="dxa"/>
            <w:vAlign w:val="bottom"/>
            <w:gridSpan w:val="15"/>
          </w:tcPr>
          <w:p>
            <w:pPr>
              <w:spacing w:after="0" w:line="190" w:lineRule="exact"/>
              <w:rPr>
                <w:rFonts w:ascii="Arial" w:cs="Arial" w:eastAsia="Arial" w:hAnsi="Arial"/>
                <w:sz w:val="18"/>
                <w:szCs w:val="18"/>
                <w:color w:val="0000FF"/>
                <w:w w:val="98"/>
              </w:rPr>
            </w:pPr>
            <w:hyperlink r:id="rId94">
              <w:r>
                <w:rPr>
                  <w:rFonts w:ascii="Arial" w:cs="Arial" w:eastAsia="Arial" w:hAnsi="Arial"/>
                  <w:sz w:val="18"/>
                  <w:szCs w:val="18"/>
                  <w:color w:val="0000FF"/>
                  <w:w w:val="98"/>
                </w:rPr>
                <w:t>Indenture, dated January 27, 2015, among Endo Designated Activity</w:t>
              </w:r>
            </w:hyperlink>
          </w:p>
        </w:tc>
        <w:tc>
          <w:tcPr>
            <w:tcW w:w="1000" w:type="dxa"/>
            <w:vAlign w:val="bottom"/>
            <w:gridSpan w:val="2"/>
          </w:tcPr>
          <w:p>
            <w:pPr>
              <w:spacing w:after="0" w:line="190" w:lineRule="exact"/>
              <w:rPr>
                <w:sz w:val="20"/>
                <w:szCs w:val="20"/>
                <w:color w:val="auto"/>
              </w:rPr>
            </w:pPr>
            <w:r>
              <w:rPr>
                <w:rFonts w:ascii="Arial" w:cs="Arial" w:eastAsia="Arial" w:hAnsi="Arial"/>
                <w:sz w:val="18"/>
                <w:szCs w:val="18"/>
                <w:color w:val="auto"/>
              </w:rPr>
              <w:t>001-36326</w:t>
            </w:r>
          </w:p>
        </w:tc>
        <w:tc>
          <w:tcPr>
            <w:tcW w:w="3920" w:type="dxa"/>
            <w:vAlign w:val="bottom"/>
            <w:gridSpan w:val="6"/>
          </w:tcPr>
          <w:p>
            <w:pPr>
              <w:ind w:left="140"/>
              <w:spacing w:after="0" w:line="190" w:lineRule="exact"/>
              <w:rPr>
                <w:sz w:val="20"/>
                <w:szCs w:val="20"/>
                <w:color w:val="auto"/>
              </w:rPr>
            </w:pPr>
            <w:r>
              <w:rPr>
                <w:rFonts w:ascii="Arial" w:cs="Arial" w:eastAsia="Arial" w:hAnsi="Arial"/>
                <w:sz w:val="18"/>
                <w:szCs w:val="18"/>
                <w:color w:val="auto"/>
              </w:rPr>
              <w:t>Current Report on Form 8- January 27, 2015</w:t>
            </w: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940" w:type="dxa"/>
            <w:vAlign w:val="bottom"/>
            <w:tcBorders>
              <w:top w:val="single" w:sz="8" w:color="0000FF"/>
            </w:tcBorders>
            <w:gridSpan w:val="8"/>
          </w:tcPr>
          <w:p>
            <w:pPr>
              <w:spacing w:after="0" w:line="156" w:lineRule="exact"/>
              <w:rPr>
                <w:rFonts w:ascii="Arial" w:cs="Arial" w:eastAsia="Arial" w:hAnsi="Arial"/>
                <w:sz w:val="18"/>
                <w:szCs w:val="18"/>
                <w:color w:val="0000FF"/>
                <w:w w:val="92"/>
              </w:rPr>
            </w:pPr>
            <w:hyperlink r:id="rId94">
              <w:r>
                <w:rPr>
                  <w:rFonts w:ascii="Arial" w:cs="Arial" w:eastAsia="Arial" w:hAnsi="Arial"/>
                  <w:sz w:val="18"/>
                  <w:szCs w:val="18"/>
                  <w:color w:val="0000FF"/>
                  <w:w w:val="92"/>
                </w:rPr>
                <w:t>Company (formerly, Endo Limited), Endo Finance LLC, Endo Finco</w:t>
              </w:r>
            </w:hyperlink>
          </w:p>
        </w:tc>
        <w:tc>
          <w:tcPr>
            <w:tcW w:w="440" w:type="dxa"/>
            <w:vAlign w:val="bottom"/>
            <w:gridSpan w:val="7"/>
          </w:tcPr>
          <w:p>
            <w:pPr>
              <w:ind w:left="60"/>
              <w:spacing w:after="0" w:line="156" w:lineRule="exact"/>
              <w:rPr>
                <w:rFonts w:ascii="Arial" w:cs="Arial" w:eastAsia="Arial" w:hAnsi="Arial"/>
                <w:sz w:val="18"/>
                <w:szCs w:val="18"/>
                <w:color w:val="0000FF"/>
              </w:rPr>
            </w:pPr>
            <w:hyperlink r:id="rId94">
              <w:r>
                <w:rPr>
                  <w:rFonts w:ascii="Arial" w:cs="Arial" w:eastAsia="Arial" w:hAnsi="Arial"/>
                  <w:sz w:val="18"/>
                  <w:szCs w:val="18"/>
                  <w:color w:val="0000FF"/>
                </w:rPr>
                <w:t>Inc.,</w:t>
              </w:r>
            </w:hyperlink>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4"/>
          </w:tcPr>
          <w:p>
            <w:pPr>
              <w:ind w:left="140"/>
              <w:spacing w:after="0" w:line="156" w:lineRule="exact"/>
              <w:rPr>
                <w:sz w:val="20"/>
                <w:szCs w:val="20"/>
                <w:color w:val="auto"/>
              </w:rPr>
            </w:pPr>
            <w:r>
              <w:rPr>
                <w:rFonts w:ascii="Arial" w:cs="Arial" w:eastAsia="Arial" w:hAnsi="Arial"/>
                <w:sz w:val="18"/>
                <w:szCs w:val="18"/>
                <w:color w:val="auto"/>
              </w:rPr>
              <w:t>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3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94">
              <w:r>
                <w:rPr>
                  <w:rFonts w:ascii="Arial" w:cs="Arial" w:eastAsia="Arial" w:hAnsi="Arial"/>
                  <w:sz w:val="18"/>
                  <w:szCs w:val="18"/>
                  <w:color w:val="0000FF"/>
                </w:rPr>
                <w:t>the guarantors named therein and Wells Fargo Bank, National</w:t>
              </w:r>
            </w:hyperlink>
          </w:p>
        </w:tc>
        <w:tc>
          <w:tcPr>
            <w:tcW w:w="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40" w:type="dxa"/>
            <w:vAlign w:val="bottom"/>
            <w:tcBorders>
              <w:top w:val="single" w:sz="8" w:color="0000FF"/>
            </w:tcBorders>
            <w:gridSpan w:val="4"/>
          </w:tcPr>
          <w:p>
            <w:pPr>
              <w:spacing w:after="0" w:line="156" w:lineRule="exact"/>
              <w:rPr>
                <w:rFonts w:ascii="Arial" w:cs="Arial" w:eastAsia="Arial" w:hAnsi="Arial"/>
                <w:sz w:val="18"/>
                <w:szCs w:val="18"/>
                <w:color w:val="0000FF"/>
                <w:w w:val="88"/>
              </w:rPr>
            </w:pPr>
            <w:hyperlink r:id="rId94">
              <w:r>
                <w:rPr>
                  <w:rFonts w:ascii="Arial" w:cs="Arial" w:eastAsia="Arial" w:hAnsi="Arial"/>
                  <w:sz w:val="18"/>
                  <w:szCs w:val="18"/>
                  <w:color w:val="0000FF"/>
                  <w:w w:val="88"/>
                </w:rPr>
                <w:t>Association, as trustee, relating to the 6.00% Senior Notes due</w:t>
              </w:r>
            </w:hyperlink>
          </w:p>
        </w:tc>
        <w:tc>
          <w:tcPr>
            <w:tcW w:w="700" w:type="dxa"/>
            <w:vAlign w:val="bottom"/>
            <w:gridSpan w:val="6"/>
          </w:tcPr>
          <w:p>
            <w:pPr>
              <w:jc w:val="right"/>
              <w:ind w:right="150"/>
              <w:spacing w:after="0" w:line="156" w:lineRule="exact"/>
              <w:rPr>
                <w:rFonts w:ascii="Arial" w:cs="Arial" w:eastAsia="Arial" w:hAnsi="Arial"/>
                <w:sz w:val="18"/>
                <w:szCs w:val="18"/>
                <w:color w:val="0000FF"/>
              </w:rPr>
            </w:pPr>
            <w:hyperlink r:id="rId94">
              <w:r>
                <w:rPr>
                  <w:rFonts w:ascii="Arial" w:cs="Arial" w:eastAsia="Arial" w:hAnsi="Arial"/>
                  <w:sz w:val="18"/>
                  <w:szCs w:val="18"/>
                  <w:color w:val="0000FF"/>
                </w:rPr>
                <w:t>2025</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900" w:type="dxa"/>
            <w:vAlign w:val="bottom"/>
            <w:tcBorders>
              <w:top w:val="single" w:sz="8" w:color="0000FF"/>
            </w:tcBorders>
            <w:gridSpan w:val="6"/>
          </w:tcPr>
          <w:p>
            <w:pPr>
              <w:spacing w:after="0" w:line="142" w:lineRule="exact"/>
              <w:rPr>
                <w:rFonts w:ascii="Arial" w:cs="Arial" w:eastAsia="Arial" w:hAnsi="Arial"/>
                <w:sz w:val="16"/>
                <w:szCs w:val="16"/>
                <w:u w:val="single" w:color="auto"/>
                <w:color w:val="0000FF"/>
              </w:rPr>
            </w:pPr>
            <w:hyperlink r:id="rId94">
              <w:r>
                <w:rPr>
                  <w:rFonts w:ascii="Arial" w:cs="Arial" w:eastAsia="Arial" w:hAnsi="Arial"/>
                  <w:sz w:val="16"/>
                  <w:szCs w:val="16"/>
                  <w:u w:val="single" w:color="auto"/>
                  <w:color w:val="0000FF"/>
                </w:rPr>
                <w:t>(including Form of 6.00% Senior Notes due 2025 and Form of</w:t>
              </w:r>
            </w:hyperlink>
          </w:p>
        </w:tc>
        <w:tc>
          <w:tcPr>
            <w:tcW w:w="24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15"/>
          </w:tcPr>
          <w:p>
            <w:pPr>
              <w:spacing w:after="0"/>
              <w:rPr>
                <w:rFonts w:ascii="Arial" w:cs="Arial" w:eastAsia="Arial" w:hAnsi="Arial"/>
                <w:sz w:val="18"/>
                <w:szCs w:val="18"/>
                <w:u w:val="single" w:color="auto"/>
                <w:color w:val="0000FF"/>
                <w:w w:val="96"/>
              </w:rPr>
            </w:pPr>
            <w:hyperlink r:id="rId94">
              <w:r>
                <w:rPr>
                  <w:rFonts w:ascii="Arial" w:cs="Arial" w:eastAsia="Arial" w:hAnsi="Arial"/>
                  <w:sz w:val="18"/>
                  <w:szCs w:val="18"/>
                  <w:u w:val="single" w:color="auto"/>
                  <w:color w:val="0000FF"/>
                  <w:w w:val="96"/>
                </w:rPr>
                <w:t>Supplemental Indenture relating to the 6.00% Senior Notes due 2025)</w:t>
              </w:r>
            </w:hyperlink>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90"/>
        </w:trPr>
        <w:tc>
          <w:tcPr>
            <w:tcW w:w="54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4.3.1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80" w:type="dxa"/>
            <w:vAlign w:val="bottom"/>
            <w:gridSpan w:val="15"/>
          </w:tcPr>
          <w:p>
            <w:pPr>
              <w:spacing w:after="0" w:line="190" w:lineRule="exact"/>
              <w:rPr>
                <w:rFonts w:ascii="Arial" w:cs="Arial" w:eastAsia="Arial" w:hAnsi="Arial"/>
                <w:sz w:val="18"/>
                <w:szCs w:val="18"/>
                <w:color w:val="0000FF"/>
                <w:w w:val="91"/>
              </w:rPr>
            </w:pPr>
            <w:hyperlink r:id="rId95">
              <w:r>
                <w:rPr>
                  <w:rFonts w:ascii="Arial" w:cs="Arial" w:eastAsia="Arial" w:hAnsi="Arial"/>
                  <w:sz w:val="18"/>
                  <w:szCs w:val="18"/>
                  <w:color w:val="0000FF"/>
                  <w:w w:val="91"/>
                </w:rPr>
                <w:t>Supplemental Indenture, dated March 27, 2015, among Endo Designated</w:t>
              </w:r>
            </w:hyperlink>
          </w:p>
        </w:tc>
        <w:tc>
          <w:tcPr>
            <w:tcW w:w="1000" w:type="dxa"/>
            <w:vAlign w:val="bottom"/>
            <w:gridSpan w:val="2"/>
          </w:tcPr>
          <w:p>
            <w:pPr>
              <w:spacing w:after="0" w:line="190" w:lineRule="exact"/>
              <w:rPr>
                <w:sz w:val="20"/>
                <w:szCs w:val="20"/>
                <w:color w:val="auto"/>
              </w:rPr>
            </w:pPr>
            <w:r>
              <w:rPr>
                <w:rFonts w:ascii="Arial" w:cs="Arial" w:eastAsia="Arial" w:hAnsi="Arial"/>
                <w:sz w:val="18"/>
                <w:szCs w:val="18"/>
                <w:color w:val="auto"/>
              </w:rPr>
              <w:t>001-36326</w:t>
            </w:r>
          </w:p>
        </w:tc>
        <w:tc>
          <w:tcPr>
            <w:tcW w:w="2120" w:type="dxa"/>
            <w:vAlign w:val="bottom"/>
            <w:gridSpan w:val="4"/>
          </w:tcPr>
          <w:p>
            <w:pPr>
              <w:ind w:left="140"/>
              <w:spacing w:after="0" w:line="190" w:lineRule="exact"/>
              <w:rPr>
                <w:sz w:val="20"/>
                <w:szCs w:val="20"/>
                <w:color w:val="auto"/>
              </w:rPr>
            </w:pPr>
            <w:r>
              <w:rPr>
                <w:rFonts w:ascii="Arial" w:cs="Arial" w:eastAsia="Arial" w:hAnsi="Arial"/>
                <w:sz w:val="18"/>
                <w:szCs w:val="18"/>
                <w:color w:val="auto"/>
              </w:rPr>
              <w:t>Annual Report on Form</w:t>
            </w:r>
          </w:p>
        </w:tc>
        <w:tc>
          <w:tcPr>
            <w:tcW w:w="1800" w:type="dxa"/>
            <w:vAlign w:val="bottom"/>
            <w:gridSpan w:val="2"/>
          </w:tcPr>
          <w:p>
            <w:pPr>
              <w:spacing w:after="0" w:line="190" w:lineRule="exact"/>
              <w:rPr>
                <w:sz w:val="20"/>
                <w:szCs w:val="20"/>
                <w:color w:val="auto"/>
              </w:rPr>
            </w:pPr>
            <w:r>
              <w:rPr>
                <w:rFonts w:ascii="Arial" w:cs="Arial" w:eastAsia="Arial" w:hAnsi="Arial"/>
                <w:sz w:val="18"/>
                <w:szCs w:val="18"/>
                <w:color w:val="auto"/>
              </w:rPr>
              <w:t>February 29, 2016</w:t>
            </w: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60" w:type="dxa"/>
            <w:vAlign w:val="bottom"/>
            <w:tcBorders>
              <w:top w:val="single" w:sz="8" w:color="0000FF"/>
            </w:tcBorders>
            <w:gridSpan w:val="11"/>
          </w:tcPr>
          <w:p>
            <w:pPr>
              <w:spacing w:after="0" w:line="156" w:lineRule="exact"/>
              <w:rPr>
                <w:rFonts w:ascii="Arial" w:cs="Arial" w:eastAsia="Arial" w:hAnsi="Arial"/>
                <w:sz w:val="18"/>
                <w:szCs w:val="18"/>
                <w:color w:val="0000FF"/>
                <w:w w:val="95"/>
              </w:rPr>
            </w:pPr>
            <w:hyperlink r:id="rId95">
              <w:r>
                <w:rPr>
                  <w:rFonts w:ascii="Arial" w:cs="Arial" w:eastAsia="Arial" w:hAnsi="Arial"/>
                  <w:sz w:val="18"/>
                  <w:szCs w:val="18"/>
                  <w:color w:val="0000FF"/>
                  <w:w w:val="95"/>
                </w:rPr>
                <w:t>Activity Company (formerly, Endo Limited), Endo Finance LLC, Endo</w:t>
              </w:r>
            </w:hyperlink>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4"/>
          </w:tcPr>
          <w:p>
            <w:pPr>
              <w:ind w:left="140"/>
              <w:spacing w:after="0" w:line="156" w:lineRule="exact"/>
              <w:rPr>
                <w:sz w:val="20"/>
                <w:szCs w:val="20"/>
                <w:color w:val="auto"/>
              </w:rPr>
            </w:pPr>
            <w:r>
              <w:rPr>
                <w:rFonts w:ascii="Arial" w:cs="Arial" w:eastAsia="Arial" w:hAnsi="Arial"/>
                <w:sz w:val="18"/>
                <w:szCs w:val="18"/>
                <w:color w:val="auto"/>
              </w:rPr>
              <w:t>10-K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7"/>
              </w:rPr>
            </w:pPr>
            <w:hyperlink r:id="rId95">
              <w:r>
                <w:rPr>
                  <w:rFonts w:ascii="Arial" w:cs="Arial" w:eastAsia="Arial" w:hAnsi="Arial"/>
                  <w:sz w:val="18"/>
                  <w:szCs w:val="18"/>
                  <w:color w:val="0000FF"/>
                  <w:w w:val="87"/>
                </w:rPr>
                <w:t>Finco Inc., the guarantors named therein and Wells Fargo Bank, National</w:t>
              </w:r>
            </w:hyperlink>
          </w:p>
        </w:tc>
        <w:tc>
          <w:tcPr>
            <w:tcW w:w="140" w:type="dxa"/>
            <w:vAlign w:val="bottom"/>
            <w:tcBorders>
              <w:bottom w:val="single" w:sz="8" w:color="0000FF"/>
            </w:tcBorders>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24"/>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80" w:type="dxa"/>
            <w:vAlign w:val="bottom"/>
            <w:gridSpan w:val="12"/>
          </w:tcPr>
          <w:p>
            <w:pPr>
              <w:spacing w:after="0"/>
              <w:rPr>
                <w:rFonts w:ascii="Arial" w:cs="Arial" w:eastAsia="Arial" w:hAnsi="Arial"/>
                <w:sz w:val="18"/>
                <w:szCs w:val="18"/>
                <w:u w:val="single" w:color="auto"/>
                <w:color w:val="0000FF"/>
              </w:rPr>
            </w:pPr>
            <w:hyperlink r:id="rId95">
              <w:r>
                <w:rPr>
                  <w:rFonts w:ascii="Arial" w:cs="Arial" w:eastAsia="Arial" w:hAnsi="Arial"/>
                  <w:sz w:val="18"/>
                  <w:szCs w:val="18"/>
                  <w:u w:val="single" w:color="auto"/>
                  <w:color w:val="0000FF"/>
                </w:rPr>
                <w:t>Association, as trustee, to the Indenture, dated January 27, 2015</w:t>
              </w:r>
            </w:hyperlink>
          </w:p>
        </w:tc>
        <w:tc>
          <w:tcPr>
            <w:tcW w:w="100" w:type="dxa"/>
            <w:vAlign w:val="bottom"/>
            <w:gridSpan w:val="3"/>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71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20" w:type="dxa"/>
            <w:vAlign w:val="bottom"/>
            <w:gridSpan w:val="7"/>
          </w:tcPr>
          <w:p>
            <w:pPr>
              <w:jc w:val="right"/>
              <w:ind w:right="12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86"/>
        </w:trPr>
        <w:tc>
          <w:tcPr>
            <w:tcW w:w="6320" w:type="dxa"/>
            <w:vAlign w:val="bottom"/>
            <w:gridSpan w:val="29"/>
          </w:tcPr>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66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Incorporated by Reference from:</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0"/>
              </w:rPr>
              <w:t>Description</w:t>
            </w:r>
          </w:p>
        </w:tc>
        <w:tc>
          <w:tcPr>
            <w:tcW w:w="4660" w:type="dxa"/>
            <w:vAlign w:val="bottom"/>
            <w:gridSpan w:val="24"/>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4"/>
                <w:szCs w:val="14"/>
                <w:b w:val="1"/>
                <w:bCs w:val="1"/>
                <w:color w:val="auto"/>
                <w:w w:val="93"/>
              </w:rPr>
              <w:t>File Number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Filing Type</w:t>
            </w:r>
          </w:p>
        </w:tc>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4.3.2</w:t>
            </w:r>
          </w:p>
        </w:tc>
        <w:tc>
          <w:tcPr>
            <w:tcW w:w="400" w:type="dxa"/>
            <w:vAlign w:val="bottom"/>
          </w:tcPr>
          <w:p>
            <w:pPr>
              <w:spacing w:after="0"/>
              <w:rPr>
                <w:sz w:val="18"/>
                <w:szCs w:val="18"/>
                <w:color w:val="auto"/>
              </w:rPr>
            </w:pPr>
          </w:p>
        </w:tc>
        <w:tc>
          <w:tcPr>
            <w:tcW w:w="5380" w:type="dxa"/>
            <w:vAlign w:val="bottom"/>
            <w:gridSpan w:val="26"/>
          </w:tcPr>
          <w:p>
            <w:pPr>
              <w:spacing w:after="0"/>
              <w:rPr>
                <w:rFonts w:ascii="Arial" w:cs="Arial" w:eastAsia="Arial" w:hAnsi="Arial"/>
                <w:sz w:val="18"/>
                <w:szCs w:val="18"/>
                <w:color w:val="0000FF"/>
              </w:rPr>
            </w:pPr>
            <w:hyperlink r:id="rId98">
              <w:r>
                <w:rPr>
                  <w:rFonts w:ascii="Arial" w:cs="Arial" w:eastAsia="Arial" w:hAnsi="Arial"/>
                  <w:sz w:val="18"/>
                  <w:szCs w:val="18"/>
                  <w:color w:val="0000FF"/>
                </w:rPr>
                <w:t>Supplemental Indenture, dated as of May 28, 2020, among Endo</w:t>
              </w:r>
            </w:hyperlink>
          </w:p>
        </w:tc>
        <w:tc>
          <w:tcPr>
            <w:tcW w:w="100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3920" w:type="dxa"/>
            <w:vAlign w:val="bottom"/>
            <w:gridSpan w:val="6"/>
          </w:tcPr>
          <w:p>
            <w:pPr>
              <w:ind w:left="140"/>
              <w:spacing w:after="0"/>
              <w:rPr>
                <w:sz w:val="20"/>
                <w:szCs w:val="20"/>
                <w:color w:val="auto"/>
              </w:rPr>
            </w:pPr>
            <w:r>
              <w:rPr>
                <w:rFonts w:ascii="Arial" w:cs="Arial" w:eastAsia="Arial" w:hAnsi="Arial"/>
                <w:sz w:val="18"/>
                <w:szCs w:val="18"/>
                <w:color w:val="auto"/>
              </w:rPr>
              <w:t>Current Report on Form 8- June 16, 2020</w:t>
            </w: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60" w:type="dxa"/>
            <w:vAlign w:val="bottom"/>
            <w:tcBorders>
              <w:top w:val="single" w:sz="8" w:color="0000FF"/>
            </w:tcBorders>
            <w:gridSpan w:val="5"/>
          </w:tcPr>
          <w:p>
            <w:pPr>
              <w:spacing w:after="0" w:line="156" w:lineRule="exact"/>
              <w:rPr>
                <w:rFonts w:ascii="Arial" w:cs="Arial" w:eastAsia="Arial" w:hAnsi="Arial"/>
                <w:sz w:val="18"/>
                <w:szCs w:val="18"/>
                <w:color w:val="0000FF"/>
                <w:w w:val="93"/>
              </w:rPr>
            </w:pPr>
            <w:hyperlink r:id="rId98">
              <w:r>
                <w:rPr>
                  <w:rFonts w:ascii="Arial" w:cs="Arial" w:eastAsia="Arial" w:hAnsi="Arial"/>
                  <w:sz w:val="18"/>
                  <w:szCs w:val="18"/>
                  <w:color w:val="0000FF"/>
                  <w:w w:val="93"/>
                </w:rPr>
                <w:t>Designated Activity Company, Endo Finance LLC, Endo Finco</w:t>
              </w:r>
            </w:hyperlink>
          </w:p>
        </w:tc>
        <w:tc>
          <w:tcPr>
            <w:tcW w:w="720" w:type="dxa"/>
            <w:vAlign w:val="bottom"/>
            <w:gridSpan w:val="21"/>
          </w:tcPr>
          <w:p>
            <w:pPr>
              <w:jc w:val="right"/>
              <w:ind w:right="180"/>
              <w:spacing w:after="0" w:line="156" w:lineRule="exact"/>
              <w:rPr>
                <w:rFonts w:ascii="Arial" w:cs="Arial" w:eastAsia="Arial" w:hAnsi="Arial"/>
                <w:sz w:val="18"/>
                <w:szCs w:val="18"/>
                <w:color w:val="0000FF"/>
                <w:w w:val="81"/>
              </w:rPr>
            </w:pPr>
            <w:hyperlink r:id="rId98">
              <w:r>
                <w:rPr>
                  <w:rFonts w:ascii="Arial" w:cs="Arial" w:eastAsia="Arial" w:hAnsi="Arial"/>
                  <w:sz w:val="18"/>
                  <w:szCs w:val="18"/>
                  <w:color w:val="0000FF"/>
                  <w:w w:val="81"/>
                </w:rPr>
                <w:t>Inc., the</w:t>
              </w:r>
            </w:hyperlink>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4"/>
          </w:tcPr>
          <w:p>
            <w:pPr>
              <w:ind w:left="140"/>
              <w:spacing w:after="0" w:line="156" w:lineRule="exact"/>
              <w:rPr>
                <w:sz w:val="20"/>
                <w:szCs w:val="20"/>
                <w:color w:val="auto"/>
              </w:rPr>
            </w:pPr>
            <w:r>
              <w:rPr>
                <w:rFonts w:ascii="Arial" w:cs="Arial" w:eastAsia="Arial" w:hAnsi="Arial"/>
                <w:sz w:val="18"/>
                <w:szCs w:val="18"/>
                <w:color w:val="auto"/>
              </w:rPr>
              <w:t>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20" w:type="dxa"/>
            <w:vAlign w:val="bottom"/>
            <w:tcBorders>
              <w:top w:val="single" w:sz="8" w:color="0000FF"/>
            </w:tcBorders>
            <w:gridSpan w:val="18"/>
          </w:tcPr>
          <w:p>
            <w:pPr>
              <w:spacing w:after="0" w:line="156" w:lineRule="exact"/>
              <w:rPr>
                <w:rFonts w:ascii="Arial" w:cs="Arial" w:eastAsia="Arial" w:hAnsi="Arial"/>
                <w:sz w:val="18"/>
                <w:szCs w:val="18"/>
                <w:color w:val="0000FF"/>
                <w:w w:val="91"/>
              </w:rPr>
            </w:pPr>
            <w:hyperlink r:id="rId98">
              <w:r>
                <w:rPr>
                  <w:rFonts w:ascii="Arial" w:cs="Arial" w:eastAsia="Arial" w:hAnsi="Arial"/>
                  <w:sz w:val="18"/>
                  <w:szCs w:val="18"/>
                  <w:color w:val="0000FF"/>
                  <w:w w:val="91"/>
                </w:rPr>
                <w:t>guarantors named therein and Wells Fargo Bank, National Association,</w:t>
              </w:r>
            </w:hyperlink>
          </w:p>
        </w:tc>
        <w:tc>
          <w:tcPr>
            <w:tcW w:w="160" w:type="dxa"/>
            <w:vAlign w:val="bottom"/>
            <w:gridSpan w:val="8"/>
          </w:tcPr>
          <w:p>
            <w:pPr>
              <w:spacing w:after="0" w:line="156" w:lineRule="exact"/>
              <w:rPr>
                <w:rFonts w:ascii="Arial" w:cs="Arial" w:eastAsia="Arial" w:hAnsi="Arial"/>
                <w:sz w:val="18"/>
                <w:szCs w:val="18"/>
                <w:color w:val="0000FF"/>
                <w:w w:val="73"/>
              </w:rPr>
            </w:pPr>
            <w:hyperlink r:id="rId98">
              <w:r>
                <w:rPr>
                  <w:rFonts w:ascii="Arial" w:cs="Arial" w:eastAsia="Arial" w:hAnsi="Arial"/>
                  <w:sz w:val="18"/>
                  <w:szCs w:val="18"/>
                  <w:color w:val="0000FF"/>
                  <w:w w:val="73"/>
                </w:rPr>
                <w:t>as</w:t>
              </w:r>
            </w:hyperlink>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20" w:type="dxa"/>
            <w:vAlign w:val="bottom"/>
            <w:tcBorders>
              <w:top w:val="single" w:sz="8" w:color="0000FF"/>
            </w:tcBorders>
            <w:gridSpan w:val="23"/>
          </w:tcPr>
          <w:p>
            <w:pPr>
              <w:spacing w:after="0" w:line="156" w:lineRule="exact"/>
              <w:rPr>
                <w:rFonts w:ascii="Arial" w:cs="Arial" w:eastAsia="Arial" w:hAnsi="Arial"/>
                <w:sz w:val="18"/>
                <w:szCs w:val="18"/>
                <w:color w:val="0000FF"/>
                <w:w w:val="96"/>
              </w:rPr>
            </w:pPr>
            <w:hyperlink r:id="rId98">
              <w:r>
                <w:rPr>
                  <w:rFonts w:ascii="Arial" w:cs="Arial" w:eastAsia="Arial" w:hAnsi="Arial"/>
                  <w:sz w:val="18"/>
                  <w:szCs w:val="18"/>
                  <w:color w:val="0000FF"/>
                  <w:w w:val="96"/>
                </w:rPr>
                <w:t>trustee, to the Indenture, dated as of January 27, 2015, among Endo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80" w:type="dxa"/>
            <w:vAlign w:val="bottom"/>
            <w:tcBorders>
              <w:top w:val="single" w:sz="8" w:color="0000FF"/>
            </w:tcBorders>
            <w:gridSpan w:val="8"/>
          </w:tcPr>
          <w:p>
            <w:pPr>
              <w:spacing w:after="0" w:line="156" w:lineRule="exact"/>
              <w:rPr>
                <w:rFonts w:ascii="Arial" w:cs="Arial" w:eastAsia="Arial" w:hAnsi="Arial"/>
                <w:sz w:val="18"/>
                <w:szCs w:val="18"/>
                <w:color w:val="0000FF"/>
                <w:w w:val="90"/>
              </w:rPr>
            </w:pPr>
            <w:hyperlink r:id="rId98">
              <w:r>
                <w:rPr>
                  <w:rFonts w:ascii="Arial" w:cs="Arial" w:eastAsia="Arial" w:hAnsi="Arial"/>
                  <w:sz w:val="18"/>
                  <w:szCs w:val="18"/>
                  <w:color w:val="0000FF"/>
                  <w:w w:val="90"/>
                </w:rPr>
                <w:t>Designated Activity Company, Endo Finance LLC, Endo Finco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14"/>
          </w:tcPr>
          <w:p>
            <w:pPr>
              <w:jc w:val="right"/>
              <w:ind w:right="180"/>
              <w:spacing w:after="0" w:line="156" w:lineRule="exact"/>
              <w:rPr>
                <w:rFonts w:ascii="Arial" w:cs="Arial" w:eastAsia="Arial" w:hAnsi="Arial"/>
                <w:sz w:val="18"/>
                <w:szCs w:val="18"/>
                <w:color w:val="0000FF"/>
                <w:w w:val="87"/>
              </w:rPr>
            </w:pPr>
            <w:hyperlink r:id="rId98">
              <w:r>
                <w:rPr>
                  <w:rFonts w:ascii="Arial" w:cs="Arial" w:eastAsia="Arial" w:hAnsi="Arial"/>
                  <w:sz w:val="18"/>
                  <w:szCs w:val="18"/>
                  <w:color w:val="0000FF"/>
                  <w:w w:val="87"/>
                </w:rPr>
                <w:t>the</w:t>
              </w:r>
            </w:hyperlink>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20" w:type="dxa"/>
            <w:vAlign w:val="bottom"/>
            <w:tcBorders>
              <w:top w:val="single" w:sz="8" w:color="0000FF"/>
            </w:tcBorders>
            <w:gridSpan w:val="18"/>
          </w:tcPr>
          <w:p>
            <w:pPr>
              <w:spacing w:after="0" w:line="142" w:lineRule="exact"/>
              <w:rPr>
                <w:rFonts w:ascii="Arial" w:cs="Arial" w:eastAsia="Arial" w:hAnsi="Arial"/>
                <w:sz w:val="16"/>
                <w:szCs w:val="16"/>
                <w:u w:val="single" w:color="auto"/>
                <w:color w:val="0000FF"/>
              </w:rPr>
            </w:pPr>
            <w:hyperlink r:id="rId98">
              <w:r>
                <w:rPr>
                  <w:rFonts w:ascii="Arial" w:cs="Arial" w:eastAsia="Arial" w:hAnsi="Arial"/>
                  <w:sz w:val="16"/>
                  <w:szCs w:val="16"/>
                  <w:u w:val="single" w:color="auto"/>
                  <w:color w:val="0000FF"/>
                </w:rPr>
                <w:t>guarantors named therein and Wells Fargo Bank, National Association,</w:t>
              </w:r>
            </w:hyperlink>
          </w:p>
        </w:tc>
        <w:tc>
          <w:tcPr>
            <w:tcW w:w="160" w:type="dxa"/>
            <w:vAlign w:val="bottom"/>
            <w:gridSpan w:val="8"/>
          </w:tcPr>
          <w:p>
            <w:pPr>
              <w:spacing w:after="0" w:line="142" w:lineRule="exact"/>
              <w:rPr>
                <w:rFonts w:ascii="Arial" w:cs="Arial" w:eastAsia="Arial" w:hAnsi="Arial"/>
                <w:sz w:val="16"/>
                <w:szCs w:val="16"/>
                <w:u w:val="single" w:color="auto"/>
                <w:color w:val="0000FF"/>
                <w:w w:val="82"/>
              </w:rPr>
            </w:pPr>
            <w:hyperlink r:id="rId98">
              <w:r>
                <w:rPr>
                  <w:rFonts w:ascii="Arial" w:cs="Arial" w:eastAsia="Arial" w:hAnsi="Arial"/>
                  <w:sz w:val="16"/>
                  <w:szCs w:val="16"/>
                  <w:u w:val="single" w:color="auto"/>
                  <w:color w:val="0000FF"/>
                  <w:w w:val="82"/>
                </w:rPr>
                <w:t>as</w:t>
              </w:r>
            </w:hyperlink>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80" w:type="dxa"/>
            <w:vAlign w:val="bottom"/>
            <w:gridSpan w:val="26"/>
          </w:tcPr>
          <w:p>
            <w:pPr>
              <w:spacing w:after="0"/>
              <w:rPr>
                <w:rFonts w:ascii="Arial" w:cs="Arial" w:eastAsia="Arial" w:hAnsi="Arial"/>
                <w:sz w:val="18"/>
                <w:szCs w:val="18"/>
                <w:u w:val="single" w:color="auto"/>
                <w:color w:val="0000FF"/>
              </w:rPr>
            </w:pPr>
            <w:hyperlink r:id="rId98">
              <w:r>
                <w:rPr>
                  <w:rFonts w:ascii="Arial" w:cs="Arial" w:eastAsia="Arial" w:hAnsi="Arial"/>
                  <w:sz w:val="18"/>
                  <w:szCs w:val="18"/>
                  <w:u w:val="single" w:color="auto"/>
                  <w:color w:val="0000FF"/>
                </w:rPr>
                <w:t>trustee, relating to the 6.000% Senior Notes due 2025</w:t>
              </w:r>
            </w:hyperlink>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90"/>
        </w:trPr>
        <w:tc>
          <w:tcPr>
            <w:tcW w:w="54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4.4</w:t>
            </w:r>
          </w:p>
        </w:tc>
        <w:tc>
          <w:tcPr>
            <w:tcW w:w="400" w:type="dxa"/>
            <w:vAlign w:val="bottom"/>
          </w:tcPr>
          <w:p>
            <w:pPr>
              <w:spacing w:after="0"/>
              <w:rPr>
                <w:sz w:val="16"/>
                <w:szCs w:val="16"/>
                <w:color w:val="auto"/>
              </w:rPr>
            </w:pPr>
          </w:p>
        </w:tc>
        <w:tc>
          <w:tcPr>
            <w:tcW w:w="5380" w:type="dxa"/>
            <w:vAlign w:val="bottom"/>
            <w:gridSpan w:val="26"/>
          </w:tcPr>
          <w:p>
            <w:pPr>
              <w:spacing w:after="0" w:line="190" w:lineRule="exact"/>
              <w:rPr>
                <w:rFonts w:ascii="Arial" w:cs="Arial" w:eastAsia="Arial" w:hAnsi="Arial"/>
                <w:sz w:val="18"/>
                <w:szCs w:val="18"/>
                <w:color w:val="0000FF"/>
                <w:w w:val="94"/>
              </w:rPr>
            </w:pPr>
            <w:hyperlink r:id="rId99">
              <w:r>
                <w:rPr>
                  <w:rFonts w:ascii="Arial" w:cs="Arial" w:eastAsia="Arial" w:hAnsi="Arial"/>
                  <w:sz w:val="18"/>
                  <w:szCs w:val="18"/>
                  <w:color w:val="0000FF"/>
                  <w:w w:val="94"/>
                </w:rPr>
                <w:t>Registration Rights Agreement, dated January 27, 2015, by and among</w:t>
              </w:r>
            </w:hyperlink>
          </w:p>
        </w:tc>
        <w:tc>
          <w:tcPr>
            <w:tcW w:w="1000" w:type="dxa"/>
            <w:vAlign w:val="bottom"/>
            <w:gridSpan w:val="2"/>
          </w:tcPr>
          <w:p>
            <w:pPr>
              <w:spacing w:after="0" w:line="190" w:lineRule="exact"/>
              <w:rPr>
                <w:sz w:val="20"/>
                <w:szCs w:val="20"/>
                <w:color w:val="auto"/>
              </w:rPr>
            </w:pPr>
            <w:r>
              <w:rPr>
                <w:rFonts w:ascii="Arial" w:cs="Arial" w:eastAsia="Arial" w:hAnsi="Arial"/>
                <w:sz w:val="18"/>
                <w:szCs w:val="18"/>
                <w:color w:val="auto"/>
              </w:rPr>
              <w:t>001-36326</w:t>
            </w:r>
          </w:p>
        </w:tc>
        <w:tc>
          <w:tcPr>
            <w:tcW w:w="3920" w:type="dxa"/>
            <w:vAlign w:val="bottom"/>
            <w:gridSpan w:val="6"/>
          </w:tcPr>
          <w:p>
            <w:pPr>
              <w:ind w:left="140"/>
              <w:spacing w:after="0" w:line="190" w:lineRule="exact"/>
              <w:rPr>
                <w:sz w:val="20"/>
                <w:szCs w:val="20"/>
                <w:color w:val="auto"/>
              </w:rPr>
            </w:pPr>
            <w:r>
              <w:rPr>
                <w:rFonts w:ascii="Arial" w:cs="Arial" w:eastAsia="Arial" w:hAnsi="Arial"/>
                <w:sz w:val="18"/>
                <w:szCs w:val="18"/>
                <w:color w:val="auto"/>
              </w:rPr>
              <w:t>Current Report on Form 8- January 27, 2015</w:t>
            </w: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96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2"/>
              </w:rPr>
            </w:pPr>
            <w:hyperlink r:id="rId99">
              <w:r>
                <w:rPr>
                  <w:rFonts w:ascii="Arial" w:cs="Arial" w:eastAsia="Arial" w:hAnsi="Arial"/>
                  <w:sz w:val="18"/>
                  <w:szCs w:val="18"/>
                  <w:color w:val="0000FF"/>
                  <w:w w:val="92"/>
                </w:rPr>
                <w:t>Endo Designated Activity Company (formerly, Endo Limited), Endo</w:t>
              </w:r>
            </w:hyperlink>
          </w:p>
        </w:tc>
        <w:tc>
          <w:tcPr>
            <w:tcW w:w="160" w:type="dxa"/>
            <w:vAlign w:val="bottom"/>
            <w:tcBorders>
              <w:top w:val="single" w:sz="8" w:color="0000FF"/>
            </w:tcBorders>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4"/>
          </w:tcPr>
          <w:p>
            <w:pPr>
              <w:ind w:left="140"/>
              <w:spacing w:after="0" w:line="156" w:lineRule="exact"/>
              <w:rPr>
                <w:sz w:val="20"/>
                <w:szCs w:val="20"/>
                <w:color w:val="auto"/>
              </w:rPr>
            </w:pPr>
            <w:r>
              <w:rPr>
                <w:rFonts w:ascii="Arial" w:cs="Arial" w:eastAsia="Arial" w:hAnsi="Arial"/>
                <w:sz w:val="18"/>
                <w:szCs w:val="18"/>
                <w:color w:val="auto"/>
              </w:rPr>
              <w:t>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100" w:type="dxa"/>
            <w:vAlign w:val="bottom"/>
            <w:tcBorders>
              <w:bottom w:val="single" w:sz="8" w:color="0000FF"/>
            </w:tcBorders>
            <w:gridSpan w:val="14"/>
          </w:tcPr>
          <w:p>
            <w:pPr>
              <w:spacing w:after="0" w:line="156" w:lineRule="exact"/>
              <w:rPr>
                <w:rFonts w:ascii="Arial" w:cs="Arial" w:eastAsia="Arial" w:hAnsi="Arial"/>
                <w:sz w:val="18"/>
                <w:szCs w:val="18"/>
                <w:color w:val="0000FF"/>
                <w:w w:val="90"/>
              </w:rPr>
            </w:pPr>
            <w:hyperlink r:id="rId99">
              <w:r>
                <w:rPr>
                  <w:rFonts w:ascii="Arial" w:cs="Arial" w:eastAsia="Arial" w:hAnsi="Arial"/>
                  <w:sz w:val="18"/>
                  <w:szCs w:val="18"/>
                  <w:color w:val="0000FF"/>
                  <w:w w:val="90"/>
                </w:rPr>
                <w:t>Finance LLC, Endo Finco Inc., the guarantors named therein and RBC</w:t>
              </w:r>
            </w:hyperlink>
          </w:p>
        </w:tc>
        <w:tc>
          <w:tcPr>
            <w:tcW w:w="280" w:type="dxa"/>
            <w:vAlign w:val="bottom"/>
            <w:gridSpan w:val="12"/>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80" w:type="dxa"/>
            <w:vAlign w:val="bottom"/>
            <w:gridSpan w:val="26"/>
          </w:tcPr>
          <w:p>
            <w:pPr>
              <w:spacing w:after="0" w:line="156" w:lineRule="exact"/>
              <w:rPr>
                <w:rFonts w:ascii="Arial" w:cs="Arial" w:eastAsia="Arial" w:hAnsi="Arial"/>
                <w:sz w:val="18"/>
                <w:szCs w:val="18"/>
                <w:color w:val="0000FF"/>
                <w:w w:val="95"/>
              </w:rPr>
            </w:pPr>
            <w:hyperlink r:id="rId99">
              <w:r>
                <w:rPr>
                  <w:rFonts w:ascii="Arial" w:cs="Arial" w:eastAsia="Arial" w:hAnsi="Arial"/>
                  <w:sz w:val="18"/>
                  <w:szCs w:val="18"/>
                  <w:color w:val="0000FF"/>
                  <w:w w:val="95"/>
                </w:rPr>
                <w:t>Capital Markets, LLC and Citigroup Global Markets Inc., relating to the</w:t>
              </w:r>
            </w:hyperlink>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99">
              <w:r>
                <w:rPr>
                  <w:rFonts w:ascii="Arial" w:cs="Arial" w:eastAsia="Arial" w:hAnsi="Arial"/>
                  <w:sz w:val="18"/>
                  <w:szCs w:val="18"/>
                  <w:color w:val="0000FF"/>
                  <w:w w:val="91"/>
                </w:rPr>
                <w:t>6.</w:t>
              </w:r>
              <w:r>
                <w:rPr>
                  <w:rFonts w:ascii="Arial" w:cs="Arial" w:eastAsia="Arial" w:hAnsi="Arial"/>
                  <w:sz w:val="18"/>
                  <w:szCs w:val="18"/>
                  <w:u w:val="single" w:color="auto"/>
                  <w:color w:val="0000FF"/>
                  <w:w w:val="91"/>
                </w:rPr>
                <w:t>00%</w:t>
              </w:r>
              <w:r>
                <w:rPr>
                  <w:rFonts w:ascii="Arial" w:cs="Arial" w:eastAsia="Arial" w:hAnsi="Arial"/>
                  <w:sz w:val="18"/>
                  <w:szCs w:val="18"/>
                  <w:color w:val="0000FF"/>
                  <w:w w:val="91"/>
                </w:rPr>
                <w:t xml:space="preserve"> Senior Notes due 2025 (including Form of Counterpart to the</w:t>
              </w:r>
            </w:hyperlink>
          </w:p>
        </w:tc>
        <w:tc>
          <w:tcPr>
            <w:tcW w:w="30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380" w:type="dxa"/>
            <w:vAlign w:val="bottom"/>
            <w:gridSpan w:val="26"/>
          </w:tcPr>
          <w:p>
            <w:pPr>
              <w:spacing w:after="0" w:line="142" w:lineRule="exact"/>
              <w:rPr>
                <w:rFonts w:ascii="Arial" w:cs="Arial" w:eastAsia="Arial" w:hAnsi="Arial"/>
                <w:sz w:val="16"/>
                <w:szCs w:val="16"/>
                <w:u w:val="single" w:color="auto"/>
                <w:color w:val="0000FF"/>
              </w:rPr>
            </w:pPr>
            <w:hyperlink r:id="rId99">
              <w:r>
                <w:rPr>
                  <w:rFonts w:ascii="Arial" w:cs="Arial" w:eastAsia="Arial" w:hAnsi="Arial"/>
                  <w:sz w:val="16"/>
                  <w:szCs w:val="16"/>
                  <w:u w:val="single" w:color="auto"/>
                  <w:color w:val="0000FF"/>
                </w:rPr>
                <w:t>Registration Rights Agreement relating to the 6.00% Senior Notes due</w:t>
              </w:r>
            </w:hyperlink>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2"/>
          </w:tcPr>
          <w:p>
            <w:pPr>
              <w:spacing w:after="0"/>
              <w:rPr>
                <w:rFonts w:ascii="Arial" w:cs="Arial" w:eastAsia="Arial" w:hAnsi="Arial"/>
                <w:sz w:val="18"/>
                <w:szCs w:val="18"/>
                <w:u w:val="single" w:color="auto"/>
                <w:color w:val="0000FF"/>
              </w:rPr>
            </w:pPr>
            <w:hyperlink r:id="rId99">
              <w:r>
                <w:rPr>
                  <w:rFonts w:ascii="Arial" w:cs="Arial" w:eastAsia="Arial" w:hAnsi="Arial"/>
                  <w:sz w:val="18"/>
                  <w:szCs w:val="18"/>
                  <w:u w:val="single" w:color="auto"/>
                  <w:color w:val="0000FF"/>
                </w:rPr>
                <w:t>2025)</w:t>
              </w:r>
            </w:hyperlink>
          </w:p>
        </w:tc>
        <w:tc>
          <w:tcPr>
            <w:tcW w:w="3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90"/>
        </w:trPr>
        <w:tc>
          <w:tcPr>
            <w:tcW w:w="54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4.5</w:t>
            </w:r>
          </w:p>
        </w:tc>
        <w:tc>
          <w:tcPr>
            <w:tcW w:w="400" w:type="dxa"/>
            <w:vAlign w:val="bottom"/>
          </w:tcPr>
          <w:p>
            <w:pPr>
              <w:spacing w:after="0"/>
              <w:rPr>
                <w:sz w:val="16"/>
                <w:szCs w:val="16"/>
                <w:color w:val="auto"/>
              </w:rPr>
            </w:pPr>
          </w:p>
        </w:tc>
        <w:tc>
          <w:tcPr>
            <w:tcW w:w="6380" w:type="dxa"/>
            <w:vAlign w:val="bottom"/>
            <w:gridSpan w:val="28"/>
          </w:tcPr>
          <w:p>
            <w:pPr>
              <w:spacing w:after="0" w:line="190" w:lineRule="exact"/>
              <w:rPr>
                <w:rFonts w:ascii="Arial" w:cs="Arial" w:eastAsia="Arial" w:hAnsi="Arial"/>
                <w:sz w:val="18"/>
                <w:szCs w:val="18"/>
                <w:color w:val="0000FF"/>
                <w:w w:val="94"/>
              </w:rPr>
            </w:pPr>
            <w:hyperlink r:id="rId100">
              <w:r>
                <w:rPr>
                  <w:rFonts w:ascii="Arial" w:cs="Arial" w:eastAsia="Arial" w:hAnsi="Arial"/>
                  <w:sz w:val="18"/>
                  <w:szCs w:val="18"/>
                  <w:color w:val="0000FF"/>
                  <w:w w:val="94"/>
                </w:rPr>
                <w:t xml:space="preserve">Indenture, dated July 9, 2015, among Endo Designated Activity Company </w:t>
              </w:r>
            </w:hyperlink>
            <w:r>
              <w:rPr>
                <w:rFonts w:ascii="Arial" w:cs="Arial" w:eastAsia="Arial" w:hAnsi="Arial"/>
                <w:sz w:val="18"/>
                <w:szCs w:val="18"/>
                <w:color w:val="000000"/>
                <w:w w:val="94"/>
              </w:rPr>
              <w:t>001-36326</w:t>
            </w:r>
          </w:p>
        </w:tc>
        <w:tc>
          <w:tcPr>
            <w:tcW w:w="3920" w:type="dxa"/>
            <w:vAlign w:val="bottom"/>
            <w:gridSpan w:val="6"/>
          </w:tcPr>
          <w:p>
            <w:pPr>
              <w:ind w:left="140"/>
              <w:spacing w:after="0" w:line="190" w:lineRule="exact"/>
              <w:rPr>
                <w:sz w:val="20"/>
                <w:szCs w:val="20"/>
                <w:color w:val="auto"/>
              </w:rPr>
            </w:pPr>
            <w:r>
              <w:rPr>
                <w:rFonts w:ascii="Arial" w:cs="Arial" w:eastAsia="Arial" w:hAnsi="Arial"/>
                <w:sz w:val="18"/>
                <w:szCs w:val="18"/>
                <w:color w:val="auto"/>
              </w:rPr>
              <w:t>Current Report on Form 8- July 9, 2015</w:t>
            </w: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6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00">
              <w:r>
                <w:rPr>
                  <w:rFonts w:ascii="Arial" w:cs="Arial" w:eastAsia="Arial" w:hAnsi="Arial"/>
                  <w:sz w:val="18"/>
                  <w:szCs w:val="18"/>
                  <w:color w:val="0000FF"/>
                </w:rPr>
                <w:t>(formerly, Endo Limited), Endo Finance LLC, Endo Finco Inc., the</w:t>
              </w:r>
            </w:hyperlink>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4"/>
          </w:tcPr>
          <w:p>
            <w:pPr>
              <w:ind w:left="140"/>
              <w:spacing w:after="0" w:line="156" w:lineRule="exact"/>
              <w:rPr>
                <w:sz w:val="20"/>
                <w:szCs w:val="20"/>
                <w:color w:val="auto"/>
              </w:rPr>
            </w:pPr>
            <w:r>
              <w:rPr>
                <w:rFonts w:ascii="Arial" w:cs="Arial" w:eastAsia="Arial" w:hAnsi="Arial"/>
                <w:sz w:val="18"/>
                <w:szCs w:val="18"/>
                <w:color w:val="auto"/>
              </w:rPr>
              <w:t>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80" w:type="dxa"/>
            <w:vAlign w:val="bottom"/>
            <w:gridSpan w:val="26"/>
          </w:tcPr>
          <w:p>
            <w:pPr>
              <w:spacing w:after="0" w:line="156" w:lineRule="exact"/>
              <w:rPr>
                <w:rFonts w:ascii="Arial" w:cs="Arial" w:eastAsia="Arial" w:hAnsi="Arial"/>
                <w:sz w:val="18"/>
                <w:szCs w:val="18"/>
                <w:color w:val="0000FF"/>
                <w:w w:val="90"/>
              </w:rPr>
            </w:pPr>
            <w:hyperlink r:id="rId100">
              <w:r>
                <w:rPr>
                  <w:rFonts w:ascii="Arial" w:cs="Arial" w:eastAsia="Arial" w:hAnsi="Arial"/>
                  <w:sz w:val="18"/>
                  <w:szCs w:val="18"/>
                  <w:color w:val="0000FF"/>
                  <w:w w:val="90"/>
                </w:rPr>
                <w:t>guarantors named therein and Wells Fargo Bank, National Association, as</w:t>
              </w:r>
            </w:hyperlink>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20" w:type="dxa"/>
            <w:vAlign w:val="bottom"/>
            <w:tcBorders>
              <w:top w:val="single" w:sz="8" w:color="0000FF"/>
            </w:tcBorders>
            <w:gridSpan w:val="23"/>
          </w:tcPr>
          <w:p>
            <w:pPr>
              <w:spacing w:after="0" w:line="156" w:lineRule="exact"/>
              <w:rPr>
                <w:rFonts w:ascii="Arial" w:cs="Arial" w:eastAsia="Arial" w:hAnsi="Arial"/>
                <w:sz w:val="18"/>
                <w:szCs w:val="18"/>
                <w:color w:val="0000FF"/>
                <w:w w:val="91"/>
              </w:rPr>
            </w:pPr>
            <w:hyperlink r:id="rId100">
              <w:r>
                <w:rPr>
                  <w:rFonts w:ascii="Arial" w:cs="Arial" w:eastAsia="Arial" w:hAnsi="Arial"/>
                  <w:sz w:val="18"/>
                  <w:szCs w:val="18"/>
                  <w:color w:val="0000FF"/>
                  <w:w w:val="91"/>
                </w:rPr>
                <w:t>trustee, relating to the 6.000% Senior Notes due 2023 (including Form of</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300" w:type="dxa"/>
            <w:vAlign w:val="bottom"/>
            <w:tcBorders>
              <w:top w:val="single" w:sz="8" w:color="0000FF"/>
            </w:tcBorders>
            <w:gridSpan w:val="22"/>
          </w:tcPr>
          <w:p>
            <w:pPr>
              <w:spacing w:after="0" w:line="142" w:lineRule="exact"/>
              <w:rPr>
                <w:rFonts w:ascii="Arial" w:cs="Arial" w:eastAsia="Arial" w:hAnsi="Arial"/>
                <w:sz w:val="16"/>
                <w:szCs w:val="16"/>
                <w:u w:val="single" w:color="auto"/>
                <w:color w:val="0000FF"/>
              </w:rPr>
            </w:pPr>
            <w:hyperlink r:id="rId100">
              <w:r>
                <w:rPr>
                  <w:rFonts w:ascii="Arial" w:cs="Arial" w:eastAsia="Arial" w:hAnsi="Arial"/>
                  <w:sz w:val="16"/>
                  <w:szCs w:val="16"/>
                  <w:u w:val="single" w:color="auto"/>
                  <w:color w:val="0000FF"/>
                </w:rPr>
                <w:t>6.000% Notes due 2023 and Form of Supplemental Indenture relating to</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80" w:type="dxa"/>
            <w:vAlign w:val="bottom"/>
            <w:gridSpan w:val="26"/>
          </w:tcPr>
          <w:p>
            <w:pPr>
              <w:spacing w:after="0"/>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the 6.000% Notes due 2023)</w:t>
              </w:r>
            </w:hyperlink>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90"/>
        </w:trPr>
        <w:tc>
          <w:tcPr>
            <w:tcW w:w="54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4.5.1</w:t>
            </w:r>
          </w:p>
        </w:tc>
        <w:tc>
          <w:tcPr>
            <w:tcW w:w="400" w:type="dxa"/>
            <w:vAlign w:val="bottom"/>
          </w:tcPr>
          <w:p>
            <w:pPr>
              <w:spacing w:after="0"/>
              <w:rPr>
                <w:sz w:val="16"/>
                <w:szCs w:val="16"/>
                <w:color w:val="auto"/>
              </w:rPr>
            </w:pPr>
          </w:p>
        </w:tc>
        <w:tc>
          <w:tcPr>
            <w:tcW w:w="5380" w:type="dxa"/>
            <w:vAlign w:val="bottom"/>
            <w:gridSpan w:val="26"/>
          </w:tcPr>
          <w:p>
            <w:pPr>
              <w:spacing w:after="0" w:line="190" w:lineRule="exact"/>
              <w:rPr>
                <w:rFonts w:ascii="Arial" w:cs="Arial" w:eastAsia="Arial" w:hAnsi="Arial"/>
                <w:sz w:val="18"/>
                <w:szCs w:val="18"/>
                <w:color w:val="0000FF"/>
              </w:rPr>
            </w:pPr>
            <w:hyperlink r:id="rId101">
              <w:r>
                <w:rPr>
                  <w:rFonts w:ascii="Arial" w:cs="Arial" w:eastAsia="Arial" w:hAnsi="Arial"/>
                  <w:sz w:val="18"/>
                  <w:szCs w:val="18"/>
                  <w:color w:val="0000FF"/>
                </w:rPr>
                <w:t>Supplemental Indenture, dated as of May 28, 2020, among Endo</w:t>
              </w:r>
            </w:hyperlink>
          </w:p>
        </w:tc>
        <w:tc>
          <w:tcPr>
            <w:tcW w:w="1000" w:type="dxa"/>
            <w:vAlign w:val="bottom"/>
            <w:gridSpan w:val="2"/>
          </w:tcPr>
          <w:p>
            <w:pPr>
              <w:spacing w:after="0" w:line="190" w:lineRule="exact"/>
              <w:rPr>
                <w:sz w:val="20"/>
                <w:szCs w:val="20"/>
                <w:color w:val="auto"/>
              </w:rPr>
            </w:pPr>
            <w:r>
              <w:rPr>
                <w:rFonts w:ascii="Arial" w:cs="Arial" w:eastAsia="Arial" w:hAnsi="Arial"/>
                <w:sz w:val="18"/>
                <w:szCs w:val="18"/>
                <w:color w:val="auto"/>
              </w:rPr>
              <w:t>001-36326</w:t>
            </w:r>
          </w:p>
        </w:tc>
        <w:tc>
          <w:tcPr>
            <w:tcW w:w="3920" w:type="dxa"/>
            <w:vAlign w:val="bottom"/>
            <w:gridSpan w:val="6"/>
          </w:tcPr>
          <w:p>
            <w:pPr>
              <w:ind w:left="140"/>
              <w:spacing w:after="0" w:line="190" w:lineRule="exact"/>
              <w:rPr>
                <w:sz w:val="20"/>
                <w:szCs w:val="20"/>
                <w:color w:val="auto"/>
              </w:rPr>
            </w:pPr>
            <w:r>
              <w:rPr>
                <w:rFonts w:ascii="Arial" w:cs="Arial" w:eastAsia="Arial" w:hAnsi="Arial"/>
                <w:sz w:val="18"/>
                <w:szCs w:val="18"/>
                <w:color w:val="auto"/>
              </w:rPr>
              <w:t>Current Report on Form 8- June 16, 2020</w:t>
            </w: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60" w:type="dxa"/>
            <w:vAlign w:val="bottom"/>
            <w:tcBorders>
              <w:top w:val="single" w:sz="8" w:color="0000FF"/>
            </w:tcBorders>
            <w:gridSpan w:val="5"/>
          </w:tcPr>
          <w:p>
            <w:pPr>
              <w:spacing w:after="0" w:line="156" w:lineRule="exact"/>
              <w:rPr>
                <w:rFonts w:ascii="Arial" w:cs="Arial" w:eastAsia="Arial" w:hAnsi="Arial"/>
                <w:sz w:val="18"/>
                <w:szCs w:val="18"/>
                <w:color w:val="0000FF"/>
                <w:w w:val="93"/>
              </w:rPr>
            </w:pPr>
            <w:hyperlink r:id="rId101">
              <w:r>
                <w:rPr>
                  <w:rFonts w:ascii="Arial" w:cs="Arial" w:eastAsia="Arial" w:hAnsi="Arial"/>
                  <w:sz w:val="18"/>
                  <w:szCs w:val="18"/>
                  <w:color w:val="0000FF"/>
                  <w:w w:val="93"/>
                </w:rPr>
                <w:t>Designated Activity Company, Endo Finance LLC, Endo Finco</w:t>
              </w:r>
            </w:hyperlink>
          </w:p>
        </w:tc>
        <w:tc>
          <w:tcPr>
            <w:tcW w:w="720" w:type="dxa"/>
            <w:vAlign w:val="bottom"/>
            <w:gridSpan w:val="21"/>
          </w:tcPr>
          <w:p>
            <w:pPr>
              <w:jc w:val="right"/>
              <w:ind w:right="180"/>
              <w:spacing w:after="0" w:line="156" w:lineRule="exact"/>
              <w:rPr>
                <w:rFonts w:ascii="Arial" w:cs="Arial" w:eastAsia="Arial" w:hAnsi="Arial"/>
                <w:sz w:val="18"/>
                <w:szCs w:val="18"/>
                <w:color w:val="0000FF"/>
                <w:w w:val="81"/>
              </w:rPr>
            </w:pPr>
            <w:hyperlink r:id="rId101">
              <w:r>
                <w:rPr>
                  <w:rFonts w:ascii="Arial" w:cs="Arial" w:eastAsia="Arial" w:hAnsi="Arial"/>
                  <w:sz w:val="18"/>
                  <w:szCs w:val="18"/>
                  <w:color w:val="0000FF"/>
                  <w:w w:val="81"/>
                </w:rPr>
                <w:t>Inc., the</w:t>
              </w:r>
            </w:hyperlink>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4"/>
          </w:tcPr>
          <w:p>
            <w:pPr>
              <w:ind w:left="140"/>
              <w:spacing w:after="0" w:line="156" w:lineRule="exact"/>
              <w:rPr>
                <w:sz w:val="20"/>
                <w:szCs w:val="20"/>
                <w:color w:val="auto"/>
              </w:rPr>
            </w:pPr>
            <w:r>
              <w:rPr>
                <w:rFonts w:ascii="Arial" w:cs="Arial" w:eastAsia="Arial" w:hAnsi="Arial"/>
                <w:sz w:val="18"/>
                <w:szCs w:val="18"/>
                <w:color w:val="auto"/>
              </w:rPr>
              <w:t>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20" w:type="dxa"/>
            <w:vAlign w:val="bottom"/>
            <w:tcBorders>
              <w:top w:val="single" w:sz="8" w:color="0000FF"/>
            </w:tcBorders>
            <w:gridSpan w:val="18"/>
          </w:tcPr>
          <w:p>
            <w:pPr>
              <w:spacing w:after="0" w:line="156" w:lineRule="exact"/>
              <w:rPr>
                <w:rFonts w:ascii="Arial" w:cs="Arial" w:eastAsia="Arial" w:hAnsi="Arial"/>
                <w:sz w:val="18"/>
                <w:szCs w:val="18"/>
                <w:color w:val="0000FF"/>
                <w:w w:val="91"/>
              </w:rPr>
            </w:pPr>
            <w:hyperlink r:id="rId101">
              <w:r>
                <w:rPr>
                  <w:rFonts w:ascii="Arial" w:cs="Arial" w:eastAsia="Arial" w:hAnsi="Arial"/>
                  <w:sz w:val="18"/>
                  <w:szCs w:val="18"/>
                  <w:color w:val="0000FF"/>
                  <w:w w:val="91"/>
                </w:rPr>
                <w:t>guarantors named therein and Wells Fargo Bank, National Association,</w:t>
              </w:r>
            </w:hyperlink>
          </w:p>
        </w:tc>
        <w:tc>
          <w:tcPr>
            <w:tcW w:w="160" w:type="dxa"/>
            <w:vAlign w:val="bottom"/>
            <w:gridSpan w:val="8"/>
          </w:tcPr>
          <w:p>
            <w:pPr>
              <w:spacing w:after="0" w:line="156" w:lineRule="exact"/>
              <w:rPr>
                <w:rFonts w:ascii="Arial" w:cs="Arial" w:eastAsia="Arial" w:hAnsi="Arial"/>
                <w:sz w:val="18"/>
                <w:szCs w:val="18"/>
                <w:color w:val="0000FF"/>
                <w:w w:val="73"/>
              </w:rPr>
            </w:pPr>
            <w:hyperlink r:id="rId101">
              <w:r>
                <w:rPr>
                  <w:rFonts w:ascii="Arial" w:cs="Arial" w:eastAsia="Arial" w:hAnsi="Arial"/>
                  <w:sz w:val="18"/>
                  <w:szCs w:val="18"/>
                  <w:color w:val="0000FF"/>
                  <w:w w:val="73"/>
                </w:rPr>
                <w:t>as</w:t>
              </w:r>
            </w:hyperlink>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trustee, to the Indenture, dated as of July 9, 2015, among Endo</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520" w:type="dxa"/>
            <w:vAlign w:val="bottom"/>
            <w:tcBorders>
              <w:top w:val="single" w:sz="8" w:color="0000FF"/>
            </w:tcBorders>
            <w:gridSpan w:val="4"/>
          </w:tcPr>
          <w:p>
            <w:pPr>
              <w:spacing w:after="0" w:line="156" w:lineRule="exact"/>
              <w:rPr>
                <w:rFonts w:ascii="Arial" w:cs="Arial" w:eastAsia="Arial" w:hAnsi="Arial"/>
                <w:sz w:val="18"/>
                <w:szCs w:val="18"/>
                <w:color w:val="0000FF"/>
                <w:w w:val="90"/>
              </w:rPr>
            </w:pPr>
            <w:hyperlink r:id="rId101">
              <w:r>
                <w:rPr>
                  <w:rFonts w:ascii="Arial" w:cs="Arial" w:eastAsia="Arial" w:hAnsi="Arial"/>
                  <w:sz w:val="18"/>
                  <w:szCs w:val="18"/>
                  <w:color w:val="0000FF"/>
                  <w:w w:val="90"/>
                </w:rPr>
                <w:t>Designated Activity Company, Endo Finance LLC, Endo Finco</w:t>
              </w:r>
            </w:hyperlink>
          </w:p>
        </w:tc>
        <w:tc>
          <w:tcPr>
            <w:tcW w:w="860" w:type="dxa"/>
            <w:vAlign w:val="bottom"/>
            <w:gridSpan w:val="22"/>
          </w:tcPr>
          <w:p>
            <w:pPr>
              <w:jc w:val="right"/>
              <w:ind w:right="180"/>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Inc., the</w:t>
              </w:r>
            </w:hyperlink>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20" w:type="dxa"/>
            <w:vAlign w:val="bottom"/>
            <w:tcBorders>
              <w:top w:val="single" w:sz="8" w:color="0000FF"/>
            </w:tcBorders>
            <w:gridSpan w:val="18"/>
          </w:tcPr>
          <w:p>
            <w:pPr>
              <w:spacing w:after="0" w:line="142" w:lineRule="exact"/>
              <w:rPr>
                <w:rFonts w:ascii="Arial" w:cs="Arial" w:eastAsia="Arial" w:hAnsi="Arial"/>
                <w:sz w:val="16"/>
                <w:szCs w:val="16"/>
                <w:u w:val="single" w:color="auto"/>
                <w:color w:val="0000FF"/>
              </w:rPr>
            </w:pPr>
            <w:hyperlink r:id="rId101">
              <w:r>
                <w:rPr>
                  <w:rFonts w:ascii="Arial" w:cs="Arial" w:eastAsia="Arial" w:hAnsi="Arial"/>
                  <w:sz w:val="16"/>
                  <w:szCs w:val="16"/>
                  <w:u w:val="single" w:color="auto"/>
                  <w:color w:val="0000FF"/>
                </w:rPr>
                <w:t>guarantors named therein and Wells Fargo Bank, National Association,</w:t>
              </w:r>
            </w:hyperlink>
          </w:p>
        </w:tc>
        <w:tc>
          <w:tcPr>
            <w:tcW w:w="160" w:type="dxa"/>
            <w:vAlign w:val="bottom"/>
            <w:gridSpan w:val="8"/>
          </w:tcPr>
          <w:p>
            <w:pPr>
              <w:spacing w:after="0" w:line="142" w:lineRule="exact"/>
              <w:rPr>
                <w:rFonts w:ascii="Arial" w:cs="Arial" w:eastAsia="Arial" w:hAnsi="Arial"/>
                <w:sz w:val="16"/>
                <w:szCs w:val="16"/>
                <w:u w:val="single" w:color="auto"/>
                <w:color w:val="0000FF"/>
                <w:w w:val="82"/>
              </w:rPr>
            </w:pPr>
            <w:hyperlink r:id="rId101">
              <w:r>
                <w:rPr>
                  <w:rFonts w:ascii="Arial" w:cs="Arial" w:eastAsia="Arial" w:hAnsi="Arial"/>
                  <w:sz w:val="16"/>
                  <w:szCs w:val="16"/>
                  <w:u w:val="single" w:color="auto"/>
                  <w:color w:val="0000FF"/>
                  <w:w w:val="82"/>
                </w:rPr>
                <w:t>as</w:t>
              </w:r>
            </w:hyperlink>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80" w:type="dxa"/>
            <w:vAlign w:val="bottom"/>
            <w:gridSpan w:val="26"/>
          </w:tcPr>
          <w:p>
            <w:pPr>
              <w:spacing w:after="0"/>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trustee, relating to the 6.000% Senior Notes due 2023</w:t>
              </w:r>
            </w:hyperlink>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90"/>
        </w:trPr>
        <w:tc>
          <w:tcPr>
            <w:tcW w:w="54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4.6</w:t>
            </w:r>
          </w:p>
        </w:tc>
        <w:tc>
          <w:tcPr>
            <w:tcW w:w="400" w:type="dxa"/>
            <w:vAlign w:val="bottom"/>
          </w:tcPr>
          <w:p>
            <w:pPr>
              <w:spacing w:after="0"/>
              <w:rPr>
                <w:sz w:val="16"/>
                <w:szCs w:val="16"/>
                <w:color w:val="auto"/>
              </w:rPr>
            </w:pPr>
          </w:p>
        </w:tc>
        <w:tc>
          <w:tcPr>
            <w:tcW w:w="5380" w:type="dxa"/>
            <w:vAlign w:val="bottom"/>
            <w:gridSpan w:val="26"/>
          </w:tcPr>
          <w:p>
            <w:pPr>
              <w:spacing w:after="0" w:line="190" w:lineRule="exact"/>
              <w:rPr>
                <w:rFonts w:ascii="Arial" w:cs="Arial" w:eastAsia="Arial" w:hAnsi="Arial"/>
                <w:sz w:val="18"/>
                <w:szCs w:val="18"/>
                <w:color w:val="0000FF"/>
                <w:w w:val="92"/>
              </w:rPr>
            </w:pPr>
            <w:hyperlink r:id="rId102">
              <w:r>
                <w:rPr>
                  <w:rFonts w:ascii="Arial" w:cs="Arial" w:eastAsia="Arial" w:hAnsi="Arial"/>
                  <w:sz w:val="18"/>
                  <w:szCs w:val="18"/>
                  <w:color w:val="0000FF"/>
                  <w:w w:val="92"/>
                </w:rPr>
                <w:t>Indenture, dated as of March 28, 2019, among Par Pharmaceutical, Inc.,</w:t>
              </w:r>
            </w:hyperlink>
          </w:p>
        </w:tc>
        <w:tc>
          <w:tcPr>
            <w:tcW w:w="1000" w:type="dxa"/>
            <w:vAlign w:val="bottom"/>
            <w:gridSpan w:val="2"/>
          </w:tcPr>
          <w:p>
            <w:pPr>
              <w:spacing w:after="0" w:line="190" w:lineRule="exact"/>
              <w:rPr>
                <w:sz w:val="20"/>
                <w:szCs w:val="20"/>
                <w:color w:val="auto"/>
              </w:rPr>
            </w:pPr>
            <w:r>
              <w:rPr>
                <w:rFonts w:ascii="Arial" w:cs="Arial" w:eastAsia="Arial" w:hAnsi="Arial"/>
                <w:sz w:val="18"/>
                <w:szCs w:val="18"/>
                <w:color w:val="auto"/>
              </w:rPr>
              <w:t>001-36326</w:t>
            </w:r>
          </w:p>
        </w:tc>
        <w:tc>
          <w:tcPr>
            <w:tcW w:w="3920" w:type="dxa"/>
            <w:vAlign w:val="bottom"/>
            <w:gridSpan w:val="6"/>
          </w:tcPr>
          <w:p>
            <w:pPr>
              <w:ind w:left="140"/>
              <w:spacing w:after="0" w:line="190" w:lineRule="exact"/>
              <w:rPr>
                <w:sz w:val="20"/>
                <w:szCs w:val="20"/>
                <w:color w:val="auto"/>
              </w:rPr>
            </w:pPr>
            <w:r>
              <w:rPr>
                <w:rFonts w:ascii="Arial" w:cs="Arial" w:eastAsia="Arial" w:hAnsi="Arial"/>
                <w:sz w:val="18"/>
                <w:szCs w:val="18"/>
                <w:color w:val="auto"/>
              </w:rPr>
              <w:t>Current Report on Form 8- March 28, 2019</w:t>
            </w: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02">
              <w:r>
                <w:rPr>
                  <w:rFonts w:ascii="Arial" w:cs="Arial" w:eastAsia="Arial" w:hAnsi="Arial"/>
                  <w:sz w:val="18"/>
                  <w:szCs w:val="18"/>
                  <w:color w:val="0000FF"/>
                </w:rPr>
                <w:t>the guarantors named therein and Wells Fargo Bank, National</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4"/>
          </w:tcPr>
          <w:p>
            <w:pPr>
              <w:ind w:left="140"/>
              <w:spacing w:after="0" w:line="156" w:lineRule="exact"/>
              <w:rPr>
                <w:sz w:val="20"/>
                <w:szCs w:val="20"/>
                <w:color w:val="auto"/>
              </w:rPr>
            </w:pPr>
            <w:r>
              <w:rPr>
                <w:rFonts w:ascii="Arial" w:cs="Arial" w:eastAsia="Arial" w:hAnsi="Arial"/>
                <w:sz w:val="18"/>
                <w:szCs w:val="18"/>
                <w:color w:val="auto"/>
              </w:rPr>
              <w:t>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40" w:type="dxa"/>
            <w:vAlign w:val="bottom"/>
            <w:tcBorders>
              <w:top w:val="single" w:sz="8" w:color="0000FF"/>
            </w:tcBorders>
            <w:gridSpan w:val="3"/>
          </w:tcPr>
          <w:p>
            <w:pPr>
              <w:spacing w:after="0" w:line="156" w:lineRule="exact"/>
              <w:rPr>
                <w:rFonts w:ascii="Arial" w:cs="Arial" w:eastAsia="Arial" w:hAnsi="Arial"/>
                <w:sz w:val="18"/>
                <w:szCs w:val="18"/>
                <w:color w:val="0000FF"/>
                <w:w w:val="89"/>
              </w:rPr>
            </w:pPr>
            <w:hyperlink r:id="rId102">
              <w:r>
                <w:rPr>
                  <w:rFonts w:ascii="Arial" w:cs="Arial" w:eastAsia="Arial" w:hAnsi="Arial"/>
                  <w:sz w:val="18"/>
                  <w:szCs w:val="18"/>
                  <w:color w:val="0000FF"/>
                  <w:w w:val="89"/>
                </w:rPr>
                <w:t>Association, as trustee, relating to the 7.500% Senior Secured</w:t>
              </w:r>
            </w:hyperlink>
          </w:p>
        </w:tc>
        <w:tc>
          <w:tcPr>
            <w:tcW w:w="940" w:type="dxa"/>
            <w:vAlign w:val="bottom"/>
            <w:gridSpan w:val="23"/>
          </w:tcPr>
          <w:p>
            <w:pPr>
              <w:ind w:left="60"/>
              <w:spacing w:after="0" w:line="156" w:lineRule="exact"/>
              <w:rPr>
                <w:rFonts w:ascii="Arial" w:cs="Arial" w:eastAsia="Arial" w:hAnsi="Arial"/>
                <w:sz w:val="18"/>
                <w:szCs w:val="18"/>
                <w:color w:val="0000FF"/>
              </w:rPr>
            </w:pPr>
            <w:hyperlink r:id="rId102">
              <w:r>
                <w:rPr>
                  <w:rFonts w:ascii="Arial" w:cs="Arial" w:eastAsia="Arial" w:hAnsi="Arial"/>
                  <w:sz w:val="18"/>
                  <w:szCs w:val="18"/>
                  <w:color w:val="0000FF"/>
                </w:rPr>
                <w:t>Notes due</w:t>
              </w:r>
            </w:hyperlink>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5"/>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60" w:type="dxa"/>
            <w:vAlign w:val="bottom"/>
            <w:tcBorders>
              <w:top w:val="single" w:sz="8" w:color="0000FF"/>
            </w:tcBorders>
            <w:gridSpan w:val="20"/>
          </w:tcPr>
          <w:p>
            <w:pPr>
              <w:spacing w:after="0" w:line="195" w:lineRule="exact"/>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2027 (including Form of 7.500% Senior Secured Notes due 2027)</w:t>
              </w:r>
            </w:hyperlink>
          </w:p>
        </w:tc>
        <w:tc>
          <w:tcPr>
            <w:tcW w:w="20" w:type="dxa"/>
            <w:vAlign w:val="bottom"/>
          </w:tcPr>
          <w:p>
            <w:pPr>
              <w:spacing w:after="0"/>
              <w:rPr>
                <w:sz w:val="16"/>
                <w:szCs w:val="16"/>
                <w:color w:val="auto"/>
              </w:rPr>
            </w:pPr>
          </w:p>
        </w:tc>
        <w:tc>
          <w:tcPr>
            <w:tcW w:w="60" w:type="dxa"/>
            <w:vAlign w:val="bottom"/>
            <w:gridSpan w:val="3"/>
          </w:tcPr>
          <w:p>
            <w:pPr>
              <w:spacing w:after="0"/>
              <w:rPr>
                <w:sz w:val="16"/>
                <w:szCs w:val="16"/>
                <w:color w:val="auto"/>
              </w:rPr>
            </w:pPr>
          </w:p>
        </w:tc>
        <w:tc>
          <w:tcPr>
            <w:tcW w:w="40" w:type="dxa"/>
            <w:vAlign w:val="bottom"/>
            <w:gridSpan w:val="2"/>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0"/>
        </w:trPr>
        <w:tc>
          <w:tcPr>
            <w:tcW w:w="54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4.6.1</w:t>
            </w:r>
          </w:p>
        </w:tc>
        <w:tc>
          <w:tcPr>
            <w:tcW w:w="400" w:type="dxa"/>
            <w:vAlign w:val="bottom"/>
          </w:tcPr>
          <w:p>
            <w:pPr>
              <w:spacing w:after="0"/>
              <w:rPr>
                <w:sz w:val="16"/>
                <w:szCs w:val="16"/>
                <w:color w:val="auto"/>
              </w:rPr>
            </w:pPr>
          </w:p>
        </w:tc>
        <w:tc>
          <w:tcPr>
            <w:tcW w:w="5380" w:type="dxa"/>
            <w:vAlign w:val="bottom"/>
            <w:gridSpan w:val="26"/>
          </w:tcPr>
          <w:p>
            <w:pPr>
              <w:spacing w:after="0" w:line="190" w:lineRule="exact"/>
              <w:rPr>
                <w:rFonts w:ascii="Arial" w:cs="Arial" w:eastAsia="Arial" w:hAnsi="Arial"/>
                <w:sz w:val="18"/>
                <w:szCs w:val="18"/>
                <w:color w:val="0000FF"/>
                <w:w w:val="97"/>
              </w:rPr>
            </w:pPr>
            <w:hyperlink r:id="rId103">
              <w:r>
                <w:rPr>
                  <w:rFonts w:ascii="Arial" w:cs="Arial" w:eastAsia="Arial" w:hAnsi="Arial"/>
                  <w:sz w:val="18"/>
                  <w:szCs w:val="18"/>
                  <w:color w:val="0000FF"/>
                  <w:w w:val="97"/>
                </w:rPr>
                <w:t>First Supplemental Indenture, dated as of June 16, 2020, among Par</w:t>
              </w:r>
            </w:hyperlink>
          </w:p>
        </w:tc>
        <w:tc>
          <w:tcPr>
            <w:tcW w:w="1000" w:type="dxa"/>
            <w:vAlign w:val="bottom"/>
            <w:gridSpan w:val="2"/>
          </w:tcPr>
          <w:p>
            <w:pPr>
              <w:spacing w:after="0" w:line="190" w:lineRule="exact"/>
              <w:rPr>
                <w:sz w:val="20"/>
                <w:szCs w:val="20"/>
                <w:color w:val="auto"/>
              </w:rPr>
            </w:pPr>
            <w:r>
              <w:rPr>
                <w:rFonts w:ascii="Arial" w:cs="Arial" w:eastAsia="Arial" w:hAnsi="Arial"/>
                <w:sz w:val="18"/>
                <w:szCs w:val="18"/>
                <w:color w:val="auto"/>
              </w:rPr>
              <w:t>001-36326</w:t>
            </w:r>
          </w:p>
        </w:tc>
        <w:tc>
          <w:tcPr>
            <w:tcW w:w="3920" w:type="dxa"/>
            <w:vAlign w:val="bottom"/>
            <w:gridSpan w:val="6"/>
          </w:tcPr>
          <w:p>
            <w:pPr>
              <w:ind w:left="140"/>
              <w:spacing w:after="0" w:line="190" w:lineRule="exact"/>
              <w:rPr>
                <w:sz w:val="20"/>
                <w:szCs w:val="20"/>
                <w:color w:val="auto"/>
              </w:rPr>
            </w:pPr>
            <w:r>
              <w:rPr>
                <w:rFonts w:ascii="Arial" w:cs="Arial" w:eastAsia="Arial" w:hAnsi="Arial"/>
                <w:sz w:val="18"/>
                <w:szCs w:val="18"/>
                <w:color w:val="auto"/>
              </w:rPr>
              <w:t>Current Report on Form 8- June 16, 2020</w:t>
            </w: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920" w:type="dxa"/>
            <w:vAlign w:val="bottom"/>
            <w:tcBorders>
              <w:top w:val="single" w:sz="8" w:color="0000FF"/>
            </w:tcBorders>
            <w:gridSpan w:val="10"/>
          </w:tcPr>
          <w:p>
            <w:pPr>
              <w:spacing w:after="0" w:line="156" w:lineRule="exact"/>
              <w:rPr>
                <w:rFonts w:ascii="Arial" w:cs="Arial" w:eastAsia="Arial" w:hAnsi="Arial"/>
                <w:sz w:val="18"/>
                <w:szCs w:val="18"/>
                <w:color w:val="0000FF"/>
                <w:w w:val="89"/>
              </w:rPr>
            </w:pPr>
            <w:hyperlink r:id="rId103">
              <w:r>
                <w:rPr>
                  <w:rFonts w:ascii="Arial" w:cs="Arial" w:eastAsia="Arial" w:hAnsi="Arial"/>
                  <w:sz w:val="18"/>
                  <w:szCs w:val="18"/>
                  <w:color w:val="0000FF"/>
                  <w:w w:val="89"/>
                </w:rPr>
                <w:t>Pharmaceutical, Inc., the guarantors named therein and Wells Fargo</w:t>
              </w:r>
            </w:hyperlink>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4"/>
          </w:tcPr>
          <w:p>
            <w:pPr>
              <w:ind w:left="140"/>
              <w:spacing w:after="0" w:line="156" w:lineRule="exact"/>
              <w:rPr>
                <w:sz w:val="20"/>
                <w:szCs w:val="20"/>
                <w:color w:val="auto"/>
              </w:rPr>
            </w:pPr>
            <w:r>
              <w:rPr>
                <w:rFonts w:ascii="Arial" w:cs="Arial" w:eastAsia="Arial" w:hAnsi="Arial"/>
                <w:sz w:val="18"/>
                <w:szCs w:val="18"/>
                <w:color w:val="auto"/>
              </w:rPr>
              <w:t>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9"/>
              </w:rPr>
            </w:pPr>
            <w:hyperlink r:id="rId103">
              <w:r>
                <w:rPr>
                  <w:rFonts w:ascii="Arial" w:cs="Arial" w:eastAsia="Arial" w:hAnsi="Arial"/>
                  <w:sz w:val="18"/>
                  <w:szCs w:val="18"/>
                  <w:color w:val="0000FF"/>
                  <w:w w:val="89"/>
                </w:rPr>
                <w:t>Bank, National Association, as trustee, to the Indenture, dated as of</w:t>
              </w:r>
            </w:hyperlink>
          </w:p>
        </w:tc>
        <w:tc>
          <w:tcPr>
            <w:tcW w:w="40" w:type="dxa"/>
            <w:vAlign w:val="bottom"/>
            <w:tcBorders>
              <w:top w:val="single" w:sz="8" w:color="0000FF"/>
            </w:tcBorders>
            <w:gridSpan w:val="2"/>
          </w:tcPr>
          <w:p>
            <w:pPr>
              <w:spacing w:after="0"/>
              <w:rPr>
                <w:sz w:val="13"/>
                <w:szCs w:val="13"/>
                <w:color w:val="auto"/>
              </w:rPr>
            </w:pPr>
          </w:p>
        </w:tc>
        <w:tc>
          <w:tcPr>
            <w:tcW w:w="14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80" w:type="dxa"/>
            <w:vAlign w:val="bottom"/>
            <w:gridSpan w:val="26"/>
          </w:tcPr>
          <w:p>
            <w:pPr>
              <w:spacing w:after="0" w:line="156" w:lineRule="exact"/>
              <w:rPr>
                <w:rFonts w:ascii="Arial" w:cs="Arial" w:eastAsia="Arial" w:hAnsi="Arial"/>
                <w:sz w:val="18"/>
                <w:szCs w:val="18"/>
                <w:color w:val="0000FF"/>
                <w:w w:val="92"/>
              </w:rPr>
            </w:pPr>
            <w:hyperlink r:id="rId103">
              <w:r>
                <w:rPr>
                  <w:rFonts w:ascii="Arial" w:cs="Arial" w:eastAsia="Arial" w:hAnsi="Arial"/>
                  <w:sz w:val="18"/>
                  <w:szCs w:val="18"/>
                  <w:color w:val="0000FF"/>
                  <w:w w:val="92"/>
                </w:rPr>
                <w:t>March 28, 2019, among Par Pharmaceutical, Inc., the guarantors named</w:t>
              </w:r>
            </w:hyperlink>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180" w:type="dxa"/>
            <w:vAlign w:val="bottom"/>
            <w:tcBorders>
              <w:top w:val="single" w:sz="8" w:color="0000FF"/>
            </w:tcBorders>
            <w:gridSpan w:val="16"/>
          </w:tcPr>
          <w:p>
            <w:pPr>
              <w:spacing w:after="0" w:line="142" w:lineRule="exact"/>
              <w:rPr>
                <w:rFonts w:ascii="Arial" w:cs="Arial" w:eastAsia="Arial" w:hAnsi="Arial"/>
                <w:sz w:val="16"/>
                <w:szCs w:val="16"/>
                <w:u w:val="single" w:color="auto"/>
                <w:color w:val="0000FF"/>
              </w:rPr>
            </w:pPr>
            <w:hyperlink r:id="rId103">
              <w:r>
                <w:rPr>
                  <w:rFonts w:ascii="Arial" w:cs="Arial" w:eastAsia="Arial" w:hAnsi="Arial"/>
                  <w:sz w:val="16"/>
                  <w:szCs w:val="16"/>
                  <w:u w:val="single" w:color="auto"/>
                  <w:color w:val="0000FF"/>
                </w:rPr>
                <w:t>therein and Wells Fargo Bank, National Association, as trustee, relating</w:t>
              </w:r>
            </w:hyperlink>
          </w:p>
        </w:tc>
        <w:tc>
          <w:tcPr>
            <w:tcW w:w="200" w:type="dxa"/>
            <w:vAlign w:val="bottom"/>
            <w:gridSpan w:val="10"/>
          </w:tcPr>
          <w:p>
            <w:pPr>
              <w:ind w:left="20"/>
              <w:spacing w:after="0" w:line="142" w:lineRule="exact"/>
              <w:rPr>
                <w:rFonts w:ascii="Arial" w:cs="Arial" w:eastAsia="Arial" w:hAnsi="Arial"/>
                <w:sz w:val="16"/>
                <w:szCs w:val="16"/>
                <w:u w:val="single" w:color="auto"/>
                <w:color w:val="0000FF"/>
              </w:rPr>
            </w:pPr>
            <w:hyperlink r:id="rId103">
              <w:r>
                <w:rPr>
                  <w:rFonts w:ascii="Arial" w:cs="Arial" w:eastAsia="Arial" w:hAnsi="Arial"/>
                  <w:sz w:val="16"/>
                  <w:szCs w:val="16"/>
                  <w:u w:val="single" w:color="auto"/>
                  <w:color w:val="0000FF"/>
                </w:rPr>
                <w:t>to</w:t>
              </w:r>
            </w:hyperlink>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80" w:type="dxa"/>
            <w:vAlign w:val="bottom"/>
            <w:gridSpan w:val="26"/>
          </w:tcPr>
          <w:p>
            <w:pPr>
              <w:spacing w:after="0"/>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the 7.500% Senior Secured Notes due 2027</w:t>
              </w:r>
            </w:hyperlink>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90"/>
        </w:trPr>
        <w:tc>
          <w:tcPr>
            <w:tcW w:w="54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4.7</w:t>
            </w:r>
          </w:p>
        </w:tc>
        <w:tc>
          <w:tcPr>
            <w:tcW w:w="400" w:type="dxa"/>
            <w:vAlign w:val="bottom"/>
          </w:tcPr>
          <w:p>
            <w:pPr>
              <w:spacing w:after="0"/>
              <w:rPr>
                <w:sz w:val="16"/>
                <w:szCs w:val="16"/>
                <w:color w:val="auto"/>
              </w:rPr>
            </w:pPr>
          </w:p>
        </w:tc>
        <w:tc>
          <w:tcPr>
            <w:tcW w:w="5380" w:type="dxa"/>
            <w:vAlign w:val="bottom"/>
            <w:gridSpan w:val="26"/>
          </w:tcPr>
          <w:p>
            <w:pPr>
              <w:spacing w:after="0" w:line="190" w:lineRule="exact"/>
              <w:rPr>
                <w:rFonts w:ascii="Arial" w:cs="Arial" w:eastAsia="Arial" w:hAnsi="Arial"/>
                <w:sz w:val="18"/>
                <w:szCs w:val="18"/>
                <w:color w:val="0000FF"/>
                <w:w w:val="94"/>
              </w:rPr>
            </w:pPr>
            <w:hyperlink r:id="rId104">
              <w:r>
                <w:rPr>
                  <w:rFonts w:ascii="Arial" w:cs="Arial" w:eastAsia="Arial" w:hAnsi="Arial"/>
                  <w:sz w:val="18"/>
                  <w:szCs w:val="18"/>
                  <w:color w:val="0000FF"/>
                  <w:w w:val="94"/>
                </w:rPr>
                <w:t>Indenture, dated as of June 16, 2020, among Endo Designated Activity</w:t>
              </w:r>
            </w:hyperlink>
          </w:p>
        </w:tc>
        <w:tc>
          <w:tcPr>
            <w:tcW w:w="1000" w:type="dxa"/>
            <w:vAlign w:val="bottom"/>
            <w:gridSpan w:val="2"/>
          </w:tcPr>
          <w:p>
            <w:pPr>
              <w:spacing w:after="0" w:line="190" w:lineRule="exact"/>
              <w:rPr>
                <w:sz w:val="20"/>
                <w:szCs w:val="20"/>
                <w:color w:val="auto"/>
              </w:rPr>
            </w:pPr>
            <w:r>
              <w:rPr>
                <w:rFonts w:ascii="Arial" w:cs="Arial" w:eastAsia="Arial" w:hAnsi="Arial"/>
                <w:sz w:val="18"/>
                <w:szCs w:val="18"/>
                <w:color w:val="auto"/>
              </w:rPr>
              <w:t>001-36326</w:t>
            </w:r>
          </w:p>
        </w:tc>
        <w:tc>
          <w:tcPr>
            <w:tcW w:w="3920" w:type="dxa"/>
            <w:vAlign w:val="bottom"/>
            <w:gridSpan w:val="6"/>
          </w:tcPr>
          <w:p>
            <w:pPr>
              <w:ind w:left="140"/>
              <w:spacing w:after="0" w:line="190" w:lineRule="exact"/>
              <w:rPr>
                <w:sz w:val="20"/>
                <w:szCs w:val="20"/>
                <w:color w:val="auto"/>
              </w:rPr>
            </w:pPr>
            <w:r>
              <w:rPr>
                <w:rFonts w:ascii="Arial" w:cs="Arial" w:eastAsia="Arial" w:hAnsi="Arial"/>
                <w:sz w:val="18"/>
                <w:szCs w:val="18"/>
                <w:color w:val="auto"/>
              </w:rPr>
              <w:t>Current Report on Form 8- June 16, 2020</w:t>
            </w: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100" w:type="dxa"/>
            <w:vAlign w:val="bottom"/>
            <w:tcBorders>
              <w:top w:val="single" w:sz="8" w:color="0000FF"/>
            </w:tcBorders>
            <w:gridSpan w:val="14"/>
          </w:tcPr>
          <w:p>
            <w:pPr>
              <w:spacing w:after="0" w:line="156" w:lineRule="exact"/>
              <w:rPr>
                <w:rFonts w:ascii="Arial" w:cs="Arial" w:eastAsia="Arial" w:hAnsi="Arial"/>
                <w:sz w:val="18"/>
                <w:szCs w:val="18"/>
                <w:color w:val="0000FF"/>
                <w:w w:val="91"/>
              </w:rPr>
            </w:pPr>
            <w:hyperlink r:id="rId104">
              <w:r>
                <w:rPr>
                  <w:rFonts w:ascii="Arial" w:cs="Arial" w:eastAsia="Arial" w:hAnsi="Arial"/>
                  <w:sz w:val="18"/>
                  <w:szCs w:val="18"/>
                  <w:color w:val="0000FF"/>
                  <w:w w:val="91"/>
                </w:rPr>
                <w:t>Company, Endo Finance LLC, Endo Finco Inc., the guarantors named</w:t>
              </w:r>
            </w:hyperlink>
          </w:p>
        </w:tc>
        <w:tc>
          <w:tcPr>
            <w:tcW w:w="18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4"/>
          </w:tcPr>
          <w:p>
            <w:pPr>
              <w:ind w:left="140"/>
              <w:spacing w:after="0" w:line="156" w:lineRule="exact"/>
              <w:rPr>
                <w:sz w:val="20"/>
                <w:szCs w:val="20"/>
                <w:color w:val="auto"/>
              </w:rPr>
            </w:pPr>
            <w:r>
              <w:rPr>
                <w:rFonts w:ascii="Arial" w:cs="Arial" w:eastAsia="Arial" w:hAnsi="Arial"/>
                <w:sz w:val="18"/>
                <w:szCs w:val="18"/>
                <w:color w:val="auto"/>
              </w:rPr>
              <w:t>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40" w:type="dxa"/>
            <w:vAlign w:val="bottom"/>
            <w:tcBorders>
              <w:top w:val="single" w:sz="8" w:color="0000FF"/>
            </w:tcBorders>
            <w:gridSpan w:val="13"/>
          </w:tcPr>
          <w:p>
            <w:pPr>
              <w:spacing w:after="0" w:line="156" w:lineRule="exact"/>
              <w:rPr>
                <w:rFonts w:ascii="Arial" w:cs="Arial" w:eastAsia="Arial" w:hAnsi="Arial"/>
                <w:sz w:val="18"/>
                <w:szCs w:val="18"/>
                <w:color w:val="0000FF"/>
                <w:w w:val="88"/>
              </w:rPr>
            </w:pPr>
            <w:hyperlink r:id="rId104">
              <w:r>
                <w:rPr>
                  <w:rFonts w:ascii="Arial" w:cs="Arial" w:eastAsia="Arial" w:hAnsi="Arial"/>
                  <w:sz w:val="18"/>
                  <w:szCs w:val="18"/>
                  <w:color w:val="0000FF"/>
                  <w:w w:val="88"/>
                </w:rPr>
                <w:t>therein and Wells Fargo Bank, National Association, as trustee, relating</w:t>
              </w:r>
            </w:hyperlink>
          </w:p>
        </w:tc>
        <w:tc>
          <w:tcPr>
            <w:tcW w:w="340" w:type="dxa"/>
            <w:vAlign w:val="bottom"/>
            <w:gridSpan w:val="13"/>
          </w:tcPr>
          <w:p>
            <w:pPr>
              <w:ind w:left="160"/>
              <w:spacing w:after="0" w:line="156" w:lineRule="exact"/>
              <w:rPr>
                <w:rFonts w:ascii="Arial" w:cs="Arial" w:eastAsia="Arial" w:hAnsi="Arial"/>
                <w:sz w:val="18"/>
                <w:szCs w:val="18"/>
                <w:color w:val="0000FF"/>
              </w:rPr>
            </w:pPr>
            <w:hyperlink r:id="rId104">
              <w:r>
                <w:rPr>
                  <w:rFonts w:ascii="Arial" w:cs="Arial" w:eastAsia="Arial" w:hAnsi="Arial"/>
                  <w:sz w:val="18"/>
                  <w:szCs w:val="18"/>
                  <w:color w:val="0000FF"/>
                </w:rPr>
                <w:t>to</w:t>
              </w:r>
            </w:hyperlink>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340" w:type="dxa"/>
            <w:vAlign w:val="bottom"/>
            <w:tcBorders>
              <w:top w:val="single" w:sz="8" w:color="0000FF"/>
            </w:tcBorders>
            <w:gridSpan w:val="24"/>
          </w:tcPr>
          <w:p>
            <w:pPr>
              <w:spacing w:after="0" w:line="142" w:lineRule="exact"/>
              <w:rPr>
                <w:rFonts w:ascii="Arial" w:cs="Arial" w:eastAsia="Arial" w:hAnsi="Arial"/>
                <w:sz w:val="16"/>
                <w:szCs w:val="16"/>
                <w:u w:val="single" w:color="auto"/>
                <w:color w:val="0000FF"/>
              </w:rPr>
            </w:pPr>
            <w:hyperlink r:id="rId104">
              <w:r>
                <w:rPr>
                  <w:rFonts w:ascii="Arial" w:cs="Arial" w:eastAsia="Arial" w:hAnsi="Arial"/>
                  <w:sz w:val="16"/>
                  <w:szCs w:val="16"/>
                  <w:u w:val="single" w:color="auto"/>
                  <w:color w:val="0000FF"/>
                </w:rPr>
                <w:t>the 9.500% Senior Secured Second Lien Notes due 2027 (including Form</w:t>
              </w:r>
            </w:hyperlink>
          </w:p>
        </w:tc>
        <w:tc>
          <w:tcPr>
            <w:tcW w:w="4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80" w:type="dxa"/>
            <w:vAlign w:val="bottom"/>
            <w:gridSpan w:val="26"/>
          </w:tcPr>
          <w:p>
            <w:pPr>
              <w:spacing w:after="0"/>
              <w:rPr>
                <w:rFonts w:ascii="Arial" w:cs="Arial" w:eastAsia="Arial" w:hAnsi="Arial"/>
                <w:sz w:val="18"/>
                <w:szCs w:val="18"/>
                <w:u w:val="single" w:color="auto"/>
                <w:color w:val="0000FF"/>
              </w:rPr>
            </w:pPr>
            <w:hyperlink r:id="rId104">
              <w:r>
                <w:rPr>
                  <w:rFonts w:ascii="Arial" w:cs="Arial" w:eastAsia="Arial" w:hAnsi="Arial"/>
                  <w:sz w:val="18"/>
                  <w:szCs w:val="18"/>
                  <w:u w:val="single" w:color="auto"/>
                  <w:color w:val="0000FF"/>
                </w:rPr>
                <w:t>of 9.500% Senior Secured Second Lien Notes due 2027)</w:t>
              </w:r>
            </w:hyperlink>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90"/>
        </w:trPr>
        <w:tc>
          <w:tcPr>
            <w:tcW w:w="54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4.8</w:t>
            </w:r>
          </w:p>
        </w:tc>
        <w:tc>
          <w:tcPr>
            <w:tcW w:w="400" w:type="dxa"/>
            <w:vAlign w:val="bottom"/>
          </w:tcPr>
          <w:p>
            <w:pPr>
              <w:spacing w:after="0"/>
              <w:rPr>
                <w:sz w:val="16"/>
                <w:szCs w:val="16"/>
                <w:color w:val="auto"/>
              </w:rPr>
            </w:pPr>
          </w:p>
        </w:tc>
        <w:tc>
          <w:tcPr>
            <w:tcW w:w="5380" w:type="dxa"/>
            <w:vAlign w:val="bottom"/>
            <w:gridSpan w:val="26"/>
          </w:tcPr>
          <w:p>
            <w:pPr>
              <w:spacing w:after="0" w:line="190" w:lineRule="exact"/>
              <w:rPr>
                <w:rFonts w:ascii="Arial" w:cs="Arial" w:eastAsia="Arial" w:hAnsi="Arial"/>
                <w:sz w:val="18"/>
                <w:szCs w:val="18"/>
                <w:color w:val="0000FF"/>
                <w:w w:val="94"/>
              </w:rPr>
            </w:pPr>
            <w:hyperlink r:id="rId105">
              <w:r>
                <w:rPr>
                  <w:rFonts w:ascii="Arial" w:cs="Arial" w:eastAsia="Arial" w:hAnsi="Arial"/>
                  <w:sz w:val="18"/>
                  <w:szCs w:val="18"/>
                  <w:color w:val="0000FF"/>
                  <w:w w:val="94"/>
                </w:rPr>
                <w:t>Indenture, dated as of June 16, 2020, among Endo Designated Activity</w:t>
              </w:r>
            </w:hyperlink>
          </w:p>
        </w:tc>
        <w:tc>
          <w:tcPr>
            <w:tcW w:w="1000" w:type="dxa"/>
            <w:vAlign w:val="bottom"/>
            <w:gridSpan w:val="2"/>
          </w:tcPr>
          <w:p>
            <w:pPr>
              <w:spacing w:after="0" w:line="190" w:lineRule="exact"/>
              <w:rPr>
                <w:sz w:val="20"/>
                <w:szCs w:val="20"/>
                <w:color w:val="auto"/>
              </w:rPr>
            </w:pPr>
            <w:r>
              <w:rPr>
                <w:rFonts w:ascii="Arial" w:cs="Arial" w:eastAsia="Arial" w:hAnsi="Arial"/>
                <w:sz w:val="18"/>
                <w:szCs w:val="18"/>
                <w:color w:val="auto"/>
              </w:rPr>
              <w:t>001-36326</w:t>
            </w:r>
          </w:p>
        </w:tc>
        <w:tc>
          <w:tcPr>
            <w:tcW w:w="3920" w:type="dxa"/>
            <w:vAlign w:val="bottom"/>
            <w:gridSpan w:val="6"/>
          </w:tcPr>
          <w:p>
            <w:pPr>
              <w:ind w:left="140"/>
              <w:spacing w:after="0" w:line="190" w:lineRule="exact"/>
              <w:rPr>
                <w:sz w:val="20"/>
                <w:szCs w:val="20"/>
                <w:color w:val="auto"/>
              </w:rPr>
            </w:pPr>
            <w:r>
              <w:rPr>
                <w:rFonts w:ascii="Arial" w:cs="Arial" w:eastAsia="Arial" w:hAnsi="Arial"/>
                <w:sz w:val="18"/>
                <w:szCs w:val="18"/>
                <w:color w:val="auto"/>
              </w:rPr>
              <w:t>Current Report on Form 8- June 16, 2020</w:t>
            </w: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100" w:type="dxa"/>
            <w:vAlign w:val="bottom"/>
            <w:tcBorders>
              <w:top w:val="single" w:sz="8" w:color="0000FF"/>
            </w:tcBorders>
            <w:gridSpan w:val="14"/>
          </w:tcPr>
          <w:p>
            <w:pPr>
              <w:spacing w:after="0" w:line="156" w:lineRule="exact"/>
              <w:rPr>
                <w:rFonts w:ascii="Arial" w:cs="Arial" w:eastAsia="Arial" w:hAnsi="Arial"/>
                <w:sz w:val="18"/>
                <w:szCs w:val="18"/>
                <w:color w:val="0000FF"/>
                <w:w w:val="91"/>
              </w:rPr>
            </w:pPr>
            <w:hyperlink r:id="rId105">
              <w:r>
                <w:rPr>
                  <w:rFonts w:ascii="Arial" w:cs="Arial" w:eastAsia="Arial" w:hAnsi="Arial"/>
                  <w:sz w:val="18"/>
                  <w:szCs w:val="18"/>
                  <w:color w:val="0000FF"/>
                  <w:w w:val="91"/>
                </w:rPr>
                <w:t>Company, Endo Finance LLC, Endo Finco Inc., the guarantors named</w:t>
              </w:r>
            </w:hyperlink>
          </w:p>
        </w:tc>
        <w:tc>
          <w:tcPr>
            <w:tcW w:w="180" w:type="dxa"/>
            <w:vAlign w:val="bottom"/>
            <w:gridSpan w:val="7"/>
          </w:tcPr>
          <w:p>
            <w:pPr>
              <w:spacing w:after="0"/>
              <w:rPr>
                <w:sz w:val="13"/>
                <w:szCs w:val="13"/>
                <w:color w:val="auto"/>
              </w:rPr>
            </w:pPr>
          </w:p>
        </w:tc>
        <w:tc>
          <w:tcPr>
            <w:tcW w:w="100" w:type="dxa"/>
            <w:vAlign w:val="bottom"/>
            <w:gridSpan w:val="5"/>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4"/>
          </w:tcPr>
          <w:p>
            <w:pPr>
              <w:ind w:left="140"/>
              <w:spacing w:after="0" w:line="156" w:lineRule="exact"/>
              <w:rPr>
                <w:sz w:val="20"/>
                <w:szCs w:val="20"/>
                <w:color w:val="auto"/>
              </w:rPr>
            </w:pPr>
            <w:r>
              <w:rPr>
                <w:rFonts w:ascii="Arial" w:cs="Arial" w:eastAsia="Arial" w:hAnsi="Arial"/>
                <w:sz w:val="18"/>
                <w:szCs w:val="18"/>
                <w:color w:val="auto"/>
              </w:rPr>
              <w:t>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40" w:type="dxa"/>
            <w:vAlign w:val="bottom"/>
            <w:tcBorders>
              <w:top w:val="single" w:sz="8" w:color="0000FF"/>
            </w:tcBorders>
            <w:gridSpan w:val="13"/>
          </w:tcPr>
          <w:p>
            <w:pPr>
              <w:spacing w:after="0" w:line="156" w:lineRule="exact"/>
              <w:rPr>
                <w:rFonts w:ascii="Arial" w:cs="Arial" w:eastAsia="Arial" w:hAnsi="Arial"/>
                <w:sz w:val="18"/>
                <w:szCs w:val="18"/>
                <w:color w:val="0000FF"/>
                <w:w w:val="88"/>
              </w:rPr>
            </w:pPr>
            <w:hyperlink r:id="rId105">
              <w:r>
                <w:rPr>
                  <w:rFonts w:ascii="Arial" w:cs="Arial" w:eastAsia="Arial" w:hAnsi="Arial"/>
                  <w:sz w:val="18"/>
                  <w:szCs w:val="18"/>
                  <w:color w:val="0000FF"/>
                  <w:w w:val="88"/>
                </w:rPr>
                <w:t>therein and Wells Fargo Bank, National Association, as trustee, relating</w:t>
              </w:r>
            </w:hyperlink>
          </w:p>
        </w:tc>
        <w:tc>
          <w:tcPr>
            <w:tcW w:w="340" w:type="dxa"/>
            <w:vAlign w:val="bottom"/>
            <w:gridSpan w:val="13"/>
          </w:tcPr>
          <w:p>
            <w:pPr>
              <w:ind w:left="160"/>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to</w:t>
              </w:r>
            </w:hyperlink>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340" w:type="dxa"/>
            <w:vAlign w:val="bottom"/>
            <w:tcBorders>
              <w:top w:val="single" w:sz="8" w:color="0000FF"/>
            </w:tcBorders>
            <w:gridSpan w:val="24"/>
          </w:tcPr>
          <w:p>
            <w:pPr>
              <w:spacing w:after="0" w:line="142" w:lineRule="exact"/>
              <w:rPr>
                <w:rFonts w:ascii="Arial" w:cs="Arial" w:eastAsia="Arial" w:hAnsi="Arial"/>
                <w:sz w:val="16"/>
                <w:szCs w:val="16"/>
                <w:u w:val="single" w:color="auto"/>
                <w:color w:val="0000FF"/>
              </w:rPr>
            </w:pPr>
            <w:hyperlink r:id="rId105">
              <w:r>
                <w:rPr>
                  <w:rFonts w:ascii="Arial" w:cs="Arial" w:eastAsia="Arial" w:hAnsi="Arial"/>
                  <w:sz w:val="16"/>
                  <w:szCs w:val="16"/>
                  <w:u w:val="single" w:color="auto"/>
                  <w:color w:val="0000FF"/>
                </w:rPr>
                <w:t>the 6.000% Senior Notes due 2028 (including Form of 6.000% Senior</w:t>
              </w:r>
            </w:hyperlink>
          </w:p>
        </w:tc>
        <w:tc>
          <w:tcPr>
            <w:tcW w:w="4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80" w:type="dxa"/>
            <w:vAlign w:val="bottom"/>
            <w:gridSpan w:val="26"/>
          </w:tcPr>
          <w:p>
            <w:pPr>
              <w:spacing w:after="0"/>
              <w:rPr>
                <w:rFonts w:ascii="Arial" w:cs="Arial" w:eastAsia="Arial" w:hAnsi="Arial"/>
                <w:sz w:val="18"/>
                <w:szCs w:val="18"/>
                <w:u w:val="single" w:color="auto"/>
                <w:color w:val="0000FF"/>
              </w:rPr>
            </w:pPr>
            <w:hyperlink r:id="rId105">
              <w:r>
                <w:rPr>
                  <w:rFonts w:ascii="Arial" w:cs="Arial" w:eastAsia="Arial" w:hAnsi="Arial"/>
                  <w:sz w:val="18"/>
                  <w:szCs w:val="18"/>
                  <w:u w:val="single" w:color="auto"/>
                  <w:color w:val="0000FF"/>
                </w:rPr>
                <w:t>Notes due 2028)</w:t>
              </w:r>
            </w:hyperlink>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6"/>
        </w:trPr>
        <w:tc>
          <w:tcPr>
            <w:tcW w:w="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10.1</w:t>
            </w:r>
          </w:p>
        </w:tc>
        <w:tc>
          <w:tcPr>
            <w:tcW w:w="400" w:type="dxa"/>
            <w:vAlign w:val="bottom"/>
          </w:tcPr>
          <w:p>
            <w:pPr>
              <w:spacing w:after="0"/>
              <w:rPr>
                <w:sz w:val="15"/>
                <w:szCs w:val="15"/>
                <w:color w:val="auto"/>
              </w:rPr>
            </w:pPr>
          </w:p>
        </w:tc>
        <w:tc>
          <w:tcPr>
            <w:tcW w:w="5380" w:type="dxa"/>
            <w:vAlign w:val="bottom"/>
            <w:gridSpan w:val="26"/>
          </w:tcPr>
          <w:p>
            <w:pPr>
              <w:spacing w:after="0" w:line="176" w:lineRule="exact"/>
              <w:rPr>
                <w:rFonts w:ascii="Arial" w:cs="Arial" w:eastAsia="Arial" w:hAnsi="Arial"/>
                <w:sz w:val="18"/>
                <w:szCs w:val="18"/>
                <w:u w:val="single" w:color="auto"/>
                <w:color w:val="0000FF"/>
              </w:rPr>
            </w:pPr>
            <w:hyperlink r:id="rId106">
              <w:r>
                <w:rPr>
                  <w:rFonts w:ascii="Arial" w:cs="Arial" w:eastAsia="Arial" w:hAnsi="Arial"/>
                  <w:sz w:val="18"/>
                  <w:szCs w:val="18"/>
                  <w:u w:val="single" w:color="auto"/>
                  <w:color w:val="0000FF"/>
                </w:rPr>
                <w:t>Amended and Restated Executive Deferred Compensation Plan</w:t>
              </w:r>
            </w:hyperlink>
          </w:p>
        </w:tc>
        <w:tc>
          <w:tcPr>
            <w:tcW w:w="1000" w:type="dxa"/>
            <w:vAlign w:val="bottom"/>
            <w:gridSpan w:val="2"/>
          </w:tcPr>
          <w:p>
            <w:pPr>
              <w:spacing w:after="0" w:line="176" w:lineRule="exact"/>
              <w:rPr>
                <w:sz w:val="20"/>
                <w:szCs w:val="20"/>
                <w:color w:val="auto"/>
              </w:rPr>
            </w:pPr>
            <w:r>
              <w:rPr>
                <w:rFonts w:ascii="Arial" w:cs="Arial" w:eastAsia="Arial" w:hAnsi="Arial"/>
                <w:sz w:val="18"/>
                <w:szCs w:val="18"/>
                <w:color w:val="auto"/>
              </w:rPr>
              <w:t>001-36326</w:t>
            </w:r>
          </w:p>
        </w:tc>
        <w:tc>
          <w:tcPr>
            <w:tcW w:w="2120" w:type="dxa"/>
            <w:vAlign w:val="bottom"/>
            <w:gridSpan w:val="4"/>
          </w:tcPr>
          <w:p>
            <w:pPr>
              <w:ind w:left="140"/>
              <w:spacing w:after="0" w:line="176" w:lineRule="exact"/>
              <w:rPr>
                <w:sz w:val="20"/>
                <w:szCs w:val="20"/>
                <w:color w:val="auto"/>
              </w:rPr>
            </w:pPr>
            <w:r>
              <w:rPr>
                <w:rFonts w:ascii="Arial" w:cs="Arial" w:eastAsia="Arial" w:hAnsi="Arial"/>
                <w:sz w:val="18"/>
                <w:szCs w:val="18"/>
                <w:color w:val="auto"/>
                <w:w w:val="95"/>
              </w:rPr>
              <w:t>Quarterly Report on Form</w:t>
            </w:r>
          </w:p>
        </w:tc>
        <w:tc>
          <w:tcPr>
            <w:tcW w:w="1800" w:type="dxa"/>
            <w:vAlign w:val="bottom"/>
            <w:gridSpan w:val="2"/>
          </w:tcPr>
          <w:p>
            <w:pPr>
              <w:spacing w:after="0" w:line="176" w:lineRule="exact"/>
              <w:rPr>
                <w:sz w:val="20"/>
                <w:szCs w:val="20"/>
                <w:color w:val="auto"/>
              </w:rPr>
            </w:pPr>
            <w:r>
              <w:rPr>
                <w:rFonts w:ascii="Arial" w:cs="Arial" w:eastAsia="Arial" w:hAnsi="Arial"/>
                <w:sz w:val="18"/>
                <w:szCs w:val="18"/>
                <w:color w:val="auto"/>
              </w:rPr>
              <w:t>August 8, 2018</w:t>
            </w: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4"/>
          </w:tcPr>
          <w:p>
            <w:pPr>
              <w:ind w:left="140"/>
              <w:spacing w:after="0"/>
              <w:rPr>
                <w:sz w:val="20"/>
                <w:szCs w:val="20"/>
                <w:color w:val="auto"/>
              </w:rPr>
            </w:pPr>
            <w:r>
              <w:rPr>
                <w:rFonts w:ascii="Arial" w:cs="Arial" w:eastAsia="Arial" w:hAnsi="Arial"/>
                <w:sz w:val="18"/>
                <w:szCs w:val="18"/>
                <w:color w:val="auto"/>
              </w:rPr>
              <w:t>10-Q</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6"/>
        </w:trPr>
        <w:tc>
          <w:tcPr>
            <w:tcW w:w="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10.2</w:t>
            </w:r>
          </w:p>
        </w:tc>
        <w:tc>
          <w:tcPr>
            <w:tcW w:w="400" w:type="dxa"/>
            <w:vAlign w:val="bottom"/>
          </w:tcPr>
          <w:p>
            <w:pPr>
              <w:spacing w:after="0"/>
              <w:rPr>
                <w:sz w:val="15"/>
                <w:szCs w:val="15"/>
                <w:color w:val="auto"/>
              </w:rPr>
            </w:pPr>
          </w:p>
        </w:tc>
        <w:tc>
          <w:tcPr>
            <w:tcW w:w="5380" w:type="dxa"/>
            <w:vAlign w:val="bottom"/>
            <w:gridSpan w:val="26"/>
          </w:tcPr>
          <w:p>
            <w:pPr>
              <w:spacing w:after="0" w:line="176" w:lineRule="exact"/>
              <w:rPr>
                <w:rFonts w:ascii="Arial" w:cs="Arial" w:eastAsia="Arial" w:hAnsi="Arial"/>
                <w:sz w:val="18"/>
                <w:szCs w:val="18"/>
                <w:u w:val="single" w:color="auto"/>
                <w:color w:val="0000FF"/>
              </w:rPr>
            </w:pPr>
            <w:hyperlink r:id="rId107">
              <w:r>
                <w:rPr>
                  <w:rFonts w:ascii="Arial" w:cs="Arial" w:eastAsia="Arial" w:hAnsi="Arial"/>
                  <w:sz w:val="18"/>
                  <w:szCs w:val="18"/>
                  <w:u w:val="single" w:color="auto"/>
                  <w:color w:val="0000FF"/>
                </w:rPr>
                <w:t>Amended and Restated 401(k) Restoration Plan</w:t>
              </w:r>
            </w:hyperlink>
          </w:p>
        </w:tc>
        <w:tc>
          <w:tcPr>
            <w:tcW w:w="1000" w:type="dxa"/>
            <w:vAlign w:val="bottom"/>
            <w:gridSpan w:val="2"/>
          </w:tcPr>
          <w:p>
            <w:pPr>
              <w:spacing w:after="0" w:line="176" w:lineRule="exact"/>
              <w:rPr>
                <w:sz w:val="20"/>
                <w:szCs w:val="20"/>
                <w:color w:val="auto"/>
              </w:rPr>
            </w:pPr>
            <w:r>
              <w:rPr>
                <w:rFonts w:ascii="Arial" w:cs="Arial" w:eastAsia="Arial" w:hAnsi="Arial"/>
                <w:sz w:val="18"/>
                <w:szCs w:val="18"/>
                <w:color w:val="auto"/>
              </w:rPr>
              <w:t>001-15989</w:t>
            </w:r>
          </w:p>
        </w:tc>
        <w:tc>
          <w:tcPr>
            <w:tcW w:w="2120" w:type="dxa"/>
            <w:vAlign w:val="bottom"/>
            <w:gridSpan w:val="4"/>
          </w:tcPr>
          <w:p>
            <w:pPr>
              <w:ind w:left="140"/>
              <w:spacing w:after="0" w:line="176" w:lineRule="exact"/>
              <w:rPr>
                <w:sz w:val="20"/>
                <w:szCs w:val="20"/>
                <w:color w:val="auto"/>
              </w:rPr>
            </w:pPr>
            <w:r>
              <w:rPr>
                <w:rFonts w:ascii="Arial" w:cs="Arial" w:eastAsia="Arial" w:hAnsi="Arial"/>
                <w:sz w:val="18"/>
                <w:szCs w:val="18"/>
                <w:color w:val="auto"/>
              </w:rPr>
              <w:t>Annual Report on Form</w:t>
            </w:r>
          </w:p>
        </w:tc>
        <w:tc>
          <w:tcPr>
            <w:tcW w:w="1800" w:type="dxa"/>
            <w:vAlign w:val="bottom"/>
            <w:gridSpan w:val="2"/>
          </w:tcPr>
          <w:p>
            <w:pPr>
              <w:spacing w:after="0" w:line="176" w:lineRule="exact"/>
              <w:rPr>
                <w:sz w:val="20"/>
                <w:szCs w:val="20"/>
                <w:color w:val="auto"/>
              </w:rPr>
            </w:pPr>
            <w:r>
              <w:rPr>
                <w:rFonts w:ascii="Arial" w:cs="Arial" w:eastAsia="Arial" w:hAnsi="Arial"/>
                <w:sz w:val="18"/>
                <w:szCs w:val="18"/>
                <w:color w:val="auto"/>
              </w:rPr>
              <w:t>March 1, 2013</w:t>
            </w: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4"/>
          </w:tcPr>
          <w:p>
            <w:pPr>
              <w:ind w:left="140"/>
              <w:spacing w:after="0"/>
              <w:rPr>
                <w:sz w:val="20"/>
                <w:szCs w:val="20"/>
                <w:color w:val="auto"/>
              </w:rPr>
            </w:pPr>
            <w:r>
              <w:rPr>
                <w:rFonts w:ascii="Arial" w:cs="Arial" w:eastAsia="Arial" w:hAnsi="Arial"/>
                <w:sz w:val="18"/>
                <w:szCs w:val="18"/>
                <w:color w:val="auto"/>
              </w:rPr>
              <w:t>10-K</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6"/>
        </w:trPr>
        <w:tc>
          <w:tcPr>
            <w:tcW w:w="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10.3</w:t>
            </w:r>
          </w:p>
        </w:tc>
        <w:tc>
          <w:tcPr>
            <w:tcW w:w="400" w:type="dxa"/>
            <w:vAlign w:val="bottom"/>
          </w:tcPr>
          <w:p>
            <w:pPr>
              <w:spacing w:after="0"/>
              <w:rPr>
                <w:sz w:val="15"/>
                <w:szCs w:val="15"/>
                <w:color w:val="auto"/>
              </w:rPr>
            </w:pPr>
          </w:p>
        </w:tc>
        <w:tc>
          <w:tcPr>
            <w:tcW w:w="5380" w:type="dxa"/>
            <w:vAlign w:val="bottom"/>
            <w:gridSpan w:val="26"/>
          </w:tcPr>
          <w:p>
            <w:pPr>
              <w:spacing w:after="0" w:line="176" w:lineRule="exact"/>
              <w:rPr>
                <w:rFonts w:ascii="Arial" w:cs="Arial" w:eastAsia="Arial" w:hAnsi="Arial"/>
                <w:sz w:val="18"/>
                <w:szCs w:val="18"/>
                <w:u w:val="single" w:color="auto"/>
                <w:color w:val="0000FF"/>
              </w:rPr>
            </w:pPr>
            <w:hyperlink r:id="rId108">
              <w:r>
                <w:rPr>
                  <w:rFonts w:ascii="Arial" w:cs="Arial" w:eastAsia="Arial" w:hAnsi="Arial"/>
                  <w:sz w:val="18"/>
                  <w:szCs w:val="18"/>
                  <w:u w:val="single" w:color="auto"/>
                  <w:color w:val="0000FF"/>
                </w:rPr>
                <w:t>Directors Deferred Compensation Plan</w:t>
              </w:r>
            </w:hyperlink>
          </w:p>
        </w:tc>
        <w:tc>
          <w:tcPr>
            <w:tcW w:w="1000" w:type="dxa"/>
            <w:vAlign w:val="bottom"/>
            <w:gridSpan w:val="2"/>
          </w:tcPr>
          <w:p>
            <w:pPr>
              <w:spacing w:after="0" w:line="176" w:lineRule="exact"/>
              <w:rPr>
                <w:sz w:val="20"/>
                <w:szCs w:val="20"/>
                <w:color w:val="auto"/>
              </w:rPr>
            </w:pPr>
            <w:r>
              <w:rPr>
                <w:rFonts w:ascii="Arial" w:cs="Arial" w:eastAsia="Arial" w:hAnsi="Arial"/>
                <w:sz w:val="18"/>
                <w:szCs w:val="18"/>
                <w:color w:val="auto"/>
              </w:rPr>
              <w:t>001-15989</w:t>
            </w:r>
          </w:p>
        </w:tc>
        <w:tc>
          <w:tcPr>
            <w:tcW w:w="2120" w:type="dxa"/>
            <w:vAlign w:val="bottom"/>
            <w:gridSpan w:val="4"/>
          </w:tcPr>
          <w:p>
            <w:pPr>
              <w:ind w:left="140"/>
              <w:spacing w:after="0" w:line="176" w:lineRule="exact"/>
              <w:rPr>
                <w:sz w:val="20"/>
                <w:szCs w:val="20"/>
                <w:color w:val="auto"/>
              </w:rPr>
            </w:pPr>
            <w:r>
              <w:rPr>
                <w:rFonts w:ascii="Arial" w:cs="Arial" w:eastAsia="Arial" w:hAnsi="Arial"/>
                <w:sz w:val="18"/>
                <w:szCs w:val="18"/>
                <w:color w:val="auto"/>
              </w:rPr>
              <w:t>Annual Report on Form</w:t>
            </w:r>
          </w:p>
        </w:tc>
        <w:tc>
          <w:tcPr>
            <w:tcW w:w="1800" w:type="dxa"/>
            <w:vAlign w:val="bottom"/>
            <w:gridSpan w:val="2"/>
          </w:tcPr>
          <w:p>
            <w:pPr>
              <w:spacing w:after="0" w:line="176" w:lineRule="exact"/>
              <w:rPr>
                <w:sz w:val="20"/>
                <w:szCs w:val="20"/>
                <w:color w:val="auto"/>
              </w:rPr>
            </w:pPr>
            <w:r>
              <w:rPr>
                <w:rFonts w:ascii="Arial" w:cs="Arial" w:eastAsia="Arial" w:hAnsi="Arial"/>
                <w:sz w:val="18"/>
                <w:szCs w:val="18"/>
                <w:color w:val="auto"/>
              </w:rPr>
              <w:t>March 1, 2013</w:t>
            </w: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4"/>
          </w:tcPr>
          <w:p>
            <w:pPr>
              <w:ind w:left="140"/>
              <w:spacing w:after="0"/>
              <w:rPr>
                <w:sz w:val="20"/>
                <w:szCs w:val="20"/>
                <w:color w:val="auto"/>
              </w:rPr>
            </w:pPr>
            <w:r>
              <w:rPr>
                <w:rFonts w:ascii="Arial" w:cs="Arial" w:eastAsia="Arial" w:hAnsi="Arial"/>
                <w:sz w:val="18"/>
                <w:szCs w:val="18"/>
                <w:color w:val="auto"/>
              </w:rPr>
              <w:t>10-K</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90"/>
        </w:trPr>
        <w:tc>
          <w:tcPr>
            <w:tcW w:w="54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10.4</w:t>
            </w:r>
          </w:p>
        </w:tc>
        <w:tc>
          <w:tcPr>
            <w:tcW w:w="400" w:type="dxa"/>
            <w:vAlign w:val="bottom"/>
          </w:tcPr>
          <w:p>
            <w:pPr>
              <w:spacing w:after="0"/>
              <w:rPr>
                <w:sz w:val="16"/>
                <w:szCs w:val="16"/>
                <w:color w:val="auto"/>
              </w:rPr>
            </w:pPr>
          </w:p>
        </w:tc>
        <w:tc>
          <w:tcPr>
            <w:tcW w:w="5380" w:type="dxa"/>
            <w:vAlign w:val="bottom"/>
            <w:gridSpan w:val="26"/>
          </w:tcPr>
          <w:p>
            <w:pPr>
              <w:spacing w:after="0" w:line="190" w:lineRule="exact"/>
              <w:rPr>
                <w:rFonts w:ascii="Arial" w:cs="Arial" w:eastAsia="Arial" w:hAnsi="Arial"/>
                <w:sz w:val="18"/>
                <w:szCs w:val="18"/>
                <w:color w:val="0000FF"/>
                <w:w w:val="91"/>
              </w:rPr>
            </w:pPr>
            <w:hyperlink r:id="rId109">
              <w:r>
                <w:rPr>
                  <w:rFonts w:ascii="Arial" w:cs="Arial" w:eastAsia="Arial" w:hAnsi="Arial"/>
                  <w:sz w:val="18"/>
                  <w:szCs w:val="18"/>
                  <w:color w:val="0000FF"/>
                  <w:w w:val="91"/>
                </w:rPr>
                <w:t>Endo International plc Amended and Restated Employee Stock Purchase</w:t>
              </w:r>
            </w:hyperlink>
          </w:p>
        </w:tc>
        <w:tc>
          <w:tcPr>
            <w:tcW w:w="1000" w:type="dxa"/>
            <w:vAlign w:val="bottom"/>
            <w:gridSpan w:val="2"/>
          </w:tcPr>
          <w:p>
            <w:pPr>
              <w:spacing w:after="0" w:line="190" w:lineRule="exact"/>
              <w:rPr>
                <w:sz w:val="20"/>
                <w:szCs w:val="20"/>
                <w:color w:val="auto"/>
              </w:rPr>
            </w:pPr>
            <w:r>
              <w:rPr>
                <w:rFonts w:ascii="Arial" w:cs="Arial" w:eastAsia="Arial" w:hAnsi="Arial"/>
                <w:sz w:val="18"/>
                <w:szCs w:val="18"/>
                <w:color w:val="auto"/>
              </w:rPr>
              <w:t>333-194253</w:t>
            </w:r>
          </w:p>
        </w:tc>
        <w:tc>
          <w:tcPr>
            <w:tcW w:w="2120" w:type="dxa"/>
            <w:vAlign w:val="bottom"/>
            <w:gridSpan w:val="4"/>
          </w:tcPr>
          <w:p>
            <w:pPr>
              <w:ind w:left="140"/>
              <w:spacing w:after="0" w:line="190" w:lineRule="exact"/>
              <w:rPr>
                <w:sz w:val="20"/>
                <w:szCs w:val="20"/>
                <w:color w:val="auto"/>
              </w:rPr>
            </w:pPr>
            <w:r>
              <w:rPr>
                <w:rFonts w:ascii="Arial" w:cs="Arial" w:eastAsia="Arial" w:hAnsi="Arial"/>
                <w:sz w:val="18"/>
                <w:szCs w:val="18"/>
                <w:color w:val="auto"/>
              </w:rPr>
              <w:t>Form S-8</w:t>
            </w:r>
          </w:p>
        </w:tc>
        <w:tc>
          <w:tcPr>
            <w:tcW w:w="1800" w:type="dxa"/>
            <w:vAlign w:val="bottom"/>
            <w:gridSpan w:val="2"/>
          </w:tcPr>
          <w:p>
            <w:pPr>
              <w:spacing w:after="0" w:line="190" w:lineRule="exact"/>
              <w:rPr>
                <w:sz w:val="20"/>
                <w:szCs w:val="20"/>
                <w:color w:val="auto"/>
              </w:rPr>
            </w:pPr>
            <w:r>
              <w:rPr>
                <w:rFonts w:ascii="Arial" w:cs="Arial" w:eastAsia="Arial" w:hAnsi="Arial"/>
                <w:sz w:val="18"/>
                <w:szCs w:val="18"/>
                <w:color w:val="auto"/>
              </w:rPr>
              <w:t>February 28, 2014</w:t>
            </w: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09">
              <w:r>
                <w:rPr>
                  <w:rFonts w:ascii="Arial" w:cs="Arial" w:eastAsia="Arial" w:hAnsi="Arial"/>
                  <w:sz w:val="18"/>
                  <w:szCs w:val="18"/>
                  <w:color w:val="0000FF"/>
                </w:rPr>
                <w:t>Plan</w:t>
              </w:r>
            </w:hyperlink>
          </w:p>
        </w:tc>
        <w:tc>
          <w:tcPr>
            <w:tcW w:w="100" w:type="dxa"/>
            <w:vAlign w:val="bottom"/>
            <w:gridSpan w:val="5"/>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76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520" w:type="dxa"/>
            <w:vAlign w:val="bottom"/>
            <w:gridSpan w:val="5"/>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86"/>
        </w:trPr>
        <w:tc>
          <w:tcPr>
            <w:tcW w:w="6320" w:type="dxa"/>
            <w:vAlign w:val="bottom"/>
            <w:gridSpan w:val="36"/>
          </w:tcPr>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66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Incorporated by Reference from:</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0"/>
              </w:rPr>
              <w:t>Description</w:t>
            </w:r>
          </w:p>
        </w:tc>
        <w:tc>
          <w:tcPr>
            <w:tcW w:w="4660" w:type="dxa"/>
            <w:vAlign w:val="bottom"/>
            <w:gridSpan w:val="31"/>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4"/>
                <w:szCs w:val="14"/>
                <w:b w:val="1"/>
                <w:bCs w:val="1"/>
                <w:color w:val="auto"/>
                <w:w w:val="93"/>
              </w:rPr>
              <w:t>File Number</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Filing Type</w:t>
            </w:r>
          </w:p>
        </w:tc>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18"/>
                <w:szCs w:val="18"/>
                <w:color w:val="auto"/>
              </w:rPr>
            </w:pPr>
          </w:p>
        </w:tc>
        <w:tc>
          <w:tcPr>
            <w:tcW w:w="5380" w:type="dxa"/>
            <w:vAlign w:val="bottom"/>
            <w:gridSpan w:val="33"/>
          </w:tcPr>
          <w:p>
            <w:pPr>
              <w:spacing w:after="0"/>
              <w:rPr>
                <w:rFonts w:ascii="Arial" w:cs="Arial" w:eastAsia="Arial" w:hAnsi="Arial"/>
                <w:sz w:val="18"/>
                <w:szCs w:val="18"/>
                <w:color w:val="0000FF"/>
                <w:w w:val="92"/>
              </w:rPr>
            </w:pPr>
            <w:hyperlink r:id="rId112">
              <w:r>
                <w:rPr>
                  <w:rFonts w:ascii="Arial" w:cs="Arial" w:eastAsia="Arial" w:hAnsi="Arial"/>
                  <w:sz w:val="18"/>
                  <w:szCs w:val="18"/>
                  <w:color w:val="0000FF"/>
                  <w:w w:val="92"/>
                </w:rPr>
                <w:t>Credit Agreement, dated as of April 27, 2017, among Endo International,</w:t>
              </w:r>
            </w:hyperlink>
          </w:p>
        </w:tc>
        <w:tc>
          <w:tcPr>
            <w:tcW w:w="96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3960" w:type="dxa"/>
            <w:vAlign w:val="bottom"/>
            <w:gridSpan w:val="6"/>
          </w:tcPr>
          <w:p>
            <w:pPr>
              <w:ind w:left="180"/>
              <w:spacing w:after="0"/>
              <w:rPr>
                <w:sz w:val="20"/>
                <w:szCs w:val="20"/>
                <w:color w:val="auto"/>
              </w:rPr>
            </w:pPr>
            <w:r>
              <w:rPr>
                <w:rFonts w:ascii="Arial" w:cs="Arial" w:eastAsia="Arial" w:hAnsi="Arial"/>
                <w:sz w:val="18"/>
                <w:szCs w:val="18"/>
                <w:color w:val="auto"/>
              </w:rPr>
              <w:t>Current Report on Form 8- April 28, 2017</w:t>
            </w: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0"/>
              </w:rPr>
            </w:pPr>
            <w:hyperlink r:id="rId112">
              <w:r>
                <w:rPr>
                  <w:rFonts w:ascii="Arial" w:cs="Arial" w:eastAsia="Arial" w:hAnsi="Arial"/>
                  <w:sz w:val="18"/>
                  <w:szCs w:val="18"/>
                  <w:color w:val="0000FF"/>
                  <w:w w:val="90"/>
                </w:rPr>
                <w:t>plc, as parent, Endo Luxembourg Finance Company I S.à.r.l. and Endo</w:t>
              </w:r>
            </w:hyperlink>
          </w:p>
        </w:tc>
        <w:tc>
          <w:tcPr>
            <w:tcW w:w="2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80" w:type="dxa"/>
            <w:vAlign w:val="bottom"/>
            <w:gridSpan w:val="33"/>
          </w:tcPr>
          <w:p>
            <w:pPr>
              <w:spacing w:after="0" w:line="156" w:lineRule="exact"/>
              <w:rPr>
                <w:rFonts w:ascii="Arial" w:cs="Arial" w:eastAsia="Arial" w:hAnsi="Arial"/>
                <w:sz w:val="18"/>
                <w:szCs w:val="18"/>
                <w:color w:val="0000FF"/>
                <w:w w:val="92"/>
              </w:rPr>
            </w:pPr>
            <w:hyperlink r:id="rId112">
              <w:r>
                <w:rPr>
                  <w:rFonts w:ascii="Arial" w:cs="Arial" w:eastAsia="Arial" w:hAnsi="Arial"/>
                  <w:sz w:val="18"/>
                  <w:szCs w:val="18"/>
                  <w:color w:val="0000FF"/>
                  <w:w w:val="92"/>
                </w:rPr>
                <w:t>LLC, as borrowers, the lenders party thereto and JPMorgan Chase Bank,</w:t>
              </w:r>
            </w:hyperlink>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5"/>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300" w:type="dxa"/>
            <w:vAlign w:val="bottom"/>
            <w:tcBorders>
              <w:top w:val="single" w:sz="8" w:color="0000FF"/>
            </w:tcBorders>
            <w:gridSpan w:val="29"/>
          </w:tcPr>
          <w:p>
            <w:pPr>
              <w:spacing w:after="0" w:line="195" w:lineRule="exact"/>
              <w:rPr>
                <w:rFonts w:ascii="Arial" w:cs="Arial" w:eastAsia="Arial" w:hAnsi="Arial"/>
                <w:sz w:val="18"/>
                <w:szCs w:val="18"/>
                <w:u w:val="single" w:color="auto"/>
                <w:color w:val="0000FF"/>
              </w:rPr>
            </w:pPr>
            <w:hyperlink r:id="rId112">
              <w:r>
                <w:rPr>
                  <w:rFonts w:ascii="Arial" w:cs="Arial" w:eastAsia="Arial" w:hAnsi="Arial"/>
                  <w:sz w:val="18"/>
                  <w:szCs w:val="18"/>
                  <w:u w:val="single" w:color="auto"/>
                  <w:color w:val="0000FF"/>
                </w:rPr>
                <w:t>N.A., as administrative agent, issuing bank and swingline lender</w:t>
              </w:r>
            </w:hyperlink>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0"/>
        </w:trPr>
        <w:tc>
          <w:tcPr>
            <w:tcW w:w="540" w:type="dxa"/>
            <w:vAlign w:val="bottom"/>
            <w:gridSpan w:val="2"/>
          </w:tcPr>
          <w:p>
            <w:pPr>
              <w:ind w:left="20"/>
              <w:spacing w:after="0" w:line="190" w:lineRule="exact"/>
              <w:rPr>
                <w:sz w:val="20"/>
                <w:szCs w:val="20"/>
                <w:color w:val="auto"/>
              </w:rPr>
            </w:pPr>
            <w:r>
              <w:rPr>
                <w:rFonts w:ascii="Arial" w:cs="Arial" w:eastAsia="Arial" w:hAnsi="Arial"/>
                <w:sz w:val="18"/>
                <w:szCs w:val="18"/>
                <w:color w:val="auto"/>
                <w:w w:val="99"/>
              </w:rPr>
              <w:t>10.5.1</w:t>
            </w:r>
          </w:p>
        </w:tc>
        <w:tc>
          <w:tcPr>
            <w:tcW w:w="400" w:type="dxa"/>
            <w:vAlign w:val="bottom"/>
          </w:tcPr>
          <w:p>
            <w:pPr>
              <w:spacing w:after="0"/>
              <w:rPr>
                <w:sz w:val="16"/>
                <w:szCs w:val="16"/>
                <w:color w:val="auto"/>
              </w:rPr>
            </w:pPr>
          </w:p>
        </w:tc>
        <w:tc>
          <w:tcPr>
            <w:tcW w:w="5380" w:type="dxa"/>
            <w:vAlign w:val="bottom"/>
            <w:gridSpan w:val="33"/>
          </w:tcPr>
          <w:p>
            <w:pPr>
              <w:spacing w:after="0" w:line="190" w:lineRule="exact"/>
              <w:rPr>
                <w:rFonts w:ascii="Arial" w:cs="Arial" w:eastAsia="Arial" w:hAnsi="Arial"/>
                <w:sz w:val="18"/>
                <w:szCs w:val="18"/>
                <w:color w:val="0000FF"/>
                <w:w w:val="93"/>
              </w:rPr>
            </w:pPr>
            <w:hyperlink r:id="rId113">
              <w:r>
                <w:rPr>
                  <w:rFonts w:ascii="Arial" w:cs="Arial" w:eastAsia="Arial" w:hAnsi="Arial"/>
                  <w:sz w:val="18"/>
                  <w:szCs w:val="18"/>
                  <w:color w:val="0000FF"/>
                  <w:w w:val="93"/>
                </w:rPr>
                <w:t>First Amendment, dated as of March 28, 2019 (to the Credit Agreement,</w:t>
              </w:r>
            </w:hyperlink>
          </w:p>
        </w:tc>
        <w:tc>
          <w:tcPr>
            <w:tcW w:w="960" w:type="dxa"/>
            <w:vAlign w:val="bottom"/>
            <w:gridSpan w:val="2"/>
          </w:tcPr>
          <w:p>
            <w:pPr>
              <w:spacing w:after="0" w:line="190" w:lineRule="exact"/>
              <w:rPr>
                <w:sz w:val="20"/>
                <w:szCs w:val="20"/>
                <w:color w:val="auto"/>
              </w:rPr>
            </w:pPr>
            <w:r>
              <w:rPr>
                <w:rFonts w:ascii="Arial" w:cs="Arial" w:eastAsia="Arial" w:hAnsi="Arial"/>
                <w:sz w:val="18"/>
                <w:szCs w:val="18"/>
                <w:color w:val="auto"/>
              </w:rPr>
              <w:t>001-36326</w:t>
            </w:r>
          </w:p>
        </w:tc>
        <w:tc>
          <w:tcPr>
            <w:tcW w:w="3960" w:type="dxa"/>
            <w:vAlign w:val="bottom"/>
            <w:gridSpan w:val="6"/>
          </w:tcPr>
          <w:p>
            <w:pPr>
              <w:ind w:left="180"/>
              <w:spacing w:after="0" w:line="190" w:lineRule="exact"/>
              <w:rPr>
                <w:sz w:val="20"/>
                <w:szCs w:val="20"/>
                <w:color w:val="auto"/>
              </w:rPr>
            </w:pPr>
            <w:r>
              <w:rPr>
                <w:rFonts w:ascii="Arial" w:cs="Arial" w:eastAsia="Arial" w:hAnsi="Arial"/>
                <w:sz w:val="18"/>
                <w:szCs w:val="18"/>
                <w:color w:val="auto"/>
              </w:rPr>
              <w:t>Current Report on Form 8- March 28, 2019</w:t>
            </w: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80" w:type="dxa"/>
            <w:vAlign w:val="bottom"/>
            <w:tcBorders>
              <w:top w:val="single" w:sz="8" w:color="0000FF"/>
            </w:tcBorders>
            <w:gridSpan w:val="28"/>
          </w:tcPr>
          <w:p>
            <w:pPr>
              <w:spacing w:after="0" w:line="156" w:lineRule="exact"/>
              <w:rPr>
                <w:rFonts w:ascii="Arial" w:cs="Arial" w:eastAsia="Arial" w:hAnsi="Arial"/>
                <w:sz w:val="18"/>
                <w:szCs w:val="18"/>
                <w:color w:val="0000FF"/>
                <w:w w:val="92"/>
              </w:rPr>
            </w:pPr>
            <w:hyperlink r:id="rId113">
              <w:r>
                <w:rPr>
                  <w:rFonts w:ascii="Arial" w:cs="Arial" w:eastAsia="Arial" w:hAnsi="Arial"/>
                  <w:sz w:val="18"/>
                  <w:szCs w:val="18"/>
                  <w:color w:val="0000FF"/>
                  <w:w w:val="92"/>
                </w:rPr>
                <w:t>dated as of April 27, 2017), by and among Endo International plc, Endo</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0" w:type="dxa"/>
            <w:vAlign w:val="bottom"/>
            <w:tcBorders>
              <w:top w:val="single" w:sz="8" w:color="0000FF"/>
            </w:tcBorders>
            <w:gridSpan w:val="24"/>
          </w:tcPr>
          <w:p>
            <w:pPr>
              <w:spacing w:after="0" w:line="156" w:lineRule="exact"/>
              <w:rPr>
                <w:rFonts w:ascii="Arial" w:cs="Arial" w:eastAsia="Arial" w:hAnsi="Arial"/>
                <w:sz w:val="18"/>
                <w:szCs w:val="18"/>
                <w:color w:val="0000FF"/>
                <w:w w:val="91"/>
              </w:rPr>
            </w:pPr>
            <w:hyperlink r:id="rId113">
              <w:r>
                <w:rPr>
                  <w:rFonts w:ascii="Arial" w:cs="Arial" w:eastAsia="Arial" w:hAnsi="Arial"/>
                  <w:sz w:val="18"/>
                  <w:szCs w:val="18"/>
                  <w:color w:val="0000FF"/>
                  <w:w w:val="91"/>
                </w:rPr>
                <w:t>Luxembourg Finance Company I Sarl and Endo LLC, as borrowers,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180" w:type="dxa"/>
            <w:vAlign w:val="bottom"/>
            <w:tcBorders>
              <w:top w:val="single" w:sz="8" w:color="0000FF"/>
            </w:tcBorders>
            <w:gridSpan w:val="23"/>
          </w:tcPr>
          <w:p>
            <w:pPr>
              <w:spacing w:after="0" w:line="142" w:lineRule="exact"/>
              <w:rPr>
                <w:rFonts w:ascii="Arial" w:cs="Arial" w:eastAsia="Arial" w:hAnsi="Arial"/>
                <w:sz w:val="16"/>
                <w:szCs w:val="16"/>
                <w:u w:val="single" w:color="auto"/>
                <w:color w:val="0000FF"/>
              </w:rPr>
            </w:pPr>
            <w:hyperlink r:id="rId113">
              <w:r>
                <w:rPr>
                  <w:rFonts w:ascii="Arial" w:cs="Arial" w:eastAsia="Arial" w:hAnsi="Arial"/>
                  <w:sz w:val="16"/>
                  <w:szCs w:val="16"/>
                  <w:u w:val="single" w:color="auto"/>
                  <w:color w:val="0000FF"/>
                </w:rPr>
                <w:t>lenders and other parties party thereto and JPMorgan Chase Bank, N.A.</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80" w:type="dxa"/>
            <w:vAlign w:val="bottom"/>
            <w:gridSpan w:val="33"/>
          </w:tcPr>
          <w:p>
            <w:pPr>
              <w:spacing w:after="0"/>
              <w:rPr>
                <w:rFonts w:ascii="Arial" w:cs="Arial" w:eastAsia="Arial" w:hAnsi="Arial"/>
                <w:sz w:val="18"/>
                <w:szCs w:val="18"/>
                <w:u w:val="single" w:color="auto"/>
                <w:color w:val="0000FF"/>
              </w:rPr>
            </w:pPr>
            <w:hyperlink r:id="rId113">
              <w:r>
                <w:rPr>
                  <w:rFonts w:ascii="Arial" w:cs="Arial" w:eastAsia="Arial" w:hAnsi="Arial"/>
                  <w:sz w:val="18"/>
                  <w:szCs w:val="18"/>
                  <w:u w:val="single" w:color="auto"/>
                  <w:color w:val="0000FF"/>
                </w:rPr>
                <w:t>as administrative agent, issuing bank and swingline lender</w:t>
              </w:r>
            </w:hyperlink>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90"/>
        </w:trPr>
        <w:tc>
          <w:tcPr>
            <w:tcW w:w="54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10.6</w:t>
            </w:r>
          </w:p>
        </w:tc>
        <w:tc>
          <w:tcPr>
            <w:tcW w:w="400" w:type="dxa"/>
            <w:vAlign w:val="bottom"/>
          </w:tcPr>
          <w:p>
            <w:pPr>
              <w:spacing w:after="0"/>
              <w:rPr>
                <w:sz w:val="16"/>
                <w:szCs w:val="16"/>
                <w:color w:val="auto"/>
              </w:rPr>
            </w:pPr>
          </w:p>
        </w:tc>
        <w:tc>
          <w:tcPr>
            <w:tcW w:w="5060" w:type="dxa"/>
            <w:vAlign w:val="bottom"/>
            <w:tcBorders>
              <w:bottom w:val="single" w:sz="8" w:color="0000FF"/>
            </w:tcBorders>
            <w:gridSpan w:val="18"/>
          </w:tcPr>
          <w:p>
            <w:pPr>
              <w:spacing w:after="0" w:line="190" w:lineRule="exact"/>
              <w:rPr>
                <w:rFonts w:ascii="Arial" w:cs="Arial" w:eastAsia="Arial" w:hAnsi="Arial"/>
                <w:sz w:val="18"/>
                <w:szCs w:val="18"/>
                <w:color w:val="0000FF"/>
                <w:w w:val="90"/>
              </w:rPr>
            </w:pPr>
            <w:hyperlink r:id="rId114">
              <w:r>
                <w:rPr>
                  <w:rFonts w:ascii="Arial" w:cs="Arial" w:eastAsia="Arial" w:hAnsi="Arial"/>
                  <w:sz w:val="18"/>
                  <w:szCs w:val="18"/>
                  <w:color w:val="0000FF"/>
                  <w:w w:val="90"/>
                </w:rPr>
                <w:t>Collateral Trust Agreement, dated as of April 27, 2017, by and among</w:t>
              </w:r>
            </w:hyperlink>
          </w:p>
        </w:tc>
        <w:tc>
          <w:tcPr>
            <w:tcW w:w="320" w:type="dxa"/>
            <w:vAlign w:val="bottom"/>
            <w:gridSpan w:val="15"/>
          </w:tcPr>
          <w:p>
            <w:pPr>
              <w:spacing w:after="0"/>
              <w:rPr>
                <w:sz w:val="16"/>
                <w:szCs w:val="16"/>
                <w:color w:val="auto"/>
              </w:rPr>
            </w:pPr>
          </w:p>
        </w:tc>
        <w:tc>
          <w:tcPr>
            <w:tcW w:w="960" w:type="dxa"/>
            <w:vAlign w:val="bottom"/>
            <w:gridSpan w:val="2"/>
          </w:tcPr>
          <w:p>
            <w:pPr>
              <w:spacing w:after="0" w:line="190" w:lineRule="exact"/>
              <w:rPr>
                <w:sz w:val="20"/>
                <w:szCs w:val="20"/>
                <w:color w:val="auto"/>
              </w:rPr>
            </w:pPr>
            <w:r>
              <w:rPr>
                <w:rFonts w:ascii="Arial" w:cs="Arial" w:eastAsia="Arial" w:hAnsi="Arial"/>
                <w:sz w:val="18"/>
                <w:szCs w:val="18"/>
                <w:color w:val="auto"/>
              </w:rPr>
              <w:t>001-36326</w:t>
            </w:r>
          </w:p>
        </w:tc>
        <w:tc>
          <w:tcPr>
            <w:tcW w:w="3960" w:type="dxa"/>
            <w:vAlign w:val="bottom"/>
            <w:gridSpan w:val="6"/>
          </w:tcPr>
          <w:p>
            <w:pPr>
              <w:ind w:left="180"/>
              <w:spacing w:after="0" w:line="190" w:lineRule="exact"/>
              <w:rPr>
                <w:sz w:val="20"/>
                <w:szCs w:val="20"/>
                <w:color w:val="auto"/>
              </w:rPr>
            </w:pPr>
            <w:r>
              <w:rPr>
                <w:rFonts w:ascii="Arial" w:cs="Arial" w:eastAsia="Arial" w:hAnsi="Arial"/>
                <w:sz w:val="18"/>
                <w:szCs w:val="18"/>
                <w:color w:val="auto"/>
              </w:rPr>
              <w:t>Current Report on Form 8- June 16, 2020</w:t>
            </w: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80" w:type="dxa"/>
            <w:vAlign w:val="bottom"/>
            <w:gridSpan w:val="33"/>
          </w:tcPr>
          <w:p>
            <w:pPr>
              <w:spacing w:after="0" w:line="156" w:lineRule="exact"/>
              <w:rPr>
                <w:rFonts w:ascii="Arial" w:cs="Arial" w:eastAsia="Arial" w:hAnsi="Arial"/>
                <w:sz w:val="18"/>
                <w:szCs w:val="18"/>
                <w:color w:val="0000FF"/>
                <w:w w:val="95"/>
              </w:rPr>
            </w:pPr>
            <w:hyperlink r:id="rId114">
              <w:r>
                <w:rPr>
                  <w:rFonts w:ascii="Arial" w:cs="Arial" w:eastAsia="Arial" w:hAnsi="Arial"/>
                  <w:sz w:val="18"/>
                  <w:szCs w:val="18"/>
                  <w:color w:val="0000FF"/>
                  <w:w w:val="95"/>
                </w:rPr>
                <w:t>Endo International plc, certain subsidiaries of Endo International plc as</w:t>
              </w:r>
            </w:hyperlink>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88"/>
              </w:rPr>
            </w:pPr>
            <w:hyperlink r:id="rId114">
              <w:r>
                <w:rPr>
                  <w:rFonts w:ascii="Arial" w:cs="Arial" w:eastAsia="Arial" w:hAnsi="Arial"/>
                  <w:sz w:val="18"/>
                  <w:szCs w:val="18"/>
                  <w:color w:val="0000FF"/>
                  <w:w w:val="88"/>
                </w:rPr>
                <w:t>borrowers, Par Pharmaceutical, Inc., certain other grantors party thereto,</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40" w:type="dxa"/>
            <w:vAlign w:val="bottom"/>
            <w:tcBorders>
              <w:bottom w:val="single" w:sz="8" w:color="0000FF"/>
            </w:tcBorders>
            <w:gridSpan w:val="26"/>
          </w:tcPr>
          <w:p>
            <w:pPr>
              <w:spacing w:after="0" w:line="156" w:lineRule="exact"/>
              <w:rPr>
                <w:rFonts w:ascii="Arial" w:cs="Arial" w:eastAsia="Arial" w:hAnsi="Arial"/>
                <w:sz w:val="18"/>
                <w:szCs w:val="18"/>
                <w:color w:val="0000FF"/>
                <w:w w:val="90"/>
              </w:rPr>
            </w:pPr>
            <w:hyperlink r:id="rId114">
              <w:r>
                <w:rPr>
                  <w:rFonts w:ascii="Arial" w:cs="Arial" w:eastAsia="Arial" w:hAnsi="Arial"/>
                  <w:sz w:val="18"/>
                  <w:szCs w:val="18"/>
                  <w:color w:val="0000FF"/>
                  <w:w w:val="90"/>
                </w:rPr>
                <w:t>JPMorgan Chase Bank, N.A, as administrative agent, Wells Fargo Bank,</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60" w:type="dxa"/>
            <w:vAlign w:val="bottom"/>
            <w:gridSpan w:val="27"/>
          </w:tcPr>
          <w:p>
            <w:pPr>
              <w:spacing w:after="0" w:line="142" w:lineRule="exact"/>
              <w:rPr>
                <w:rFonts w:ascii="Arial" w:cs="Arial" w:eastAsia="Arial" w:hAnsi="Arial"/>
                <w:sz w:val="16"/>
                <w:szCs w:val="16"/>
                <w:u w:val="single" w:color="auto"/>
                <w:color w:val="0000FF"/>
              </w:rPr>
            </w:pPr>
            <w:hyperlink r:id="rId114">
              <w:r>
                <w:rPr>
                  <w:rFonts w:ascii="Arial" w:cs="Arial" w:eastAsia="Arial" w:hAnsi="Arial"/>
                  <w:sz w:val="16"/>
                  <w:szCs w:val="16"/>
                  <w:u w:val="single" w:color="auto"/>
                  <w:color w:val="0000FF"/>
                </w:rPr>
                <w:t>National Association, as trustee, and Wilmington Trust, National</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80" w:type="dxa"/>
            <w:vAlign w:val="bottom"/>
            <w:gridSpan w:val="33"/>
          </w:tcPr>
          <w:p>
            <w:pPr>
              <w:spacing w:after="0"/>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Association, as collateral trustee</w:t>
              </w:r>
            </w:hyperlink>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90"/>
        </w:trPr>
        <w:tc>
          <w:tcPr>
            <w:tcW w:w="54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10.7</w:t>
            </w:r>
          </w:p>
        </w:tc>
        <w:tc>
          <w:tcPr>
            <w:tcW w:w="400" w:type="dxa"/>
            <w:vAlign w:val="bottom"/>
          </w:tcPr>
          <w:p>
            <w:pPr>
              <w:spacing w:after="0"/>
              <w:rPr>
                <w:sz w:val="16"/>
                <w:szCs w:val="16"/>
                <w:color w:val="auto"/>
              </w:rPr>
            </w:pPr>
          </w:p>
        </w:tc>
        <w:tc>
          <w:tcPr>
            <w:tcW w:w="5380" w:type="dxa"/>
            <w:vAlign w:val="bottom"/>
            <w:gridSpan w:val="33"/>
          </w:tcPr>
          <w:p>
            <w:pPr>
              <w:spacing w:after="0" w:line="190" w:lineRule="exact"/>
              <w:rPr>
                <w:rFonts w:ascii="Arial" w:cs="Arial" w:eastAsia="Arial" w:hAnsi="Arial"/>
                <w:sz w:val="18"/>
                <w:szCs w:val="18"/>
                <w:color w:val="0000FF"/>
                <w:w w:val="94"/>
              </w:rPr>
            </w:pPr>
            <w:hyperlink r:id="rId115">
              <w:r>
                <w:rPr>
                  <w:rFonts w:ascii="Arial" w:cs="Arial" w:eastAsia="Arial" w:hAnsi="Arial"/>
                  <w:sz w:val="18"/>
                  <w:szCs w:val="18"/>
                  <w:color w:val="0000FF"/>
                  <w:w w:val="94"/>
                </w:rPr>
                <w:t>Second Lien Collateral Trust Agreement, dated as of June 16, 2020, by</w:t>
              </w:r>
            </w:hyperlink>
          </w:p>
        </w:tc>
        <w:tc>
          <w:tcPr>
            <w:tcW w:w="960" w:type="dxa"/>
            <w:vAlign w:val="bottom"/>
            <w:gridSpan w:val="2"/>
          </w:tcPr>
          <w:p>
            <w:pPr>
              <w:spacing w:after="0" w:line="190" w:lineRule="exact"/>
              <w:rPr>
                <w:sz w:val="20"/>
                <w:szCs w:val="20"/>
                <w:color w:val="auto"/>
              </w:rPr>
            </w:pPr>
            <w:r>
              <w:rPr>
                <w:rFonts w:ascii="Arial" w:cs="Arial" w:eastAsia="Arial" w:hAnsi="Arial"/>
                <w:sz w:val="18"/>
                <w:szCs w:val="18"/>
                <w:color w:val="auto"/>
              </w:rPr>
              <w:t>001-36326</w:t>
            </w:r>
          </w:p>
        </w:tc>
        <w:tc>
          <w:tcPr>
            <w:tcW w:w="3960" w:type="dxa"/>
            <w:vAlign w:val="bottom"/>
            <w:gridSpan w:val="6"/>
          </w:tcPr>
          <w:p>
            <w:pPr>
              <w:ind w:left="180"/>
              <w:spacing w:after="0" w:line="190" w:lineRule="exact"/>
              <w:rPr>
                <w:sz w:val="20"/>
                <w:szCs w:val="20"/>
                <w:color w:val="auto"/>
              </w:rPr>
            </w:pPr>
            <w:r>
              <w:rPr>
                <w:rFonts w:ascii="Arial" w:cs="Arial" w:eastAsia="Arial" w:hAnsi="Arial"/>
                <w:sz w:val="18"/>
                <w:szCs w:val="18"/>
                <w:color w:val="auto"/>
              </w:rPr>
              <w:t>Current Report on Form 8- June 16, 2020</w:t>
            </w: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1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15">
              <w:r>
                <w:rPr>
                  <w:rFonts w:ascii="Arial" w:cs="Arial" w:eastAsia="Arial" w:hAnsi="Arial"/>
                  <w:sz w:val="18"/>
                  <w:szCs w:val="18"/>
                  <w:color w:val="0000FF"/>
                </w:rPr>
                <w:t>and among Endo International plc, certain subsidiaries of Endo</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80" w:type="dxa"/>
            <w:vAlign w:val="bottom"/>
            <w:gridSpan w:val="33"/>
          </w:tcPr>
          <w:p>
            <w:pPr>
              <w:spacing w:after="0" w:line="156" w:lineRule="exact"/>
              <w:rPr>
                <w:rFonts w:ascii="Arial" w:cs="Arial" w:eastAsia="Arial" w:hAnsi="Arial"/>
                <w:sz w:val="18"/>
                <w:szCs w:val="18"/>
                <w:color w:val="0000FF"/>
                <w:w w:val="92"/>
              </w:rPr>
            </w:pPr>
            <w:hyperlink r:id="rId115">
              <w:r>
                <w:rPr>
                  <w:rFonts w:ascii="Arial" w:cs="Arial" w:eastAsia="Arial" w:hAnsi="Arial"/>
                  <w:sz w:val="18"/>
                  <w:szCs w:val="18"/>
                  <w:color w:val="0000FF"/>
                  <w:w w:val="92"/>
                </w:rPr>
                <w:t>International plc as borrowers, Endo Designated Activity Company, Endo</w:t>
              </w:r>
            </w:hyperlink>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6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15">
              <w:r>
                <w:rPr>
                  <w:rFonts w:ascii="Arial" w:cs="Arial" w:eastAsia="Arial" w:hAnsi="Arial"/>
                  <w:sz w:val="18"/>
                  <w:szCs w:val="18"/>
                  <w:color w:val="0000FF"/>
                </w:rPr>
                <w:t>Finance LLC, Endo Finco Inc., certain other grantors party thereto,</w:t>
              </w:r>
            </w:hyperlink>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40" w:type="dxa"/>
            <w:vAlign w:val="bottom"/>
            <w:tcBorders>
              <w:top w:val="single" w:sz="8" w:color="0000FF"/>
            </w:tcBorders>
            <w:gridSpan w:val="16"/>
          </w:tcPr>
          <w:p>
            <w:pPr>
              <w:spacing w:after="0" w:line="156" w:lineRule="exact"/>
              <w:rPr>
                <w:rFonts w:ascii="Arial" w:cs="Arial" w:eastAsia="Arial" w:hAnsi="Arial"/>
                <w:sz w:val="18"/>
                <w:szCs w:val="18"/>
                <w:color w:val="0000FF"/>
                <w:w w:val="91"/>
              </w:rPr>
            </w:pPr>
            <w:hyperlink r:id="rId115">
              <w:r>
                <w:rPr>
                  <w:rFonts w:ascii="Arial" w:cs="Arial" w:eastAsia="Arial" w:hAnsi="Arial"/>
                  <w:sz w:val="18"/>
                  <w:szCs w:val="18"/>
                  <w:color w:val="0000FF"/>
                  <w:w w:val="91"/>
                </w:rPr>
                <w:t>JPMorgan Chase Bank, N.A, as administrative agent, Wells Fargo</w:t>
              </w:r>
            </w:hyperlink>
          </w:p>
        </w:tc>
        <w:tc>
          <w:tcPr>
            <w:tcW w:w="540" w:type="dxa"/>
            <w:vAlign w:val="bottom"/>
            <w:gridSpan w:val="17"/>
          </w:tcPr>
          <w:p>
            <w:pPr>
              <w:spacing w:after="0" w:line="156" w:lineRule="exact"/>
              <w:rPr>
                <w:rFonts w:ascii="Arial" w:cs="Arial" w:eastAsia="Arial" w:hAnsi="Arial"/>
                <w:sz w:val="18"/>
                <w:szCs w:val="18"/>
                <w:color w:val="0000FF"/>
              </w:rPr>
            </w:pPr>
            <w:hyperlink r:id="rId115">
              <w:r>
                <w:rPr>
                  <w:rFonts w:ascii="Arial" w:cs="Arial" w:eastAsia="Arial" w:hAnsi="Arial"/>
                  <w:sz w:val="18"/>
                  <w:szCs w:val="18"/>
                  <w:color w:val="0000FF"/>
                </w:rPr>
                <w:t>Bank,</w:t>
              </w:r>
            </w:hyperlink>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60" w:type="dxa"/>
            <w:vAlign w:val="bottom"/>
            <w:tcBorders>
              <w:top w:val="single" w:sz="8" w:color="0000FF"/>
            </w:tcBorders>
            <w:gridSpan w:val="27"/>
          </w:tcPr>
          <w:p>
            <w:pPr>
              <w:spacing w:after="0" w:line="142" w:lineRule="exact"/>
              <w:rPr>
                <w:rFonts w:ascii="Arial" w:cs="Arial" w:eastAsia="Arial" w:hAnsi="Arial"/>
                <w:sz w:val="16"/>
                <w:szCs w:val="16"/>
                <w:u w:val="single" w:color="auto"/>
                <w:color w:val="0000FF"/>
              </w:rPr>
            </w:pPr>
            <w:hyperlink r:id="rId115">
              <w:r>
                <w:rPr>
                  <w:rFonts w:ascii="Arial" w:cs="Arial" w:eastAsia="Arial" w:hAnsi="Arial"/>
                  <w:sz w:val="16"/>
                  <w:szCs w:val="16"/>
                  <w:u w:val="single" w:color="auto"/>
                  <w:color w:val="0000FF"/>
                </w:rPr>
                <w:t>National Association, as trustee, and Wilmington Trust, National</w:t>
              </w:r>
            </w:hyperlink>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80" w:type="dxa"/>
            <w:vAlign w:val="bottom"/>
            <w:gridSpan w:val="33"/>
          </w:tcPr>
          <w:p>
            <w:pPr>
              <w:spacing w:after="0"/>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Association, as collateral trustee</w:t>
              </w:r>
            </w:hyperlink>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90"/>
        </w:trPr>
        <w:tc>
          <w:tcPr>
            <w:tcW w:w="54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10.8</w:t>
            </w:r>
          </w:p>
        </w:tc>
        <w:tc>
          <w:tcPr>
            <w:tcW w:w="400" w:type="dxa"/>
            <w:vAlign w:val="bottom"/>
          </w:tcPr>
          <w:p>
            <w:pPr>
              <w:spacing w:after="0"/>
              <w:rPr>
                <w:sz w:val="16"/>
                <w:szCs w:val="16"/>
                <w:color w:val="auto"/>
              </w:rPr>
            </w:pPr>
          </w:p>
        </w:tc>
        <w:tc>
          <w:tcPr>
            <w:tcW w:w="4780" w:type="dxa"/>
            <w:vAlign w:val="bottom"/>
            <w:tcBorders>
              <w:bottom w:val="single" w:sz="8" w:color="0000FF"/>
            </w:tcBorders>
            <w:gridSpan w:val="14"/>
          </w:tcPr>
          <w:p>
            <w:pPr>
              <w:spacing w:after="0" w:line="190" w:lineRule="exact"/>
              <w:rPr>
                <w:rFonts w:ascii="Arial" w:cs="Arial" w:eastAsia="Arial" w:hAnsi="Arial"/>
                <w:sz w:val="18"/>
                <w:szCs w:val="18"/>
                <w:color w:val="0000FF"/>
                <w:w w:val="89"/>
              </w:rPr>
            </w:pPr>
            <w:hyperlink r:id="rId116">
              <w:r>
                <w:rPr>
                  <w:rFonts w:ascii="Arial" w:cs="Arial" w:eastAsia="Arial" w:hAnsi="Arial"/>
                  <w:sz w:val="18"/>
                  <w:szCs w:val="18"/>
                  <w:color w:val="0000FF"/>
                  <w:w w:val="89"/>
                </w:rPr>
                <w:t>Intercreditor Agreement, dated as of June 16, 2020, by and among</w:t>
              </w:r>
            </w:hyperlink>
          </w:p>
        </w:tc>
        <w:tc>
          <w:tcPr>
            <w:tcW w:w="600" w:type="dxa"/>
            <w:vAlign w:val="bottom"/>
            <w:gridSpan w:val="19"/>
          </w:tcPr>
          <w:p>
            <w:pPr>
              <w:spacing w:after="0"/>
              <w:rPr>
                <w:sz w:val="16"/>
                <w:szCs w:val="16"/>
                <w:color w:val="auto"/>
              </w:rPr>
            </w:pPr>
          </w:p>
        </w:tc>
        <w:tc>
          <w:tcPr>
            <w:tcW w:w="960" w:type="dxa"/>
            <w:vAlign w:val="bottom"/>
            <w:gridSpan w:val="2"/>
          </w:tcPr>
          <w:p>
            <w:pPr>
              <w:spacing w:after="0" w:line="190" w:lineRule="exact"/>
              <w:rPr>
                <w:sz w:val="20"/>
                <w:szCs w:val="20"/>
                <w:color w:val="auto"/>
              </w:rPr>
            </w:pPr>
            <w:r>
              <w:rPr>
                <w:rFonts w:ascii="Arial" w:cs="Arial" w:eastAsia="Arial" w:hAnsi="Arial"/>
                <w:sz w:val="18"/>
                <w:szCs w:val="18"/>
                <w:color w:val="auto"/>
              </w:rPr>
              <w:t>001-36326</w:t>
            </w:r>
          </w:p>
        </w:tc>
        <w:tc>
          <w:tcPr>
            <w:tcW w:w="3960" w:type="dxa"/>
            <w:vAlign w:val="bottom"/>
            <w:gridSpan w:val="6"/>
          </w:tcPr>
          <w:p>
            <w:pPr>
              <w:ind w:left="180"/>
              <w:spacing w:after="0" w:line="190" w:lineRule="exact"/>
              <w:rPr>
                <w:sz w:val="20"/>
                <w:szCs w:val="20"/>
                <w:color w:val="auto"/>
              </w:rPr>
            </w:pPr>
            <w:r>
              <w:rPr>
                <w:rFonts w:ascii="Arial" w:cs="Arial" w:eastAsia="Arial" w:hAnsi="Arial"/>
                <w:sz w:val="18"/>
                <w:szCs w:val="18"/>
                <w:color w:val="auto"/>
              </w:rPr>
              <w:t>Current Report on Form 8- June 16, 2020</w:t>
            </w: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80" w:type="dxa"/>
            <w:vAlign w:val="bottom"/>
            <w:gridSpan w:val="33"/>
          </w:tcPr>
          <w:p>
            <w:pPr>
              <w:spacing w:after="0" w:line="156" w:lineRule="exact"/>
              <w:rPr>
                <w:rFonts w:ascii="Arial" w:cs="Arial" w:eastAsia="Arial" w:hAnsi="Arial"/>
                <w:sz w:val="18"/>
                <w:szCs w:val="18"/>
                <w:color w:val="0000FF"/>
                <w:w w:val="96"/>
              </w:rPr>
            </w:pPr>
            <w:hyperlink r:id="rId116">
              <w:r>
                <w:rPr>
                  <w:rFonts w:ascii="Arial" w:cs="Arial" w:eastAsia="Arial" w:hAnsi="Arial"/>
                  <w:sz w:val="18"/>
                  <w:szCs w:val="18"/>
                  <w:color w:val="0000FF"/>
                  <w:w w:val="96"/>
                </w:rPr>
                <w:t>Wilmington Trust, National Association, as first priority representative,</w:t>
              </w:r>
            </w:hyperlink>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1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Wilmington Trust, National Association, as second priority</w:t>
              </w:r>
            </w:hyperlink>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9"/>
              </w:rPr>
            </w:pPr>
            <w:hyperlink r:id="rId116">
              <w:r>
                <w:rPr>
                  <w:rFonts w:ascii="Arial" w:cs="Arial" w:eastAsia="Arial" w:hAnsi="Arial"/>
                  <w:sz w:val="18"/>
                  <w:szCs w:val="18"/>
                  <w:color w:val="0000FF"/>
                  <w:w w:val="89"/>
                </w:rPr>
                <w:t>representative, and certain grantors party thereto</w:t>
              </w:r>
            </w:hyperlink>
          </w:p>
        </w:tc>
        <w:tc>
          <w:tcPr>
            <w:tcW w:w="760" w:type="dxa"/>
            <w:vAlign w:val="bottom"/>
            <w:tcBorders>
              <w:top w:val="single" w:sz="8" w:color="0000FF"/>
            </w:tcBorders>
            <w:gridSpan w:val="3"/>
          </w:tcPr>
          <w:p>
            <w:pPr>
              <w:spacing w:after="0"/>
              <w:rPr>
                <w:sz w:val="13"/>
                <w:szCs w:val="13"/>
                <w:color w:val="auto"/>
              </w:rPr>
            </w:pPr>
          </w:p>
        </w:tc>
        <w:tc>
          <w:tcPr>
            <w:tcW w:w="3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9"/>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18"/>
                <w:szCs w:val="18"/>
                <w:color w:val="auto"/>
              </w:rPr>
            </w:pPr>
          </w:p>
        </w:tc>
        <w:tc>
          <w:tcPr>
            <w:tcW w:w="5380" w:type="dxa"/>
            <w:vAlign w:val="bottom"/>
            <w:gridSpan w:val="33"/>
          </w:tcPr>
          <w:p>
            <w:pPr>
              <w:spacing w:after="0"/>
              <w:rPr>
                <w:rFonts w:ascii="Arial" w:cs="Arial" w:eastAsia="Arial" w:hAnsi="Arial"/>
                <w:sz w:val="18"/>
                <w:szCs w:val="18"/>
                <w:color w:val="0000FF"/>
              </w:rPr>
            </w:pPr>
            <w:hyperlink r:id="rId117">
              <w:r>
                <w:rPr>
                  <w:rFonts w:ascii="Arial" w:cs="Arial" w:eastAsia="Arial" w:hAnsi="Arial"/>
                  <w:sz w:val="18"/>
                  <w:szCs w:val="18"/>
                  <w:color w:val="0000FF"/>
                </w:rPr>
                <w:t>Supply Agreement, dated June 26, 2008, between Auxilium and</w:t>
              </w:r>
            </w:hyperlink>
          </w:p>
        </w:tc>
        <w:tc>
          <w:tcPr>
            <w:tcW w:w="960" w:type="dxa"/>
            <w:vAlign w:val="bottom"/>
            <w:gridSpan w:val="2"/>
          </w:tcPr>
          <w:p>
            <w:pPr>
              <w:spacing w:after="0"/>
              <w:rPr>
                <w:sz w:val="20"/>
                <w:szCs w:val="20"/>
                <w:color w:val="auto"/>
              </w:rPr>
            </w:pPr>
            <w:r>
              <w:rPr>
                <w:rFonts w:ascii="Arial" w:cs="Arial" w:eastAsia="Arial" w:hAnsi="Arial"/>
                <w:sz w:val="18"/>
                <w:szCs w:val="18"/>
                <w:color w:val="auto"/>
              </w:rPr>
              <w:t>000-50855</w:t>
            </w:r>
          </w:p>
        </w:tc>
        <w:tc>
          <w:tcPr>
            <w:tcW w:w="2160" w:type="dxa"/>
            <w:vAlign w:val="bottom"/>
            <w:gridSpan w:val="4"/>
          </w:tcPr>
          <w:p>
            <w:pPr>
              <w:ind w:left="180"/>
              <w:spacing w:after="0"/>
              <w:rPr>
                <w:sz w:val="20"/>
                <w:szCs w:val="20"/>
                <w:color w:val="auto"/>
              </w:rPr>
            </w:pPr>
            <w:r>
              <w:rPr>
                <w:rFonts w:ascii="Arial" w:cs="Arial" w:eastAsia="Arial" w:hAnsi="Arial"/>
                <w:sz w:val="18"/>
                <w:szCs w:val="18"/>
                <w:color w:val="auto"/>
                <w:w w:val="95"/>
              </w:rPr>
              <w:t>Quarterly Report on Form</w:t>
            </w:r>
          </w:p>
        </w:tc>
        <w:tc>
          <w:tcPr>
            <w:tcW w:w="1800" w:type="dxa"/>
            <w:vAlign w:val="bottom"/>
            <w:gridSpan w:val="2"/>
          </w:tcPr>
          <w:p>
            <w:pPr>
              <w:spacing w:after="0"/>
              <w:rPr>
                <w:sz w:val="20"/>
                <w:szCs w:val="20"/>
                <w:color w:val="auto"/>
              </w:rPr>
            </w:pPr>
            <w:r>
              <w:rPr>
                <w:rFonts w:ascii="Arial" w:cs="Arial" w:eastAsia="Arial" w:hAnsi="Arial"/>
                <w:sz w:val="18"/>
                <w:szCs w:val="18"/>
                <w:color w:val="auto"/>
              </w:rPr>
              <w:t>August 8, 2008</w:t>
            </w: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Hollister-Stier Laboratories LLC</w:t>
              </w:r>
            </w:hyperlink>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10-Q</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
        </w:trPr>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r>
      <w:tr>
        <w:trPr>
          <w:trHeight w:val="196"/>
        </w:trPr>
        <w:tc>
          <w:tcPr>
            <w:tcW w:w="5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10.10</w:t>
            </w:r>
          </w:p>
        </w:tc>
        <w:tc>
          <w:tcPr>
            <w:tcW w:w="400" w:type="dxa"/>
            <w:vAlign w:val="bottom"/>
          </w:tcPr>
          <w:p>
            <w:pPr>
              <w:spacing w:after="0"/>
              <w:rPr>
                <w:sz w:val="17"/>
                <w:szCs w:val="17"/>
                <w:color w:val="auto"/>
              </w:rPr>
            </w:pPr>
          </w:p>
        </w:tc>
        <w:tc>
          <w:tcPr>
            <w:tcW w:w="5380" w:type="dxa"/>
            <w:vAlign w:val="bottom"/>
            <w:gridSpan w:val="33"/>
          </w:tcPr>
          <w:p>
            <w:pPr>
              <w:spacing w:after="0" w:line="196" w:lineRule="exact"/>
              <w:rPr>
                <w:rFonts w:ascii="Arial" w:cs="Arial" w:eastAsia="Arial" w:hAnsi="Arial"/>
                <w:sz w:val="18"/>
                <w:szCs w:val="18"/>
                <w:u w:val="single" w:color="auto"/>
                <w:color w:val="0000FF"/>
                <w:w w:val="92"/>
              </w:rPr>
            </w:pPr>
            <w:hyperlink r:id="rId118">
              <w:r>
                <w:rPr>
                  <w:rFonts w:ascii="Arial" w:cs="Arial" w:eastAsia="Arial" w:hAnsi="Arial"/>
                  <w:sz w:val="18"/>
                  <w:szCs w:val="18"/>
                  <w:u w:val="single" w:color="auto"/>
                  <w:color w:val="0000FF"/>
                  <w:w w:val="92"/>
                </w:rPr>
                <w:t>Endo International plc Amended and Restated 2015 Stock Incentive Plan</w:t>
              </w:r>
            </w:hyperlink>
          </w:p>
        </w:tc>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001-36326</w:t>
            </w:r>
          </w:p>
        </w:tc>
        <w:tc>
          <w:tcPr>
            <w:tcW w:w="396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Current Report on Form 8- June 11, 2020</w:t>
            </w: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60" w:type="dxa"/>
            <w:vAlign w:val="bottom"/>
            <w:gridSpan w:val="4"/>
          </w:tcPr>
          <w:p>
            <w:pPr>
              <w:ind w:left="180"/>
              <w:spacing w:after="0"/>
              <w:rPr>
                <w:sz w:val="20"/>
                <w:szCs w:val="20"/>
                <w:color w:val="auto"/>
              </w:rPr>
            </w:pPr>
            <w:r>
              <w:rPr>
                <w:rFonts w:ascii="Arial" w:cs="Arial" w:eastAsia="Arial" w:hAnsi="Arial"/>
                <w:sz w:val="18"/>
                <w:szCs w:val="18"/>
                <w:color w:val="auto"/>
              </w:rPr>
              <w:t>K</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90"/>
        </w:trPr>
        <w:tc>
          <w:tcPr>
            <w:tcW w:w="54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10.11</w:t>
            </w:r>
          </w:p>
        </w:tc>
        <w:tc>
          <w:tcPr>
            <w:tcW w:w="400" w:type="dxa"/>
            <w:vAlign w:val="bottom"/>
          </w:tcPr>
          <w:p>
            <w:pPr>
              <w:spacing w:after="0"/>
              <w:rPr>
                <w:sz w:val="16"/>
                <w:szCs w:val="16"/>
                <w:color w:val="auto"/>
              </w:rPr>
            </w:pPr>
          </w:p>
        </w:tc>
        <w:tc>
          <w:tcPr>
            <w:tcW w:w="5380" w:type="dxa"/>
            <w:vAlign w:val="bottom"/>
            <w:gridSpan w:val="33"/>
          </w:tcPr>
          <w:p>
            <w:pPr>
              <w:spacing w:after="0" w:line="190" w:lineRule="exact"/>
              <w:rPr>
                <w:rFonts w:ascii="Arial" w:cs="Arial" w:eastAsia="Arial" w:hAnsi="Arial"/>
                <w:sz w:val="18"/>
                <w:szCs w:val="18"/>
                <w:color w:val="0000FF"/>
              </w:rPr>
            </w:pPr>
            <w:hyperlink r:id="rId119">
              <w:r>
                <w:rPr>
                  <w:rFonts w:ascii="Arial" w:cs="Arial" w:eastAsia="Arial" w:hAnsi="Arial"/>
                  <w:sz w:val="18"/>
                  <w:szCs w:val="18"/>
                  <w:color w:val="0000FF"/>
                </w:rPr>
                <w:t>Form of Stock Option Agreement under the Endo International plc</w:t>
              </w:r>
            </w:hyperlink>
          </w:p>
        </w:tc>
        <w:tc>
          <w:tcPr>
            <w:tcW w:w="960" w:type="dxa"/>
            <w:vAlign w:val="bottom"/>
            <w:gridSpan w:val="2"/>
          </w:tcPr>
          <w:p>
            <w:pPr>
              <w:spacing w:after="0" w:line="190" w:lineRule="exact"/>
              <w:rPr>
                <w:sz w:val="20"/>
                <w:szCs w:val="20"/>
                <w:color w:val="auto"/>
              </w:rPr>
            </w:pPr>
            <w:r>
              <w:rPr>
                <w:rFonts w:ascii="Arial" w:cs="Arial" w:eastAsia="Arial" w:hAnsi="Arial"/>
                <w:sz w:val="18"/>
                <w:szCs w:val="18"/>
                <w:color w:val="auto"/>
              </w:rPr>
              <w:t>001-36326</w:t>
            </w:r>
          </w:p>
        </w:tc>
        <w:tc>
          <w:tcPr>
            <w:tcW w:w="2160" w:type="dxa"/>
            <w:vAlign w:val="bottom"/>
            <w:gridSpan w:val="4"/>
          </w:tcPr>
          <w:p>
            <w:pPr>
              <w:ind w:left="180"/>
              <w:spacing w:after="0" w:line="190" w:lineRule="exact"/>
              <w:rPr>
                <w:sz w:val="20"/>
                <w:szCs w:val="20"/>
                <w:color w:val="auto"/>
              </w:rPr>
            </w:pPr>
            <w:r>
              <w:rPr>
                <w:rFonts w:ascii="Arial" w:cs="Arial" w:eastAsia="Arial" w:hAnsi="Arial"/>
                <w:sz w:val="18"/>
                <w:szCs w:val="18"/>
                <w:color w:val="auto"/>
                <w:w w:val="95"/>
              </w:rPr>
              <w:t>Quarterly Report on Form</w:t>
            </w:r>
          </w:p>
        </w:tc>
        <w:tc>
          <w:tcPr>
            <w:tcW w:w="1800" w:type="dxa"/>
            <w:vAlign w:val="bottom"/>
            <w:gridSpan w:val="2"/>
          </w:tcPr>
          <w:p>
            <w:pPr>
              <w:spacing w:after="0" w:line="190" w:lineRule="exact"/>
              <w:rPr>
                <w:sz w:val="20"/>
                <w:szCs w:val="20"/>
                <w:color w:val="auto"/>
              </w:rPr>
            </w:pPr>
            <w:r>
              <w:rPr>
                <w:rFonts w:ascii="Arial" w:cs="Arial" w:eastAsia="Arial" w:hAnsi="Arial"/>
                <w:sz w:val="18"/>
                <w:szCs w:val="18"/>
                <w:color w:val="auto"/>
              </w:rPr>
              <w:t>November 8, 2018</w:t>
            </w: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r:id="rId119">
              <w:r>
                <w:rPr>
                  <w:rFonts w:ascii="Arial" w:cs="Arial" w:eastAsia="Arial" w:hAnsi="Arial"/>
                  <w:sz w:val="18"/>
                  <w:szCs w:val="18"/>
                  <w:color w:val="0000FF"/>
                  <w:w w:val="89"/>
                </w:rPr>
                <w:t>Amended and Restated 2015 Stock Incentive Plan</w:t>
              </w:r>
            </w:hyperlink>
          </w:p>
        </w:tc>
        <w:tc>
          <w:tcPr>
            <w:tcW w:w="1180" w:type="dxa"/>
            <w:vAlign w:val="bottom"/>
            <w:tcBorders>
              <w:top w:val="single" w:sz="8" w:color="0000FF"/>
            </w:tcBorders>
            <w:gridSpan w:val="7"/>
          </w:tcPr>
          <w:p>
            <w:pPr>
              <w:spacing w:after="0"/>
              <w:rPr>
                <w:sz w:val="13"/>
                <w:szCs w:val="13"/>
                <w:color w:val="auto"/>
              </w:rPr>
            </w:pPr>
          </w:p>
        </w:tc>
        <w:tc>
          <w:tcPr>
            <w:tcW w:w="18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10-Q</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10"/>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10.12</w:t>
            </w:r>
          </w:p>
        </w:tc>
        <w:tc>
          <w:tcPr>
            <w:tcW w:w="400" w:type="dxa"/>
            <w:vAlign w:val="bottom"/>
          </w:tcPr>
          <w:p>
            <w:pPr>
              <w:spacing w:after="0"/>
              <w:rPr>
                <w:sz w:val="18"/>
                <w:szCs w:val="18"/>
                <w:color w:val="auto"/>
              </w:rPr>
            </w:pPr>
          </w:p>
        </w:tc>
        <w:tc>
          <w:tcPr>
            <w:tcW w:w="5380" w:type="dxa"/>
            <w:vAlign w:val="bottom"/>
            <w:gridSpan w:val="33"/>
          </w:tcPr>
          <w:p>
            <w:pPr>
              <w:spacing w:after="0"/>
              <w:rPr>
                <w:rFonts w:ascii="Arial" w:cs="Arial" w:eastAsia="Arial" w:hAnsi="Arial"/>
                <w:sz w:val="18"/>
                <w:szCs w:val="18"/>
                <w:color w:val="0000FF"/>
              </w:rPr>
            </w:pPr>
            <w:hyperlink r:id="rId120">
              <w:r>
                <w:rPr>
                  <w:rFonts w:ascii="Arial" w:cs="Arial" w:eastAsia="Arial" w:hAnsi="Arial"/>
                  <w:sz w:val="18"/>
                  <w:szCs w:val="18"/>
                  <w:color w:val="0000FF"/>
                </w:rPr>
                <w:t>Form of Stock Award Agreement under the Endo International plc</w:t>
              </w:r>
            </w:hyperlink>
          </w:p>
        </w:tc>
        <w:tc>
          <w:tcPr>
            <w:tcW w:w="96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160" w:type="dxa"/>
            <w:vAlign w:val="bottom"/>
            <w:gridSpan w:val="4"/>
          </w:tcPr>
          <w:p>
            <w:pPr>
              <w:ind w:left="180"/>
              <w:spacing w:after="0"/>
              <w:rPr>
                <w:sz w:val="20"/>
                <w:szCs w:val="20"/>
                <w:color w:val="auto"/>
              </w:rPr>
            </w:pPr>
            <w:r>
              <w:rPr>
                <w:rFonts w:ascii="Arial" w:cs="Arial" w:eastAsia="Arial" w:hAnsi="Arial"/>
                <w:sz w:val="18"/>
                <w:szCs w:val="18"/>
                <w:color w:val="auto"/>
                <w:w w:val="95"/>
              </w:rPr>
              <w:t>Quarterly Report on Form</w:t>
            </w:r>
          </w:p>
        </w:tc>
        <w:tc>
          <w:tcPr>
            <w:tcW w:w="1800" w:type="dxa"/>
            <w:vAlign w:val="bottom"/>
            <w:gridSpan w:val="2"/>
          </w:tcPr>
          <w:p>
            <w:pPr>
              <w:spacing w:after="0"/>
              <w:rPr>
                <w:sz w:val="20"/>
                <w:szCs w:val="20"/>
                <w:color w:val="auto"/>
              </w:rPr>
            </w:pPr>
            <w:r>
              <w:rPr>
                <w:rFonts w:ascii="Arial" w:cs="Arial" w:eastAsia="Arial" w:hAnsi="Arial"/>
                <w:sz w:val="18"/>
                <w:szCs w:val="18"/>
                <w:color w:val="auto"/>
              </w:rPr>
              <w:t>November 8, 2018</w:t>
            </w: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r:id="rId120">
              <w:r>
                <w:rPr>
                  <w:rFonts w:ascii="Arial" w:cs="Arial" w:eastAsia="Arial" w:hAnsi="Arial"/>
                  <w:sz w:val="18"/>
                  <w:szCs w:val="18"/>
                  <w:color w:val="0000FF"/>
                  <w:w w:val="89"/>
                </w:rPr>
                <w:t>Amended and Restated 2015 Stock Incentive Plan</w:t>
              </w:r>
            </w:hyperlink>
          </w:p>
        </w:tc>
        <w:tc>
          <w:tcPr>
            <w:tcW w:w="1160" w:type="dxa"/>
            <w:vAlign w:val="bottom"/>
            <w:tcBorders>
              <w:top w:val="single" w:sz="8" w:color="0000FF"/>
            </w:tcBorders>
            <w:gridSpan w:val="6"/>
          </w:tcPr>
          <w:p>
            <w:pPr>
              <w:spacing w:after="0"/>
              <w:rPr>
                <w:sz w:val="13"/>
                <w:szCs w:val="13"/>
                <w:color w:val="auto"/>
              </w:rPr>
            </w:pPr>
          </w:p>
        </w:tc>
        <w:tc>
          <w:tcPr>
            <w:tcW w:w="20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10-Q</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10"/>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10.13</w:t>
            </w:r>
          </w:p>
        </w:tc>
        <w:tc>
          <w:tcPr>
            <w:tcW w:w="400" w:type="dxa"/>
            <w:vAlign w:val="bottom"/>
          </w:tcPr>
          <w:p>
            <w:pPr>
              <w:spacing w:after="0"/>
              <w:rPr>
                <w:sz w:val="18"/>
                <w:szCs w:val="18"/>
                <w:color w:val="auto"/>
              </w:rPr>
            </w:pPr>
          </w:p>
        </w:tc>
        <w:tc>
          <w:tcPr>
            <w:tcW w:w="5380" w:type="dxa"/>
            <w:vAlign w:val="bottom"/>
            <w:gridSpan w:val="33"/>
          </w:tcPr>
          <w:p>
            <w:pPr>
              <w:spacing w:after="0"/>
              <w:rPr>
                <w:rFonts w:ascii="Arial" w:cs="Arial" w:eastAsia="Arial" w:hAnsi="Arial"/>
                <w:sz w:val="18"/>
                <w:szCs w:val="18"/>
                <w:color w:val="0000FF"/>
                <w:w w:val="92"/>
              </w:rPr>
            </w:pPr>
            <w:hyperlink r:id="rId121">
              <w:r>
                <w:rPr>
                  <w:rFonts w:ascii="Arial" w:cs="Arial" w:eastAsia="Arial" w:hAnsi="Arial"/>
                  <w:sz w:val="18"/>
                  <w:szCs w:val="18"/>
                  <w:color w:val="0000FF"/>
                  <w:w w:val="92"/>
                </w:rPr>
                <w:t>Form of Performance Award Agreement under the Endo International plc</w:t>
              </w:r>
            </w:hyperlink>
          </w:p>
        </w:tc>
        <w:tc>
          <w:tcPr>
            <w:tcW w:w="96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160" w:type="dxa"/>
            <w:vAlign w:val="bottom"/>
            <w:gridSpan w:val="4"/>
          </w:tcPr>
          <w:p>
            <w:pPr>
              <w:ind w:left="180"/>
              <w:spacing w:after="0"/>
              <w:rPr>
                <w:sz w:val="20"/>
                <w:szCs w:val="20"/>
                <w:color w:val="auto"/>
              </w:rPr>
            </w:pPr>
            <w:r>
              <w:rPr>
                <w:rFonts w:ascii="Arial" w:cs="Arial" w:eastAsia="Arial" w:hAnsi="Arial"/>
                <w:sz w:val="18"/>
                <w:szCs w:val="18"/>
                <w:color w:val="auto"/>
                <w:w w:val="95"/>
              </w:rPr>
              <w:t>Quarterly Report on Form</w:t>
            </w:r>
          </w:p>
        </w:tc>
        <w:tc>
          <w:tcPr>
            <w:tcW w:w="1800" w:type="dxa"/>
            <w:vAlign w:val="bottom"/>
            <w:gridSpan w:val="2"/>
          </w:tcPr>
          <w:p>
            <w:pPr>
              <w:spacing w:after="0"/>
              <w:rPr>
                <w:sz w:val="20"/>
                <w:szCs w:val="20"/>
                <w:color w:val="auto"/>
              </w:rPr>
            </w:pPr>
            <w:r>
              <w:rPr>
                <w:rFonts w:ascii="Arial" w:cs="Arial" w:eastAsia="Arial" w:hAnsi="Arial"/>
                <w:sz w:val="18"/>
                <w:szCs w:val="18"/>
                <w:color w:val="auto"/>
              </w:rPr>
              <w:t>May 7, 2020</w:t>
            </w: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r:id="rId121">
              <w:r>
                <w:rPr>
                  <w:rFonts w:ascii="Arial" w:cs="Arial" w:eastAsia="Arial" w:hAnsi="Arial"/>
                  <w:sz w:val="18"/>
                  <w:szCs w:val="18"/>
                  <w:color w:val="0000FF"/>
                  <w:w w:val="89"/>
                </w:rPr>
                <w:t>Amended and Restated 2015 Stock Incentive Plan</w:t>
              </w:r>
            </w:hyperlink>
          </w:p>
        </w:tc>
        <w:tc>
          <w:tcPr>
            <w:tcW w:w="1720" w:type="dxa"/>
            <w:vAlign w:val="bottom"/>
            <w:tcBorders>
              <w:top w:val="single" w:sz="8" w:color="0000FF"/>
            </w:tcBorders>
            <w:gridSpan w:val="23"/>
          </w:tcPr>
          <w:p>
            <w:pPr>
              <w:spacing w:after="0"/>
              <w:rPr>
                <w:sz w:val="13"/>
                <w:szCs w:val="13"/>
                <w:color w:val="auto"/>
              </w:rPr>
            </w:pPr>
          </w:p>
        </w:tc>
        <w:tc>
          <w:tcPr>
            <w:tcW w:w="4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10-Q</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10"/>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10.14</w:t>
            </w:r>
          </w:p>
        </w:tc>
        <w:tc>
          <w:tcPr>
            <w:tcW w:w="400" w:type="dxa"/>
            <w:vAlign w:val="bottom"/>
          </w:tcPr>
          <w:p>
            <w:pPr>
              <w:spacing w:after="0"/>
              <w:rPr>
                <w:sz w:val="18"/>
                <w:szCs w:val="18"/>
                <w:color w:val="auto"/>
              </w:rPr>
            </w:pPr>
          </w:p>
        </w:tc>
        <w:tc>
          <w:tcPr>
            <w:tcW w:w="6340" w:type="dxa"/>
            <w:vAlign w:val="bottom"/>
            <w:gridSpan w:val="35"/>
          </w:tcPr>
          <w:p>
            <w:pPr>
              <w:spacing w:after="0"/>
              <w:rPr>
                <w:rFonts w:ascii="Arial" w:cs="Arial" w:eastAsia="Arial" w:hAnsi="Arial"/>
                <w:sz w:val="18"/>
                <w:szCs w:val="18"/>
                <w:color w:val="0000FF"/>
                <w:w w:val="93"/>
              </w:rPr>
            </w:pPr>
            <w:hyperlink r:id="rId122">
              <w:r>
                <w:rPr>
                  <w:rFonts w:ascii="Arial" w:cs="Arial" w:eastAsia="Arial" w:hAnsi="Arial"/>
                  <w:sz w:val="18"/>
                  <w:szCs w:val="18"/>
                  <w:color w:val="0000FF"/>
                  <w:w w:val="93"/>
                </w:rPr>
                <w:t xml:space="preserve">Form of Long-Term Cash Award Agreement under the Endo International </w:t>
              </w:r>
            </w:hyperlink>
            <w:r>
              <w:rPr>
                <w:rFonts w:ascii="Arial" w:cs="Arial" w:eastAsia="Arial" w:hAnsi="Arial"/>
                <w:sz w:val="18"/>
                <w:szCs w:val="18"/>
                <w:color w:val="000000"/>
                <w:w w:val="93"/>
              </w:rPr>
              <w:t>001-36326</w:t>
            </w:r>
          </w:p>
        </w:tc>
        <w:tc>
          <w:tcPr>
            <w:tcW w:w="2160" w:type="dxa"/>
            <w:vAlign w:val="bottom"/>
            <w:gridSpan w:val="4"/>
          </w:tcPr>
          <w:p>
            <w:pPr>
              <w:ind w:left="180"/>
              <w:spacing w:after="0"/>
              <w:rPr>
                <w:sz w:val="20"/>
                <w:szCs w:val="20"/>
                <w:color w:val="auto"/>
              </w:rPr>
            </w:pPr>
            <w:r>
              <w:rPr>
                <w:rFonts w:ascii="Arial" w:cs="Arial" w:eastAsia="Arial" w:hAnsi="Arial"/>
                <w:sz w:val="18"/>
                <w:szCs w:val="18"/>
                <w:color w:val="auto"/>
                <w:w w:val="95"/>
              </w:rPr>
              <w:t>Quarterly Report on Form</w:t>
            </w:r>
          </w:p>
        </w:tc>
        <w:tc>
          <w:tcPr>
            <w:tcW w:w="1800" w:type="dxa"/>
            <w:vAlign w:val="bottom"/>
            <w:gridSpan w:val="2"/>
          </w:tcPr>
          <w:p>
            <w:pPr>
              <w:spacing w:after="0"/>
              <w:rPr>
                <w:sz w:val="20"/>
                <w:szCs w:val="20"/>
                <w:color w:val="auto"/>
              </w:rPr>
            </w:pPr>
            <w:r>
              <w:rPr>
                <w:rFonts w:ascii="Arial" w:cs="Arial" w:eastAsia="Arial" w:hAnsi="Arial"/>
                <w:sz w:val="18"/>
                <w:szCs w:val="18"/>
                <w:color w:val="auto"/>
              </w:rPr>
              <w:t>May 7, 2020</w:t>
            </w: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89"/>
              </w:rPr>
            </w:pPr>
            <w:hyperlink r:id="rId122">
              <w:r>
                <w:rPr>
                  <w:rFonts w:ascii="Arial" w:cs="Arial" w:eastAsia="Arial" w:hAnsi="Arial"/>
                  <w:sz w:val="18"/>
                  <w:szCs w:val="18"/>
                  <w:color w:val="0000FF"/>
                  <w:w w:val="89"/>
                </w:rPr>
                <w:t>plc Amended and Restated 2015 Stock Incentive Plan</w:t>
              </w:r>
            </w:hyperlink>
          </w:p>
        </w:tc>
        <w:tc>
          <w:tcPr>
            <w:tcW w:w="1500" w:type="dxa"/>
            <w:vAlign w:val="bottom"/>
            <w:tcBorders>
              <w:top w:val="single" w:sz="8" w:color="0000FF"/>
            </w:tcBorders>
            <w:gridSpan w:val="24"/>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10-Q</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10"/>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10.15</w:t>
            </w:r>
          </w:p>
        </w:tc>
        <w:tc>
          <w:tcPr>
            <w:tcW w:w="400" w:type="dxa"/>
            <w:vAlign w:val="bottom"/>
          </w:tcPr>
          <w:p>
            <w:pPr>
              <w:spacing w:after="0"/>
              <w:rPr>
                <w:sz w:val="18"/>
                <w:szCs w:val="18"/>
                <w:color w:val="auto"/>
              </w:rPr>
            </w:pPr>
          </w:p>
        </w:tc>
        <w:tc>
          <w:tcPr>
            <w:tcW w:w="5380" w:type="dxa"/>
            <w:vAlign w:val="bottom"/>
            <w:gridSpan w:val="33"/>
          </w:tcPr>
          <w:p>
            <w:pPr>
              <w:spacing w:after="0"/>
              <w:rPr>
                <w:rFonts w:ascii="Arial" w:cs="Arial" w:eastAsia="Arial" w:hAnsi="Arial"/>
                <w:sz w:val="18"/>
                <w:szCs w:val="18"/>
                <w:color w:val="0000FF"/>
              </w:rPr>
            </w:pPr>
            <w:hyperlink r:id="rId123">
              <w:r>
                <w:rPr>
                  <w:rFonts w:ascii="Arial" w:cs="Arial" w:eastAsia="Arial" w:hAnsi="Arial"/>
                  <w:sz w:val="18"/>
                  <w:szCs w:val="18"/>
                  <w:color w:val="0000FF"/>
                </w:rPr>
                <w:t>Form of Long-Term Cash Incentive Award Agreement under the</w:t>
              </w:r>
            </w:hyperlink>
          </w:p>
        </w:tc>
        <w:tc>
          <w:tcPr>
            <w:tcW w:w="96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160" w:type="dxa"/>
            <w:vAlign w:val="bottom"/>
            <w:gridSpan w:val="4"/>
          </w:tcPr>
          <w:p>
            <w:pPr>
              <w:ind w:left="180"/>
              <w:spacing w:after="0"/>
              <w:rPr>
                <w:sz w:val="20"/>
                <w:szCs w:val="20"/>
                <w:color w:val="auto"/>
              </w:rPr>
            </w:pPr>
            <w:r>
              <w:rPr>
                <w:rFonts w:ascii="Arial" w:cs="Arial" w:eastAsia="Arial" w:hAnsi="Arial"/>
                <w:sz w:val="18"/>
                <w:szCs w:val="18"/>
                <w:color w:val="auto"/>
                <w:w w:val="95"/>
              </w:rPr>
              <w:t>Quarterly Report on Form</w:t>
            </w:r>
          </w:p>
        </w:tc>
        <w:tc>
          <w:tcPr>
            <w:tcW w:w="1800" w:type="dxa"/>
            <w:vAlign w:val="bottom"/>
            <w:gridSpan w:val="2"/>
          </w:tcPr>
          <w:p>
            <w:pPr>
              <w:spacing w:after="0"/>
              <w:rPr>
                <w:sz w:val="20"/>
                <w:szCs w:val="20"/>
                <w:color w:val="auto"/>
              </w:rPr>
            </w:pPr>
            <w:r>
              <w:rPr>
                <w:rFonts w:ascii="Arial" w:cs="Arial" w:eastAsia="Arial" w:hAnsi="Arial"/>
                <w:sz w:val="18"/>
                <w:szCs w:val="18"/>
                <w:color w:val="auto"/>
              </w:rPr>
              <w:t>August 8, 2018</w:t>
            </w: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r:id="rId123">
              <w:r>
                <w:rPr>
                  <w:rFonts w:ascii="Arial" w:cs="Arial" w:eastAsia="Arial" w:hAnsi="Arial"/>
                  <w:sz w:val="18"/>
                  <w:szCs w:val="18"/>
                  <w:color w:val="0000FF"/>
                  <w:w w:val="89"/>
                </w:rPr>
                <w:t>Amended and Restated 2015 Stock Incentive Plan</w:t>
              </w:r>
            </w:hyperlink>
          </w:p>
        </w:tc>
        <w:tc>
          <w:tcPr>
            <w:tcW w:w="1040" w:type="dxa"/>
            <w:vAlign w:val="bottom"/>
            <w:tcBorders>
              <w:top w:val="single" w:sz="8" w:color="0000FF"/>
            </w:tcBorders>
            <w:gridSpan w:val="5"/>
          </w:tcPr>
          <w:p>
            <w:pPr>
              <w:spacing w:after="0"/>
              <w:rPr>
                <w:sz w:val="13"/>
                <w:szCs w:val="13"/>
                <w:color w:val="auto"/>
              </w:rPr>
            </w:pPr>
          </w:p>
        </w:tc>
        <w:tc>
          <w:tcPr>
            <w:tcW w:w="320" w:type="dxa"/>
            <w:vAlign w:val="bottom"/>
            <w:gridSpan w:val="4"/>
          </w:tcPr>
          <w:p>
            <w:pPr>
              <w:spacing w:after="0"/>
              <w:rPr>
                <w:sz w:val="13"/>
                <w:szCs w:val="13"/>
                <w:color w:val="auto"/>
              </w:rPr>
            </w:pPr>
          </w:p>
        </w:tc>
        <w:tc>
          <w:tcPr>
            <w:tcW w:w="12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160" w:type="dxa"/>
            <w:vAlign w:val="bottom"/>
            <w:gridSpan w:val="8"/>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10-Q</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6"/>
        </w:trPr>
        <w:tc>
          <w:tcPr>
            <w:tcW w:w="5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10.16</w:t>
            </w:r>
          </w:p>
        </w:tc>
        <w:tc>
          <w:tcPr>
            <w:tcW w:w="400" w:type="dxa"/>
            <w:vAlign w:val="bottom"/>
          </w:tcPr>
          <w:p>
            <w:pPr>
              <w:spacing w:after="0"/>
              <w:rPr>
                <w:sz w:val="17"/>
                <w:szCs w:val="17"/>
                <w:color w:val="auto"/>
              </w:rPr>
            </w:pPr>
          </w:p>
        </w:tc>
        <w:tc>
          <w:tcPr>
            <w:tcW w:w="5380" w:type="dxa"/>
            <w:vAlign w:val="bottom"/>
            <w:gridSpan w:val="33"/>
          </w:tcPr>
          <w:p>
            <w:pPr>
              <w:spacing w:after="0" w:line="196" w:lineRule="exact"/>
              <w:rPr>
                <w:rFonts w:ascii="Arial" w:cs="Arial" w:eastAsia="Arial" w:hAnsi="Arial"/>
                <w:sz w:val="18"/>
                <w:szCs w:val="18"/>
                <w:color w:val="0000FF"/>
              </w:rPr>
            </w:pPr>
            <w:hyperlink r:id="rId124">
              <w:r>
                <w:rPr>
                  <w:rFonts w:ascii="Arial" w:cs="Arial" w:eastAsia="Arial" w:hAnsi="Arial"/>
                  <w:sz w:val="18"/>
                  <w:szCs w:val="18"/>
                  <w:u w:val="single" w:color="auto"/>
                  <w:color w:val="0000FF"/>
                </w:rPr>
                <w:t>Form of Indemnification Agreement with Endo Health Solutions Inc</w:t>
              </w:r>
              <w:r>
                <w:rPr>
                  <w:rFonts w:ascii="Arial" w:cs="Arial" w:eastAsia="Arial" w:hAnsi="Arial"/>
                  <w:sz w:val="18"/>
                  <w:szCs w:val="18"/>
                  <w:color w:val="0000FF"/>
                </w:rPr>
                <w:t>.</w:t>
              </w:r>
            </w:hyperlink>
          </w:p>
        </w:tc>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001-36326</w:t>
            </w:r>
          </w:p>
        </w:tc>
        <w:tc>
          <w:tcPr>
            <w:tcW w:w="2160" w:type="dxa"/>
            <w:vAlign w:val="bottom"/>
            <w:gridSpan w:val="4"/>
          </w:tcPr>
          <w:p>
            <w:pPr>
              <w:ind w:left="180"/>
              <w:spacing w:after="0" w:line="196" w:lineRule="exact"/>
              <w:rPr>
                <w:sz w:val="20"/>
                <w:szCs w:val="20"/>
                <w:color w:val="auto"/>
              </w:rPr>
            </w:pPr>
            <w:r>
              <w:rPr>
                <w:rFonts w:ascii="Arial" w:cs="Arial" w:eastAsia="Arial" w:hAnsi="Arial"/>
                <w:sz w:val="18"/>
                <w:szCs w:val="18"/>
                <w:color w:val="auto"/>
              </w:rPr>
              <w:t>Annual Report on Form</w:t>
            </w:r>
          </w:p>
        </w:tc>
        <w:tc>
          <w:tcPr>
            <w:tcW w:w="1800" w:type="dxa"/>
            <w:vAlign w:val="bottom"/>
            <w:gridSpan w:val="2"/>
          </w:tcPr>
          <w:p>
            <w:pPr>
              <w:spacing w:after="0" w:line="196" w:lineRule="exact"/>
              <w:rPr>
                <w:sz w:val="20"/>
                <w:szCs w:val="20"/>
                <w:color w:val="auto"/>
              </w:rPr>
            </w:pPr>
            <w:r>
              <w:rPr>
                <w:rFonts w:ascii="Arial" w:cs="Arial" w:eastAsia="Arial" w:hAnsi="Arial"/>
                <w:sz w:val="18"/>
                <w:szCs w:val="18"/>
                <w:color w:val="auto"/>
              </w:rPr>
              <w:t>February 29, 2016</w:t>
            </w: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60" w:type="dxa"/>
            <w:vAlign w:val="bottom"/>
            <w:gridSpan w:val="4"/>
          </w:tcPr>
          <w:p>
            <w:pPr>
              <w:ind w:left="180"/>
              <w:spacing w:after="0"/>
              <w:rPr>
                <w:sz w:val="20"/>
                <w:szCs w:val="20"/>
                <w:color w:val="auto"/>
              </w:rPr>
            </w:pPr>
            <w:r>
              <w:rPr>
                <w:rFonts w:ascii="Arial" w:cs="Arial" w:eastAsia="Arial" w:hAnsi="Arial"/>
                <w:sz w:val="18"/>
                <w:szCs w:val="18"/>
                <w:color w:val="auto"/>
              </w:rPr>
              <w:t>10-K</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6"/>
        </w:trPr>
        <w:tc>
          <w:tcPr>
            <w:tcW w:w="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10.17</w:t>
            </w:r>
          </w:p>
        </w:tc>
        <w:tc>
          <w:tcPr>
            <w:tcW w:w="400" w:type="dxa"/>
            <w:vAlign w:val="bottom"/>
          </w:tcPr>
          <w:p>
            <w:pPr>
              <w:spacing w:after="0"/>
              <w:rPr>
                <w:sz w:val="15"/>
                <w:szCs w:val="15"/>
                <w:color w:val="auto"/>
              </w:rPr>
            </w:pPr>
          </w:p>
        </w:tc>
        <w:tc>
          <w:tcPr>
            <w:tcW w:w="5380" w:type="dxa"/>
            <w:vAlign w:val="bottom"/>
            <w:gridSpan w:val="33"/>
          </w:tcPr>
          <w:p>
            <w:pPr>
              <w:spacing w:after="0" w:line="176" w:lineRule="exact"/>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Form of Indemnification Agreement with Endo International plc</w:t>
              </w:r>
            </w:hyperlink>
          </w:p>
        </w:tc>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001-36326</w:t>
            </w:r>
          </w:p>
        </w:tc>
        <w:tc>
          <w:tcPr>
            <w:tcW w:w="2160" w:type="dxa"/>
            <w:vAlign w:val="bottom"/>
            <w:gridSpan w:val="4"/>
          </w:tcPr>
          <w:p>
            <w:pPr>
              <w:ind w:left="180"/>
              <w:spacing w:after="0" w:line="176" w:lineRule="exact"/>
              <w:rPr>
                <w:sz w:val="20"/>
                <w:szCs w:val="20"/>
                <w:color w:val="auto"/>
              </w:rPr>
            </w:pPr>
            <w:r>
              <w:rPr>
                <w:rFonts w:ascii="Arial" w:cs="Arial" w:eastAsia="Arial" w:hAnsi="Arial"/>
                <w:sz w:val="18"/>
                <w:szCs w:val="18"/>
                <w:color w:val="auto"/>
                <w:w w:val="95"/>
              </w:rPr>
              <w:t>Quarterly Report on Form</w:t>
            </w:r>
          </w:p>
        </w:tc>
        <w:tc>
          <w:tcPr>
            <w:tcW w:w="1800" w:type="dxa"/>
            <w:vAlign w:val="bottom"/>
            <w:gridSpan w:val="2"/>
          </w:tcPr>
          <w:p>
            <w:pPr>
              <w:spacing w:after="0" w:line="176" w:lineRule="exact"/>
              <w:rPr>
                <w:sz w:val="20"/>
                <w:szCs w:val="20"/>
                <w:color w:val="auto"/>
              </w:rPr>
            </w:pPr>
            <w:r>
              <w:rPr>
                <w:rFonts w:ascii="Arial" w:cs="Arial" w:eastAsia="Arial" w:hAnsi="Arial"/>
                <w:sz w:val="18"/>
                <w:szCs w:val="18"/>
                <w:color w:val="auto"/>
              </w:rPr>
              <w:t>May 6, 2016</w:t>
            </w: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60" w:type="dxa"/>
            <w:vAlign w:val="bottom"/>
            <w:gridSpan w:val="4"/>
          </w:tcPr>
          <w:p>
            <w:pPr>
              <w:ind w:left="180"/>
              <w:spacing w:after="0"/>
              <w:rPr>
                <w:sz w:val="20"/>
                <w:szCs w:val="20"/>
                <w:color w:val="auto"/>
              </w:rPr>
            </w:pPr>
            <w:r>
              <w:rPr>
                <w:rFonts w:ascii="Arial" w:cs="Arial" w:eastAsia="Arial" w:hAnsi="Arial"/>
                <w:sz w:val="18"/>
                <w:szCs w:val="18"/>
                <w:color w:val="auto"/>
              </w:rPr>
              <w:t>10-Q</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90"/>
        </w:trPr>
        <w:tc>
          <w:tcPr>
            <w:tcW w:w="540" w:type="dxa"/>
            <w:vAlign w:val="bottom"/>
            <w:gridSpan w:val="2"/>
          </w:tcPr>
          <w:p>
            <w:pPr>
              <w:ind w:left="20"/>
              <w:spacing w:after="0" w:line="190" w:lineRule="exact"/>
              <w:rPr>
                <w:sz w:val="20"/>
                <w:szCs w:val="20"/>
                <w:color w:val="auto"/>
              </w:rPr>
            </w:pPr>
            <w:r>
              <w:rPr>
                <w:rFonts w:ascii="Arial" w:cs="Arial" w:eastAsia="Arial" w:hAnsi="Arial"/>
                <w:sz w:val="18"/>
                <w:szCs w:val="18"/>
                <w:color w:val="auto"/>
                <w:w w:val="95"/>
              </w:rPr>
              <w:t>10.18*</w:t>
            </w:r>
          </w:p>
        </w:tc>
        <w:tc>
          <w:tcPr>
            <w:tcW w:w="400" w:type="dxa"/>
            <w:vAlign w:val="bottom"/>
          </w:tcPr>
          <w:p>
            <w:pPr>
              <w:spacing w:after="0"/>
              <w:rPr>
                <w:sz w:val="16"/>
                <w:szCs w:val="16"/>
                <w:color w:val="auto"/>
              </w:rPr>
            </w:pPr>
          </w:p>
        </w:tc>
        <w:tc>
          <w:tcPr>
            <w:tcW w:w="5380" w:type="dxa"/>
            <w:vAlign w:val="bottom"/>
            <w:gridSpan w:val="33"/>
          </w:tcPr>
          <w:p>
            <w:pPr>
              <w:spacing w:after="0" w:line="190" w:lineRule="exact"/>
              <w:rPr>
                <w:rFonts w:ascii="Arial" w:cs="Arial" w:eastAsia="Arial" w:hAnsi="Arial"/>
                <w:sz w:val="18"/>
                <w:szCs w:val="18"/>
                <w:color w:val="0000FF"/>
                <w:w w:val="95"/>
              </w:rPr>
            </w:pPr>
            <w:hyperlink r:id="rId126">
              <w:r>
                <w:rPr>
                  <w:rFonts w:ascii="Arial" w:cs="Arial" w:eastAsia="Arial" w:hAnsi="Arial"/>
                  <w:sz w:val="18"/>
                  <w:szCs w:val="18"/>
                  <w:color w:val="0000FF"/>
                  <w:w w:val="95"/>
                </w:rPr>
                <w:t>Master Supply Agreement by and between Endo Ventures Limited and</w:t>
              </w:r>
            </w:hyperlink>
          </w:p>
        </w:tc>
        <w:tc>
          <w:tcPr>
            <w:tcW w:w="960" w:type="dxa"/>
            <w:vAlign w:val="bottom"/>
            <w:gridSpan w:val="2"/>
          </w:tcPr>
          <w:p>
            <w:pPr>
              <w:spacing w:after="0" w:line="190" w:lineRule="exact"/>
              <w:rPr>
                <w:sz w:val="20"/>
                <w:szCs w:val="20"/>
                <w:color w:val="auto"/>
              </w:rPr>
            </w:pPr>
            <w:r>
              <w:rPr>
                <w:rFonts w:ascii="Arial" w:cs="Arial" w:eastAsia="Arial" w:hAnsi="Arial"/>
                <w:sz w:val="18"/>
                <w:szCs w:val="18"/>
                <w:color w:val="auto"/>
              </w:rPr>
              <w:t>001-36326</w:t>
            </w:r>
          </w:p>
        </w:tc>
        <w:tc>
          <w:tcPr>
            <w:tcW w:w="2160" w:type="dxa"/>
            <w:vAlign w:val="bottom"/>
            <w:gridSpan w:val="4"/>
          </w:tcPr>
          <w:p>
            <w:pPr>
              <w:ind w:left="180"/>
              <w:spacing w:after="0" w:line="190" w:lineRule="exact"/>
              <w:rPr>
                <w:sz w:val="20"/>
                <w:szCs w:val="20"/>
                <w:color w:val="auto"/>
              </w:rPr>
            </w:pPr>
            <w:r>
              <w:rPr>
                <w:rFonts w:ascii="Arial" w:cs="Arial" w:eastAsia="Arial" w:hAnsi="Arial"/>
                <w:sz w:val="18"/>
                <w:szCs w:val="18"/>
                <w:color w:val="auto"/>
                <w:w w:val="95"/>
              </w:rPr>
              <w:t>Quarterly Report on Form</w:t>
            </w:r>
          </w:p>
        </w:tc>
        <w:tc>
          <w:tcPr>
            <w:tcW w:w="1800" w:type="dxa"/>
            <w:vAlign w:val="bottom"/>
            <w:gridSpan w:val="2"/>
          </w:tcPr>
          <w:p>
            <w:pPr>
              <w:spacing w:after="0" w:line="190" w:lineRule="exact"/>
              <w:rPr>
                <w:sz w:val="20"/>
                <w:szCs w:val="20"/>
                <w:color w:val="auto"/>
              </w:rPr>
            </w:pPr>
            <w:r>
              <w:rPr>
                <w:rFonts w:ascii="Arial" w:cs="Arial" w:eastAsia="Arial" w:hAnsi="Arial"/>
                <w:sz w:val="18"/>
                <w:szCs w:val="18"/>
                <w:color w:val="auto"/>
              </w:rPr>
              <w:t>August 9, 2016</w:t>
            </w: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4"/>
              </w:rPr>
            </w:pPr>
            <w:hyperlink r:id="rId126">
              <w:r>
                <w:rPr>
                  <w:rFonts w:ascii="Arial" w:cs="Arial" w:eastAsia="Arial" w:hAnsi="Arial"/>
                  <w:sz w:val="18"/>
                  <w:szCs w:val="18"/>
                  <w:color w:val="0000FF"/>
                  <w:w w:val="94"/>
                </w:rPr>
                <w:t>Jubilant HollisterStier LLC</w:t>
              </w:r>
            </w:hyperlink>
          </w:p>
        </w:tc>
        <w:tc>
          <w:tcPr>
            <w:tcW w:w="3120" w:type="dxa"/>
            <w:vAlign w:val="bottom"/>
            <w:tcBorders>
              <w:top w:val="single" w:sz="8" w:color="0000FF"/>
            </w:tcBorders>
            <w:gridSpan w:val="16"/>
          </w:tcPr>
          <w:p>
            <w:pPr>
              <w:spacing w:after="0"/>
              <w:rPr>
                <w:sz w:val="13"/>
                <w:szCs w:val="13"/>
                <w:color w:val="auto"/>
              </w:rPr>
            </w:pPr>
          </w:p>
        </w:tc>
        <w:tc>
          <w:tcPr>
            <w:tcW w:w="120" w:type="dxa"/>
            <w:vAlign w:val="bottom"/>
            <w:gridSpan w:val="6"/>
          </w:tcPr>
          <w:p>
            <w:pPr>
              <w:spacing w:after="0"/>
              <w:rPr>
                <w:sz w:val="13"/>
                <w:szCs w:val="13"/>
                <w:color w:val="auto"/>
              </w:rPr>
            </w:pPr>
          </w:p>
        </w:tc>
        <w:tc>
          <w:tcPr>
            <w:tcW w:w="160" w:type="dxa"/>
            <w:vAlign w:val="bottom"/>
            <w:gridSpan w:val="8"/>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10-Q</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9"/>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10.19</w:t>
            </w:r>
          </w:p>
        </w:tc>
        <w:tc>
          <w:tcPr>
            <w:tcW w:w="400" w:type="dxa"/>
            <w:vAlign w:val="bottom"/>
          </w:tcPr>
          <w:p>
            <w:pPr>
              <w:spacing w:after="0"/>
              <w:rPr>
                <w:sz w:val="18"/>
                <w:szCs w:val="18"/>
                <w:color w:val="auto"/>
              </w:rPr>
            </w:pPr>
          </w:p>
        </w:tc>
        <w:tc>
          <w:tcPr>
            <w:tcW w:w="5380" w:type="dxa"/>
            <w:vAlign w:val="bottom"/>
            <w:gridSpan w:val="33"/>
          </w:tcPr>
          <w:p>
            <w:pPr>
              <w:spacing w:after="0"/>
              <w:rPr>
                <w:rFonts w:ascii="Arial" w:cs="Arial" w:eastAsia="Arial" w:hAnsi="Arial"/>
                <w:sz w:val="18"/>
                <w:szCs w:val="18"/>
                <w:color w:val="0000FF"/>
                <w:w w:val="94"/>
              </w:rPr>
            </w:pPr>
            <w:hyperlink r:id="rId127">
              <w:r>
                <w:rPr>
                  <w:rFonts w:ascii="Arial" w:cs="Arial" w:eastAsia="Arial" w:hAnsi="Arial"/>
                  <w:sz w:val="18"/>
                  <w:szCs w:val="18"/>
                  <w:color w:val="0000FF"/>
                  <w:w w:val="94"/>
                </w:rPr>
                <w:t>Executive Employment Agreement between Endo Health Solutions Inc.</w:t>
              </w:r>
            </w:hyperlink>
          </w:p>
        </w:tc>
        <w:tc>
          <w:tcPr>
            <w:tcW w:w="96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3960" w:type="dxa"/>
            <w:vAlign w:val="bottom"/>
            <w:gridSpan w:val="6"/>
          </w:tcPr>
          <w:p>
            <w:pPr>
              <w:ind w:left="180"/>
              <w:spacing w:after="0"/>
              <w:rPr>
                <w:sz w:val="20"/>
                <w:szCs w:val="20"/>
                <w:color w:val="auto"/>
              </w:rPr>
            </w:pPr>
            <w:r>
              <w:rPr>
                <w:rFonts w:ascii="Arial" w:cs="Arial" w:eastAsia="Arial" w:hAnsi="Arial"/>
                <w:sz w:val="18"/>
                <w:szCs w:val="18"/>
                <w:color w:val="auto"/>
              </w:rPr>
              <w:t>Current Report on Form 8- April 26, 2019</w:t>
            </w: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127">
              <w:r>
                <w:rPr>
                  <w:rFonts w:ascii="Arial" w:cs="Arial" w:eastAsia="Arial" w:hAnsi="Arial"/>
                  <w:sz w:val="18"/>
                  <w:szCs w:val="18"/>
                  <w:color w:val="0000FF"/>
                  <w:w w:val="90"/>
                </w:rPr>
                <w:t>and Paul Campanelli, dated as of April 24, 2019</w:t>
              </w:r>
            </w:hyperlink>
          </w:p>
        </w:tc>
        <w:tc>
          <w:tcPr>
            <w:tcW w:w="1740" w:type="dxa"/>
            <w:vAlign w:val="bottom"/>
            <w:tcBorders>
              <w:top w:val="single" w:sz="8" w:color="0000FF"/>
            </w:tcBorders>
            <w:gridSpan w:val="19"/>
          </w:tcPr>
          <w:p>
            <w:pPr>
              <w:spacing w:after="0"/>
              <w:rPr>
                <w:sz w:val="13"/>
                <w:szCs w:val="13"/>
                <w:color w:val="auto"/>
              </w:rPr>
            </w:pPr>
          </w:p>
        </w:tc>
        <w:tc>
          <w:tcPr>
            <w:tcW w:w="160" w:type="dxa"/>
            <w:vAlign w:val="bottom"/>
            <w:gridSpan w:val="8"/>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9"/>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10.20</w:t>
            </w:r>
          </w:p>
        </w:tc>
        <w:tc>
          <w:tcPr>
            <w:tcW w:w="400" w:type="dxa"/>
            <w:vAlign w:val="bottom"/>
          </w:tcPr>
          <w:p>
            <w:pPr>
              <w:spacing w:after="0"/>
              <w:rPr>
                <w:sz w:val="18"/>
                <w:szCs w:val="18"/>
                <w:color w:val="auto"/>
              </w:rPr>
            </w:pPr>
          </w:p>
        </w:tc>
        <w:tc>
          <w:tcPr>
            <w:tcW w:w="5380" w:type="dxa"/>
            <w:vAlign w:val="bottom"/>
            <w:gridSpan w:val="33"/>
          </w:tcPr>
          <w:p>
            <w:pPr>
              <w:spacing w:after="0"/>
              <w:rPr>
                <w:rFonts w:ascii="Arial" w:cs="Arial" w:eastAsia="Arial" w:hAnsi="Arial"/>
                <w:sz w:val="18"/>
                <w:szCs w:val="18"/>
                <w:color w:val="0000FF"/>
                <w:w w:val="94"/>
              </w:rPr>
            </w:pPr>
            <w:hyperlink r:id="rId128">
              <w:r>
                <w:rPr>
                  <w:rFonts w:ascii="Arial" w:cs="Arial" w:eastAsia="Arial" w:hAnsi="Arial"/>
                  <w:sz w:val="18"/>
                  <w:szCs w:val="18"/>
                  <w:color w:val="0000FF"/>
                  <w:w w:val="94"/>
                </w:rPr>
                <w:t>Executive Employment Agreement between Endo Health Solutions Inc.</w:t>
              </w:r>
            </w:hyperlink>
          </w:p>
        </w:tc>
        <w:tc>
          <w:tcPr>
            <w:tcW w:w="96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160" w:type="dxa"/>
            <w:vAlign w:val="bottom"/>
            <w:gridSpan w:val="4"/>
          </w:tcPr>
          <w:p>
            <w:pPr>
              <w:ind w:left="180"/>
              <w:spacing w:after="0"/>
              <w:rPr>
                <w:sz w:val="20"/>
                <w:szCs w:val="20"/>
                <w:color w:val="auto"/>
              </w:rPr>
            </w:pPr>
            <w:r>
              <w:rPr>
                <w:rFonts w:ascii="Arial" w:cs="Arial" w:eastAsia="Arial" w:hAnsi="Arial"/>
                <w:sz w:val="18"/>
                <w:szCs w:val="18"/>
                <w:color w:val="auto"/>
              </w:rPr>
              <w:t>Annual Report on Form</w:t>
            </w:r>
          </w:p>
        </w:tc>
        <w:tc>
          <w:tcPr>
            <w:tcW w:w="1800" w:type="dxa"/>
            <w:vAlign w:val="bottom"/>
            <w:gridSpan w:val="2"/>
          </w:tcPr>
          <w:p>
            <w:pPr>
              <w:spacing w:after="0"/>
              <w:rPr>
                <w:sz w:val="20"/>
                <w:szCs w:val="20"/>
                <w:color w:val="auto"/>
              </w:rPr>
            </w:pPr>
            <w:r>
              <w:rPr>
                <w:rFonts w:ascii="Arial" w:cs="Arial" w:eastAsia="Arial" w:hAnsi="Arial"/>
                <w:sz w:val="18"/>
                <w:szCs w:val="18"/>
                <w:color w:val="auto"/>
              </w:rPr>
              <w:t>February 26, 2020</w:t>
            </w: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20" w:type="dxa"/>
            <w:vAlign w:val="bottom"/>
            <w:tcBorders>
              <w:top w:val="single" w:sz="8" w:color="0000FF"/>
            </w:tcBorders>
            <w:gridSpan w:val="25"/>
          </w:tcPr>
          <w:p>
            <w:pPr>
              <w:spacing w:after="0" w:line="156" w:lineRule="exact"/>
              <w:rPr>
                <w:rFonts w:ascii="Arial" w:cs="Arial" w:eastAsia="Arial" w:hAnsi="Arial"/>
                <w:sz w:val="18"/>
                <w:szCs w:val="18"/>
                <w:color w:val="0000FF"/>
                <w:w w:val="94"/>
              </w:rPr>
            </w:pPr>
            <w:hyperlink r:id="rId128">
              <w:r>
                <w:rPr>
                  <w:rFonts w:ascii="Arial" w:cs="Arial" w:eastAsia="Arial" w:hAnsi="Arial"/>
                  <w:sz w:val="18"/>
                  <w:szCs w:val="18"/>
                  <w:color w:val="0000FF"/>
                  <w:w w:val="94"/>
                </w:rPr>
                <w:t>and Blaise Coleman, dated February 19, 2020 and effective March 6,</w:t>
              </w:r>
            </w:hyperlink>
          </w:p>
        </w:tc>
        <w:tc>
          <w:tcPr>
            <w:tcW w:w="160" w:type="dxa"/>
            <w:vAlign w:val="bottom"/>
            <w:gridSpan w:val="8"/>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10-K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128">
              <w:r>
                <w:rPr>
                  <w:rFonts w:ascii="Arial" w:cs="Arial" w:eastAsia="Arial" w:hAnsi="Arial"/>
                  <w:sz w:val="18"/>
                  <w:szCs w:val="18"/>
                  <w:color w:val="0000FF"/>
                  <w:w w:val="84"/>
                </w:rPr>
                <w:t>2020</w:t>
              </w:r>
            </w:hyperlink>
          </w:p>
        </w:tc>
        <w:tc>
          <w:tcPr>
            <w:tcW w:w="36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9"/>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10.21</w:t>
            </w:r>
          </w:p>
        </w:tc>
        <w:tc>
          <w:tcPr>
            <w:tcW w:w="400" w:type="dxa"/>
            <w:vAlign w:val="bottom"/>
          </w:tcPr>
          <w:p>
            <w:pPr>
              <w:spacing w:after="0"/>
              <w:rPr>
                <w:sz w:val="18"/>
                <w:szCs w:val="18"/>
                <w:color w:val="auto"/>
              </w:rPr>
            </w:pPr>
          </w:p>
        </w:tc>
        <w:tc>
          <w:tcPr>
            <w:tcW w:w="5380" w:type="dxa"/>
            <w:vAlign w:val="bottom"/>
            <w:gridSpan w:val="33"/>
          </w:tcPr>
          <w:p>
            <w:pPr>
              <w:spacing w:after="0"/>
              <w:rPr>
                <w:rFonts w:ascii="Arial" w:cs="Arial" w:eastAsia="Arial" w:hAnsi="Arial"/>
                <w:sz w:val="18"/>
                <w:szCs w:val="18"/>
                <w:color w:val="0000FF"/>
                <w:w w:val="94"/>
              </w:rPr>
            </w:pPr>
            <w:hyperlink r:id="rId129">
              <w:r>
                <w:rPr>
                  <w:rFonts w:ascii="Arial" w:cs="Arial" w:eastAsia="Arial" w:hAnsi="Arial"/>
                  <w:sz w:val="18"/>
                  <w:szCs w:val="18"/>
                  <w:color w:val="0000FF"/>
                  <w:w w:val="94"/>
                </w:rPr>
                <w:t>Executive Employment Agreement between Endo Health Solutions Inc.</w:t>
              </w:r>
            </w:hyperlink>
          </w:p>
        </w:tc>
        <w:tc>
          <w:tcPr>
            <w:tcW w:w="96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160" w:type="dxa"/>
            <w:vAlign w:val="bottom"/>
            <w:gridSpan w:val="4"/>
          </w:tcPr>
          <w:p>
            <w:pPr>
              <w:ind w:left="180"/>
              <w:spacing w:after="0"/>
              <w:rPr>
                <w:sz w:val="20"/>
                <w:szCs w:val="20"/>
                <w:color w:val="auto"/>
              </w:rPr>
            </w:pPr>
            <w:r>
              <w:rPr>
                <w:rFonts w:ascii="Arial" w:cs="Arial" w:eastAsia="Arial" w:hAnsi="Arial"/>
                <w:sz w:val="18"/>
                <w:szCs w:val="18"/>
                <w:color w:val="auto"/>
                <w:w w:val="95"/>
              </w:rPr>
              <w:t>Quarterly Report on Form</w:t>
            </w:r>
          </w:p>
        </w:tc>
        <w:tc>
          <w:tcPr>
            <w:tcW w:w="1800" w:type="dxa"/>
            <w:vAlign w:val="bottom"/>
            <w:gridSpan w:val="2"/>
          </w:tcPr>
          <w:p>
            <w:pPr>
              <w:spacing w:after="0"/>
              <w:rPr>
                <w:sz w:val="20"/>
                <w:szCs w:val="20"/>
                <w:color w:val="auto"/>
              </w:rPr>
            </w:pPr>
            <w:r>
              <w:rPr>
                <w:rFonts w:ascii="Arial" w:cs="Arial" w:eastAsia="Arial" w:hAnsi="Arial"/>
                <w:sz w:val="18"/>
                <w:szCs w:val="18"/>
                <w:color w:val="auto"/>
              </w:rPr>
              <w:t>May 7, 2020</w:t>
            </w: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129">
              <w:r>
                <w:rPr>
                  <w:rFonts w:ascii="Arial" w:cs="Arial" w:eastAsia="Arial" w:hAnsi="Arial"/>
                  <w:sz w:val="18"/>
                  <w:szCs w:val="18"/>
                  <w:color w:val="0000FF"/>
                  <w:w w:val="92"/>
                </w:rPr>
                <w:t>and Patrick Barry, effective April 26, 2020</w:t>
              </w:r>
            </w:hyperlink>
          </w:p>
        </w:tc>
        <w:tc>
          <w:tcPr>
            <w:tcW w:w="2140" w:type="dxa"/>
            <w:vAlign w:val="bottom"/>
            <w:tcBorders>
              <w:top w:val="single" w:sz="8" w:color="0000FF"/>
            </w:tcBorders>
            <w:gridSpan w:val="20"/>
          </w:tcPr>
          <w:p>
            <w:pPr>
              <w:spacing w:after="0"/>
              <w:rPr>
                <w:sz w:val="13"/>
                <w:szCs w:val="13"/>
                <w:color w:val="auto"/>
              </w:rPr>
            </w:pPr>
          </w:p>
        </w:tc>
        <w:tc>
          <w:tcPr>
            <w:tcW w:w="160" w:type="dxa"/>
            <w:vAlign w:val="bottom"/>
            <w:gridSpan w:val="8"/>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10-Q</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76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80" w:type="dxa"/>
            <w:vAlign w:val="bottom"/>
            <w:gridSpan w:val="14"/>
          </w:tcPr>
          <w:p>
            <w:pPr>
              <w:ind w:left="4600"/>
              <w:spacing w:after="0"/>
              <w:rPr>
                <w:sz w:val="20"/>
                <w:szCs w:val="20"/>
                <w:color w:val="auto"/>
              </w:rPr>
            </w:pPr>
            <w:r>
              <w:rPr>
                <w:rFonts w:ascii="Arial" w:cs="Arial" w:eastAsia="Arial" w:hAnsi="Arial"/>
                <w:sz w:val="18"/>
                <w:szCs w:val="18"/>
                <w:color w:val="auto"/>
                <w:w w:val="79"/>
              </w:rPr>
              <w:t>79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86"/>
        </w:trPr>
        <w:tc>
          <w:tcPr>
            <w:tcW w:w="6320" w:type="dxa"/>
            <w:vAlign w:val="bottom"/>
            <w:gridSpan w:val="35"/>
          </w:tcPr>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66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Incorporated by Reference from:</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w w:val="90"/>
              </w:rPr>
              <w:t>Description</w:t>
            </w:r>
          </w:p>
        </w:tc>
        <w:tc>
          <w:tcPr>
            <w:tcW w:w="4660" w:type="dxa"/>
            <w:vAlign w:val="bottom"/>
            <w:gridSpan w:val="31"/>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4"/>
                <w:szCs w:val="14"/>
                <w:b w:val="1"/>
                <w:bCs w:val="1"/>
                <w:color w:val="auto"/>
                <w:w w:val="93"/>
              </w:rPr>
              <w:t>File Number</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Filing Type</w:t>
            </w:r>
          </w:p>
        </w:tc>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10.22</w:t>
            </w:r>
          </w:p>
        </w:tc>
        <w:tc>
          <w:tcPr>
            <w:tcW w:w="400" w:type="dxa"/>
            <w:vAlign w:val="bottom"/>
          </w:tcPr>
          <w:p>
            <w:pPr>
              <w:spacing w:after="0"/>
              <w:rPr>
                <w:sz w:val="18"/>
                <w:szCs w:val="18"/>
                <w:color w:val="auto"/>
              </w:rPr>
            </w:pPr>
          </w:p>
        </w:tc>
        <w:tc>
          <w:tcPr>
            <w:tcW w:w="5380" w:type="dxa"/>
            <w:vAlign w:val="bottom"/>
            <w:gridSpan w:val="32"/>
          </w:tcPr>
          <w:p>
            <w:pPr>
              <w:spacing w:after="0"/>
              <w:rPr>
                <w:rFonts w:ascii="Arial" w:cs="Arial" w:eastAsia="Arial" w:hAnsi="Arial"/>
                <w:sz w:val="18"/>
                <w:szCs w:val="18"/>
                <w:color w:val="0000FF"/>
                <w:w w:val="94"/>
              </w:rPr>
            </w:pPr>
            <w:hyperlink r:id="rId132">
              <w:r>
                <w:rPr>
                  <w:rFonts w:ascii="Arial" w:cs="Arial" w:eastAsia="Arial" w:hAnsi="Arial"/>
                  <w:sz w:val="18"/>
                  <w:szCs w:val="18"/>
                  <w:color w:val="0000FF"/>
                  <w:w w:val="94"/>
                </w:rPr>
                <w:t>Executive Employment Agreement between Endo Health Solutions Inc.</w:t>
              </w:r>
            </w:hyperlink>
          </w:p>
        </w:tc>
        <w:tc>
          <w:tcPr>
            <w:tcW w:w="96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160" w:type="dxa"/>
            <w:vAlign w:val="bottom"/>
            <w:gridSpan w:val="4"/>
          </w:tcPr>
          <w:p>
            <w:pPr>
              <w:ind w:left="180"/>
              <w:spacing w:after="0"/>
              <w:rPr>
                <w:sz w:val="20"/>
                <w:szCs w:val="20"/>
                <w:color w:val="auto"/>
              </w:rPr>
            </w:pPr>
            <w:r>
              <w:rPr>
                <w:rFonts w:ascii="Arial" w:cs="Arial" w:eastAsia="Arial" w:hAnsi="Arial"/>
                <w:sz w:val="18"/>
                <w:szCs w:val="18"/>
                <w:color w:val="auto"/>
              </w:rPr>
              <w:t>Annual Report on Form</w:t>
            </w:r>
          </w:p>
        </w:tc>
        <w:tc>
          <w:tcPr>
            <w:tcW w:w="1800" w:type="dxa"/>
            <w:vAlign w:val="bottom"/>
            <w:gridSpan w:val="2"/>
          </w:tcPr>
          <w:p>
            <w:pPr>
              <w:spacing w:after="0"/>
              <w:rPr>
                <w:sz w:val="20"/>
                <w:szCs w:val="20"/>
                <w:color w:val="auto"/>
              </w:rPr>
            </w:pPr>
            <w:r>
              <w:rPr>
                <w:rFonts w:ascii="Arial" w:cs="Arial" w:eastAsia="Arial" w:hAnsi="Arial"/>
                <w:sz w:val="18"/>
                <w:szCs w:val="18"/>
                <w:color w:val="auto"/>
              </w:rPr>
              <w:t>February 26, 2020</w:t>
            </w:r>
          </w:p>
        </w:tc>
      </w:tr>
      <w:tr>
        <w:trPr>
          <w:trHeight w:val="195"/>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40" w:type="dxa"/>
            <w:vAlign w:val="bottom"/>
            <w:tcBorders>
              <w:top w:val="single" w:sz="8" w:color="0000FF"/>
            </w:tcBorders>
            <w:gridSpan w:val="26"/>
          </w:tcPr>
          <w:p>
            <w:pPr>
              <w:spacing w:after="0" w:line="195" w:lineRule="exact"/>
              <w:rPr>
                <w:rFonts w:ascii="Arial" w:cs="Arial" w:eastAsia="Arial" w:hAnsi="Arial"/>
                <w:sz w:val="18"/>
                <w:szCs w:val="18"/>
                <w:u w:val="single" w:color="auto"/>
                <w:color w:val="0000FF"/>
                <w:w w:val="90"/>
              </w:rPr>
            </w:pPr>
            <w:hyperlink r:id="rId132">
              <w:r>
                <w:rPr>
                  <w:rFonts w:ascii="Arial" w:cs="Arial" w:eastAsia="Arial" w:hAnsi="Arial"/>
                  <w:sz w:val="18"/>
                  <w:szCs w:val="18"/>
                  <w:u w:val="single" w:color="auto"/>
                  <w:color w:val="0000FF"/>
                  <w:w w:val="90"/>
                </w:rPr>
                <w:t>and Mark Bradley, dated February 19, 2020 and effective March 6, 2020</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gridSpan w:val="4"/>
          </w:tcPr>
          <w:p>
            <w:pPr>
              <w:ind w:left="180"/>
              <w:spacing w:after="0" w:line="195" w:lineRule="exact"/>
              <w:rPr>
                <w:sz w:val="20"/>
                <w:szCs w:val="20"/>
                <w:color w:val="auto"/>
              </w:rPr>
            </w:pPr>
            <w:r>
              <w:rPr>
                <w:rFonts w:ascii="Arial" w:cs="Arial" w:eastAsia="Arial" w:hAnsi="Arial"/>
                <w:sz w:val="18"/>
                <w:szCs w:val="18"/>
                <w:color w:val="auto"/>
              </w:rPr>
              <w:t>10-K</w:t>
            </w: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0"/>
        </w:trPr>
        <w:tc>
          <w:tcPr>
            <w:tcW w:w="54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10.23</w:t>
            </w:r>
          </w:p>
        </w:tc>
        <w:tc>
          <w:tcPr>
            <w:tcW w:w="400" w:type="dxa"/>
            <w:vAlign w:val="bottom"/>
          </w:tcPr>
          <w:p>
            <w:pPr>
              <w:spacing w:after="0"/>
              <w:rPr>
                <w:sz w:val="16"/>
                <w:szCs w:val="16"/>
                <w:color w:val="auto"/>
              </w:rPr>
            </w:pPr>
          </w:p>
        </w:tc>
        <w:tc>
          <w:tcPr>
            <w:tcW w:w="5380" w:type="dxa"/>
            <w:vAlign w:val="bottom"/>
            <w:gridSpan w:val="32"/>
          </w:tcPr>
          <w:p>
            <w:pPr>
              <w:spacing w:after="0" w:line="190" w:lineRule="exact"/>
              <w:rPr>
                <w:rFonts w:ascii="Arial" w:cs="Arial" w:eastAsia="Arial" w:hAnsi="Arial"/>
                <w:sz w:val="18"/>
                <w:szCs w:val="18"/>
                <w:color w:val="0000FF"/>
                <w:w w:val="94"/>
              </w:rPr>
            </w:pPr>
            <w:hyperlink r:id="rId133">
              <w:r>
                <w:rPr>
                  <w:rFonts w:ascii="Arial" w:cs="Arial" w:eastAsia="Arial" w:hAnsi="Arial"/>
                  <w:sz w:val="18"/>
                  <w:szCs w:val="18"/>
                  <w:color w:val="0000FF"/>
                  <w:w w:val="94"/>
                </w:rPr>
                <w:t>Executive Employment Agreement between Endo Health Solutions Inc.</w:t>
              </w:r>
            </w:hyperlink>
          </w:p>
        </w:tc>
        <w:tc>
          <w:tcPr>
            <w:tcW w:w="960" w:type="dxa"/>
            <w:vAlign w:val="bottom"/>
            <w:gridSpan w:val="2"/>
          </w:tcPr>
          <w:p>
            <w:pPr>
              <w:spacing w:after="0" w:line="190" w:lineRule="exact"/>
              <w:rPr>
                <w:sz w:val="20"/>
                <w:szCs w:val="20"/>
                <w:color w:val="auto"/>
              </w:rPr>
            </w:pPr>
            <w:r>
              <w:rPr>
                <w:rFonts w:ascii="Arial" w:cs="Arial" w:eastAsia="Arial" w:hAnsi="Arial"/>
                <w:sz w:val="18"/>
                <w:szCs w:val="18"/>
                <w:color w:val="auto"/>
              </w:rPr>
              <w:t>001-36326</w:t>
            </w:r>
          </w:p>
        </w:tc>
        <w:tc>
          <w:tcPr>
            <w:tcW w:w="2160" w:type="dxa"/>
            <w:vAlign w:val="bottom"/>
            <w:gridSpan w:val="4"/>
          </w:tcPr>
          <w:p>
            <w:pPr>
              <w:ind w:left="180"/>
              <w:spacing w:after="0" w:line="190" w:lineRule="exact"/>
              <w:rPr>
                <w:sz w:val="20"/>
                <w:szCs w:val="20"/>
                <w:color w:val="auto"/>
              </w:rPr>
            </w:pPr>
            <w:r>
              <w:rPr>
                <w:rFonts w:ascii="Arial" w:cs="Arial" w:eastAsia="Arial" w:hAnsi="Arial"/>
                <w:sz w:val="18"/>
                <w:szCs w:val="18"/>
                <w:color w:val="auto"/>
                <w:w w:val="95"/>
              </w:rPr>
              <w:t>Quarterly Report on Form</w:t>
            </w:r>
          </w:p>
        </w:tc>
        <w:tc>
          <w:tcPr>
            <w:tcW w:w="1800" w:type="dxa"/>
            <w:vAlign w:val="bottom"/>
            <w:gridSpan w:val="2"/>
          </w:tcPr>
          <w:p>
            <w:pPr>
              <w:spacing w:after="0" w:line="190" w:lineRule="exact"/>
              <w:rPr>
                <w:sz w:val="20"/>
                <w:szCs w:val="20"/>
                <w:color w:val="auto"/>
              </w:rPr>
            </w:pPr>
            <w:r>
              <w:rPr>
                <w:rFonts w:ascii="Arial" w:cs="Arial" w:eastAsia="Arial" w:hAnsi="Arial"/>
                <w:sz w:val="18"/>
                <w:szCs w:val="18"/>
                <w:color w:val="auto"/>
              </w:rPr>
              <w:t>November 6, 2020</w:t>
            </w: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and Matthew Maletta, effective February 13, 2021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10-Q</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
        </w:trPr>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10.24</w:t>
            </w:r>
          </w:p>
        </w:tc>
        <w:tc>
          <w:tcPr>
            <w:tcW w:w="400" w:type="dxa"/>
            <w:vAlign w:val="bottom"/>
          </w:tcPr>
          <w:p>
            <w:pPr>
              <w:spacing w:after="0"/>
              <w:rPr>
                <w:sz w:val="18"/>
                <w:szCs w:val="18"/>
                <w:color w:val="auto"/>
              </w:rPr>
            </w:pPr>
          </w:p>
        </w:tc>
        <w:tc>
          <w:tcPr>
            <w:tcW w:w="5380" w:type="dxa"/>
            <w:vAlign w:val="bottom"/>
            <w:gridSpan w:val="32"/>
          </w:tcPr>
          <w:p>
            <w:pPr>
              <w:spacing w:after="0"/>
              <w:rPr>
                <w:rFonts w:ascii="Arial" w:cs="Arial" w:eastAsia="Arial" w:hAnsi="Arial"/>
                <w:sz w:val="18"/>
                <w:szCs w:val="18"/>
                <w:color w:val="0000FF"/>
                <w:w w:val="91"/>
              </w:rPr>
            </w:pPr>
            <w:hyperlink w:anchor="page159">
              <w:r>
                <w:rPr>
                  <w:rFonts w:ascii="Arial" w:cs="Arial" w:eastAsia="Arial" w:hAnsi="Arial"/>
                  <w:sz w:val="18"/>
                  <w:szCs w:val="18"/>
                  <w:color w:val="0000FF"/>
                  <w:w w:val="91"/>
                </w:rPr>
                <w:t>Separation Agreement and General Release between Endo and Terrance</w:t>
              </w:r>
            </w:hyperlink>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filed herewith</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w:anchor="page159">
              <w:r>
                <w:rPr>
                  <w:rFonts w:ascii="Arial" w:cs="Arial" w:eastAsia="Arial" w:hAnsi="Arial"/>
                  <w:sz w:val="18"/>
                  <w:szCs w:val="18"/>
                  <w:color w:val="0000FF"/>
                  <w:w w:val="90"/>
                </w:rPr>
                <w:t>J. Coughlin, dated November 19, 2020</w:t>
              </w:r>
            </w:hyperlink>
          </w:p>
        </w:tc>
        <w:tc>
          <w:tcPr>
            <w:tcW w:w="246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10"/>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10.25</w:t>
            </w:r>
          </w:p>
        </w:tc>
        <w:tc>
          <w:tcPr>
            <w:tcW w:w="400" w:type="dxa"/>
            <w:vAlign w:val="bottom"/>
          </w:tcPr>
          <w:p>
            <w:pPr>
              <w:spacing w:after="0"/>
              <w:rPr>
                <w:sz w:val="18"/>
                <w:szCs w:val="18"/>
                <w:color w:val="auto"/>
              </w:rPr>
            </w:pPr>
          </w:p>
        </w:tc>
        <w:tc>
          <w:tcPr>
            <w:tcW w:w="5380" w:type="dxa"/>
            <w:vAlign w:val="bottom"/>
            <w:gridSpan w:val="32"/>
          </w:tcPr>
          <w:p>
            <w:pPr>
              <w:spacing w:after="0"/>
              <w:rPr>
                <w:rFonts w:ascii="Arial" w:cs="Arial" w:eastAsia="Arial" w:hAnsi="Arial"/>
                <w:sz w:val="18"/>
                <w:szCs w:val="18"/>
                <w:color w:val="0000FF"/>
                <w:w w:val="93"/>
              </w:rPr>
            </w:pPr>
            <w:hyperlink r:id="rId134">
              <w:r>
                <w:rPr>
                  <w:rFonts w:ascii="Arial" w:cs="Arial" w:eastAsia="Arial" w:hAnsi="Arial"/>
                  <w:sz w:val="18"/>
                  <w:szCs w:val="18"/>
                  <w:color w:val="0000FF"/>
                  <w:w w:val="93"/>
                </w:rPr>
                <w:t>Succession Planning and Transition Compensation Agreement between</w:t>
              </w:r>
            </w:hyperlink>
          </w:p>
        </w:tc>
        <w:tc>
          <w:tcPr>
            <w:tcW w:w="96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3960" w:type="dxa"/>
            <w:vAlign w:val="bottom"/>
            <w:gridSpan w:val="6"/>
          </w:tcPr>
          <w:p>
            <w:pPr>
              <w:ind w:left="180"/>
              <w:spacing w:after="0"/>
              <w:rPr>
                <w:sz w:val="20"/>
                <w:szCs w:val="20"/>
                <w:color w:val="auto"/>
              </w:rPr>
            </w:pPr>
            <w:r>
              <w:rPr>
                <w:rFonts w:ascii="Arial" w:cs="Arial" w:eastAsia="Arial" w:hAnsi="Arial"/>
                <w:sz w:val="18"/>
                <w:szCs w:val="18"/>
                <w:color w:val="auto"/>
              </w:rPr>
              <w:t>Current Report on Form 8- December 12, 2019</w:t>
            </w: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1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Endo and Paul V. Campanelli, dated December 12,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
        </w:trPr>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r>
      <w:tr>
        <w:trPr>
          <w:trHeight w:val="210"/>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10.26</w:t>
            </w:r>
          </w:p>
        </w:tc>
        <w:tc>
          <w:tcPr>
            <w:tcW w:w="400" w:type="dxa"/>
            <w:vAlign w:val="bottom"/>
          </w:tcPr>
          <w:p>
            <w:pPr>
              <w:spacing w:after="0"/>
              <w:rPr>
                <w:sz w:val="18"/>
                <w:szCs w:val="18"/>
                <w:color w:val="auto"/>
              </w:rPr>
            </w:pPr>
          </w:p>
        </w:tc>
        <w:tc>
          <w:tcPr>
            <w:tcW w:w="5380" w:type="dxa"/>
            <w:vAlign w:val="bottom"/>
            <w:gridSpan w:val="32"/>
          </w:tcPr>
          <w:p>
            <w:pPr>
              <w:spacing w:after="0"/>
              <w:rPr>
                <w:rFonts w:ascii="Arial" w:cs="Arial" w:eastAsia="Arial" w:hAnsi="Arial"/>
                <w:sz w:val="18"/>
                <w:szCs w:val="18"/>
                <w:color w:val="0000FF"/>
                <w:w w:val="91"/>
              </w:rPr>
            </w:pPr>
            <w:hyperlink r:id="rId135">
              <w:r>
                <w:rPr>
                  <w:rFonts w:ascii="Arial" w:cs="Arial" w:eastAsia="Arial" w:hAnsi="Arial"/>
                  <w:sz w:val="18"/>
                  <w:szCs w:val="18"/>
                  <w:color w:val="0000FF"/>
                  <w:w w:val="91"/>
                </w:rPr>
                <w:t>Cash Contribution Bonus Agreement between Endo and Blaise Coleman,</w:t>
              </w:r>
            </w:hyperlink>
          </w:p>
        </w:tc>
        <w:tc>
          <w:tcPr>
            <w:tcW w:w="96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160" w:type="dxa"/>
            <w:vAlign w:val="bottom"/>
            <w:gridSpan w:val="4"/>
          </w:tcPr>
          <w:p>
            <w:pPr>
              <w:ind w:left="180"/>
              <w:spacing w:after="0"/>
              <w:rPr>
                <w:sz w:val="20"/>
                <w:szCs w:val="20"/>
                <w:color w:val="auto"/>
              </w:rPr>
            </w:pPr>
            <w:r>
              <w:rPr>
                <w:rFonts w:ascii="Arial" w:cs="Arial" w:eastAsia="Arial" w:hAnsi="Arial"/>
                <w:sz w:val="18"/>
                <w:szCs w:val="18"/>
                <w:color w:val="auto"/>
                <w:w w:val="95"/>
              </w:rPr>
              <w:t>Quarterly Report on Form</w:t>
            </w:r>
          </w:p>
        </w:tc>
        <w:tc>
          <w:tcPr>
            <w:tcW w:w="1800" w:type="dxa"/>
            <w:vAlign w:val="bottom"/>
            <w:gridSpan w:val="2"/>
          </w:tcPr>
          <w:p>
            <w:pPr>
              <w:spacing w:after="0"/>
              <w:rPr>
                <w:sz w:val="20"/>
                <w:szCs w:val="20"/>
                <w:color w:val="auto"/>
              </w:rPr>
            </w:pPr>
            <w:r>
              <w:rPr>
                <w:rFonts w:ascii="Arial" w:cs="Arial" w:eastAsia="Arial" w:hAnsi="Arial"/>
                <w:sz w:val="18"/>
                <w:szCs w:val="18"/>
                <w:color w:val="auto"/>
              </w:rPr>
              <w:t>August 5, 2019</w:t>
            </w: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2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35">
              <w:r>
                <w:rPr>
                  <w:rFonts w:ascii="Arial" w:cs="Arial" w:eastAsia="Arial" w:hAnsi="Arial"/>
                  <w:sz w:val="18"/>
                  <w:szCs w:val="18"/>
                  <w:color w:val="0000FF"/>
                </w:rPr>
                <w:t>dated August 1, 2019</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10-Q</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
        </w:trPr>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r>
      <w:tr>
        <w:trPr>
          <w:trHeight w:val="210"/>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10.27</w:t>
            </w:r>
          </w:p>
        </w:tc>
        <w:tc>
          <w:tcPr>
            <w:tcW w:w="400" w:type="dxa"/>
            <w:vAlign w:val="bottom"/>
          </w:tcPr>
          <w:p>
            <w:pPr>
              <w:spacing w:after="0"/>
              <w:rPr>
                <w:sz w:val="18"/>
                <w:szCs w:val="18"/>
                <w:color w:val="auto"/>
              </w:rPr>
            </w:pPr>
          </w:p>
        </w:tc>
        <w:tc>
          <w:tcPr>
            <w:tcW w:w="5380" w:type="dxa"/>
            <w:vAlign w:val="bottom"/>
            <w:gridSpan w:val="32"/>
          </w:tcPr>
          <w:p>
            <w:pPr>
              <w:spacing w:after="0"/>
              <w:rPr>
                <w:rFonts w:ascii="Arial" w:cs="Arial" w:eastAsia="Arial" w:hAnsi="Arial"/>
                <w:sz w:val="18"/>
                <w:szCs w:val="18"/>
                <w:color w:val="0000FF"/>
                <w:w w:val="95"/>
              </w:rPr>
            </w:pPr>
            <w:hyperlink r:id="rId136">
              <w:r>
                <w:rPr>
                  <w:rFonts w:ascii="Arial" w:cs="Arial" w:eastAsia="Arial" w:hAnsi="Arial"/>
                  <w:sz w:val="18"/>
                  <w:szCs w:val="18"/>
                  <w:color w:val="0000FF"/>
                  <w:w w:val="95"/>
                </w:rPr>
                <w:t>Cash Contribution Bonus Agreement between Endo and Patrick Barry,</w:t>
              </w:r>
            </w:hyperlink>
          </w:p>
        </w:tc>
        <w:tc>
          <w:tcPr>
            <w:tcW w:w="96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160" w:type="dxa"/>
            <w:vAlign w:val="bottom"/>
            <w:gridSpan w:val="4"/>
          </w:tcPr>
          <w:p>
            <w:pPr>
              <w:ind w:left="180"/>
              <w:spacing w:after="0"/>
              <w:rPr>
                <w:sz w:val="20"/>
                <w:szCs w:val="20"/>
                <w:color w:val="auto"/>
              </w:rPr>
            </w:pPr>
            <w:r>
              <w:rPr>
                <w:rFonts w:ascii="Arial" w:cs="Arial" w:eastAsia="Arial" w:hAnsi="Arial"/>
                <w:sz w:val="18"/>
                <w:szCs w:val="18"/>
                <w:color w:val="auto"/>
                <w:w w:val="95"/>
              </w:rPr>
              <w:t>Quarterly Report on Form</w:t>
            </w:r>
          </w:p>
        </w:tc>
        <w:tc>
          <w:tcPr>
            <w:tcW w:w="1800" w:type="dxa"/>
            <w:vAlign w:val="bottom"/>
            <w:gridSpan w:val="2"/>
          </w:tcPr>
          <w:p>
            <w:pPr>
              <w:spacing w:after="0"/>
              <w:rPr>
                <w:sz w:val="20"/>
                <w:szCs w:val="20"/>
                <w:color w:val="auto"/>
              </w:rPr>
            </w:pPr>
            <w:r>
              <w:rPr>
                <w:rFonts w:ascii="Arial" w:cs="Arial" w:eastAsia="Arial" w:hAnsi="Arial"/>
                <w:sz w:val="18"/>
                <w:szCs w:val="18"/>
                <w:color w:val="auto"/>
              </w:rPr>
              <w:t>May 7, 2020</w:t>
            </w: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1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dated August 1, 2019</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10-Q</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
        </w:trPr>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r>
      <w:tr>
        <w:trPr>
          <w:trHeight w:val="210"/>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10.28</w:t>
            </w:r>
          </w:p>
        </w:tc>
        <w:tc>
          <w:tcPr>
            <w:tcW w:w="400" w:type="dxa"/>
            <w:vAlign w:val="bottom"/>
          </w:tcPr>
          <w:p>
            <w:pPr>
              <w:spacing w:after="0"/>
              <w:rPr>
                <w:sz w:val="18"/>
                <w:szCs w:val="18"/>
                <w:color w:val="auto"/>
              </w:rPr>
            </w:pPr>
          </w:p>
        </w:tc>
        <w:tc>
          <w:tcPr>
            <w:tcW w:w="5380" w:type="dxa"/>
            <w:vAlign w:val="bottom"/>
            <w:gridSpan w:val="32"/>
          </w:tcPr>
          <w:p>
            <w:pPr>
              <w:spacing w:after="0"/>
              <w:rPr>
                <w:rFonts w:ascii="Arial" w:cs="Arial" w:eastAsia="Arial" w:hAnsi="Arial"/>
                <w:sz w:val="18"/>
                <w:szCs w:val="18"/>
                <w:color w:val="0000FF"/>
                <w:w w:val="94"/>
              </w:rPr>
            </w:pPr>
            <w:hyperlink r:id="rId137">
              <w:r>
                <w:rPr>
                  <w:rFonts w:ascii="Arial" w:cs="Arial" w:eastAsia="Arial" w:hAnsi="Arial"/>
                  <w:sz w:val="18"/>
                  <w:szCs w:val="18"/>
                  <w:color w:val="0000FF"/>
                  <w:w w:val="94"/>
                </w:rPr>
                <w:t>Cash Contribution Bonus Agreement between Endo and Mark Bradley,</w:t>
              </w:r>
            </w:hyperlink>
          </w:p>
        </w:tc>
        <w:tc>
          <w:tcPr>
            <w:tcW w:w="96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160" w:type="dxa"/>
            <w:vAlign w:val="bottom"/>
            <w:gridSpan w:val="4"/>
          </w:tcPr>
          <w:p>
            <w:pPr>
              <w:ind w:left="180"/>
              <w:spacing w:after="0"/>
              <w:rPr>
                <w:sz w:val="20"/>
                <w:szCs w:val="20"/>
                <w:color w:val="auto"/>
              </w:rPr>
            </w:pPr>
            <w:r>
              <w:rPr>
                <w:rFonts w:ascii="Arial" w:cs="Arial" w:eastAsia="Arial" w:hAnsi="Arial"/>
                <w:sz w:val="18"/>
                <w:szCs w:val="18"/>
                <w:color w:val="auto"/>
              </w:rPr>
              <w:t>Annual Report on Form</w:t>
            </w:r>
          </w:p>
        </w:tc>
        <w:tc>
          <w:tcPr>
            <w:tcW w:w="1800" w:type="dxa"/>
            <w:vAlign w:val="bottom"/>
            <w:gridSpan w:val="2"/>
          </w:tcPr>
          <w:p>
            <w:pPr>
              <w:spacing w:after="0"/>
              <w:rPr>
                <w:sz w:val="20"/>
                <w:szCs w:val="20"/>
                <w:color w:val="auto"/>
              </w:rPr>
            </w:pPr>
            <w:r>
              <w:rPr>
                <w:rFonts w:ascii="Arial" w:cs="Arial" w:eastAsia="Arial" w:hAnsi="Arial"/>
                <w:sz w:val="18"/>
                <w:szCs w:val="18"/>
                <w:color w:val="auto"/>
              </w:rPr>
              <w:t>February 26, 2020</w:t>
            </w: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1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dated August 1, 2019</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10-K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
        </w:trPr>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10.29</w:t>
            </w:r>
          </w:p>
        </w:tc>
        <w:tc>
          <w:tcPr>
            <w:tcW w:w="400" w:type="dxa"/>
            <w:vAlign w:val="bottom"/>
          </w:tcPr>
          <w:p>
            <w:pPr>
              <w:spacing w:after="0"/>
              <w:rPr>
                <w:sz w:val="17"/>
                <w:szCs w:val="17"/>
                <w:color w:val="auto"/>
              </w:rPr>
            </w:pPr>
          </w:p>
        </w:tc>
        <w:tc>
          <w:tcPr>
            <w:tcW w:w="5380" w:type="dxa"/>
            <w:vAlign w:val="bottom"/>
            <w:gridSpan w:val="32"/>
          </w:tcPr>
          <w:p>
            <w:pPr>
              <w:spacing w:after="0" w:line="196" w:lineRule="exact"/>
              <w:rPr>
                <w:rFonts w:ascii="Arial" w:cs="Arial" w:eastAsia="Arial" w:hAnsi="Arial"/>
                <w:sz w:val="18"/>
                <w:szCs w:val="18"/>
                <w:u w:val="single" w:color="auto"/>
                <w:color w:val="0000FF"/>
                <w:w w:val="93"/>
              </w:rPr>
            </w:pPr>
            <w:hyperlink r:id="rId138">
              <w:r>
                <w:rPr>
                  <w:rFonts w:ascii="Arial" w:cs="Arial" w:eastAsia="Arial" w:hAnsi="Arial"/>
                  <w:sz w:val="18"/>
                  <w:szCs w:val="18"/>
                  <w:u w:val="single" w:color="auto"/>
                  <w:color w:val="0000FF"/>
                  <w:w w:val="93"/>
                </w:rPr>
                <w:t>Letter Agreement between Endo and Mark Bradley, dated May 17, 2018</w:t>
              </w:r>
            </w:hyperlink>
          </w:p>
        </w:tc>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001-36326</w:t>
            </w:r>
          </w:p>
        </w:tc>
        <w:tc>
          <w:tcPr>
            <w:tcW w:w="2160" w:type="dxa"/>
            <w:vAlign w:val="bottom"/>
            <w:gridSpan w:val="4"/>
          </w:tcPr>
          <w:p>
            <w:pPr>
              <w:ind w:left="180"/>
              <w:spacing w:after="0" w:line="196" w:lineRule="exact"/>
              <w:rPr>
                <w:sz w:val="20"/>
                <w:szCs w:val="20"/>
                <w:color w:val="auto"/>
              </w:rPr>
            </w:pPr>
            <w:r>
              <w:rPr>
                <w:rFonts w:ascii="Arial" w:cs="Arial" w:eastAsia="Arial" w:hAnsi="Arial"/>
                <w:sz w:val="18"/>
                <w:szCs w:val="18"/>
                <w:color w:val="auto"/>
              </w:rPr>
              <w:t>Annual Report on Form</w:t>
            </w:r>
          </w:p>
        </w:tc>
        <w:tc>
          <w:tcPr>
            <w:tcW w:w="1800" w:type="dxa"/>
            <w:vAlign w:val="bottom"/>
            <w:gridSpan w:val="2"/>
          </w:tcPr>
          <w:p>
            <w:pPr>
              <w:spacing w:after="0" w:line="196" w:lineRule="exact"/>
              <w:rPr>
                <w:sz w:val="20"/>
                <w:szCs w:val="20"/>
                <w:color w:val="auto"/>
              </w:rPr>
            </w:pPr>
            <w:r>
              <w:rPr>
                <w:rFonts w:ascii="Arial" w:cs="Arial" w:eastAsia="Arial" w:hAnsi="Arial"/>
                <w:sz w:val="18"/>
                <w:szCs w:val="18"/>
                <w:color w:val="auto"/>
              </w:rPr>
              <w:t>February 26, 2020</w:t>
            </w: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60" w:type="dxa"/>
            <w:vAlign w:val="bottom"/>
            <w:gridSpan w:val="4"/>
          </w:tcPr>
          <w:p>
            <w:pPr>
              <w:ind w:left="180"/>
              <w:spacing w:after="0"/>
              <w:rPr>
                <w:sz w:val="20"/>
                <w:szCs w:val="20"/>
                <w:color w:val="auto"/>
              </w:rPr>
            </w:pPr>
            <w:r>
              <w:rPr>
                <w:rFonts w:ascii="Arial" w:cs="Arial" w:eastAsia="Arial" w:hAnsi="Arial"/>
                <w:sz w:val="18"/>
                <w:szCs w:val="18"/>
                <w:color w:val="auto"/>
              </w:rPr>
              <w:t>10-K</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90"/>
        </w:trPr>
        <w:tc>
          <w:tcPr>
            <w:tcW w:w="54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10.30</w:t>
            </w:r>
          </w:p>
        </w:tc>
        <w:tc>
          <w:tcPr>
            <w:tcW w:w="400" w:type="dxa"/>
            <w:vAlign w:val="bottom"/>
          </w:tcPr>
          <w:p>
            <w:pPr>
              <w:spacing w:after="0"/>
              <w:rPr>
                <w:sz w:val="16"/>
                <w:szCs w:val="16"/>
                <w:color w:val="auto"/>
              </w:rPr>
            </w:pPr>
          </w:p>
        </w:tc>
        <w:tc>
          <w:tcPr>
            <w:tcW w:w="5380" w:type="dxa"/>
            <w:vAlign w:val="bottom"/>
            <w:gridSpan w:val="32"/>
          </w:tcPr>
          <w:p>
            <w:pPr>
              <w:spacing w:after="0" w:line="190" w:lineRule="exact"/>
              <w:rPr>
                <w:rFonts w:ascii="Arial" w:cs="Arial" w:eastAsia="Arial" w:hAnsi="Arial"/>
                <w:sz w:val="18"/>
                <w:szCs w:val="18"/>
                <w:color w:val="0000FF"/>
                <w:w w:val="99"/>
              </w:rPr>
            </w:pPr>
            <w:hyperlink r:id="rId139">
              <w:r>
                <w:rPr>
                  <w:rFonts w:ascii="Arial" w:cs="Arial" w:eastAsia="Arial" w:hAnsi="Arial"/>
                  <w:sz w:val="18"/>
                  <w:szCs w:val="18"/>
                  <w:color w:val="0000FF"/>
                  <w:w w:val="99"/>
                </w:rPr>
                <w:t>Cash Contribution Bonus Agreement between Endo and Matthew J.</w:t>
              </w:r>
            </w:hyperlink>
          </w:p>
        </w:tc>
        <w:tc>
          <w:tcPr>
            <w:tcW w:w="960" w:type="dxa"/>
            <w:vAlign w:val="bottom"/>
            <w:gridSpan w:val="2"/>
          </w:tcPr>
          <w:p>
            <w:pPr>
              <w:spacing w:after="0" w:line="190" w:lineRule="exact"/>
              <w:rPr>
                <w:sz w:val="20"/>
                <w:szCs w:val="20"/>
                <w:color w:val="auto"/>
              </w:rPr>
            </w:pPr>
            <w:r>
              <w:rPr>
                <w:rFonts w:ascii="Arial" w:cs="Arial" w:eastAsia="Arial" w:hAnsi="Arial"/>
                <w:sz w:val="18"/>
                <w:szCs w:val="18"/>
                <w:color w:val="auto"/>
              </w:rPr>
              <w:t>001-36326</w:t>
            </w:r>
          </w:p>
        </w:tc>
        <w:tc>
          <w:tcPr>
            <w:tcW w:w="2160" w:type="dxa"/>
            <w:vAlign w:val="bottom"/>
            <w:gridSpan w:val="4"/>
          </w:tcPr>
          <w:p>
            <w:pPr>
              <w:ind w:left="180"/>
              <w:spacing w:after="0" w:line="190" w:lineRule="exact"/>
              <w:rPr>
                <w:sz w:val="20"/>
                <w:szCs w:val="20"/>
                <w:color w:val="auto"/>
              </w:rPr>
            </w:pPr>
            <w:r>
              <w:rPr>
                <w:rFonts w:ascii="Arial" w:cs="Arial" w:eastAsia="Arial" w:hAnsi="Arial"/>
                <w:sz w:val="18"/>
                <w:szCs w:val="18"/>
                <w:color w:val="auto"/>
                <w:w w:val="95"/>
              </w:rPr>
              <w:t>Quarterly Report on Form</w:t>
            </w:r>
          </w:p>
        </w:tc>
        <w:tc>
          <w:tcPr>
            <w:tcW w:w="1800" w:type="dxa"/>
            <w:vAlign w:val="bottom"/>
            <w:gridSpan w:val="2"/>
          </w:tcPr>
          <w:p>
            <w:pPr>
              <w:spacing w:after="0" w:line="190" w:lineRule="exact"/>
              <w:rPr>
                <w:sz w:val="20"/>
                <w:szCs w:val="20"/>
                <w:color w:val="auto"/>
              </w:rPr>
            </w:pPr>
            <w:r>
              <w:rPr>
                <w:rFonts w:ascii="Arial" w:cs="Arial" w:eastAsia="Arial" w:hAnsi="Arial"/>
                <w:sz w:val="18"/>
                <w:szCs w:val="18"/>
                <w:color w:val="auto"/>
              </w:rPr>
              <w:t>August 5, 2019</w:t>
            </w: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9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Maletta, dated August 1, 2019</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10-Q</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
        </w:trPr>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r>
      <w:tr>
        <w:trPr>
          <w:trHeight w:val="210"/>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10.31</w:t>
            </w:r>
          </w:p>
        </w:tc>
        <w:tc>
          <w:tcPr>
            <w:tcW w:w="400" w:type="dxa"/>
            <w:vAlign w:val="bottom"/>
          </w:tcPr>
          <w:p>
            <w:pPr>
              <w:spacing w:after="0"/>
              <w:rPr>
                <w:sz w:val="18"/>
                <w:szCs w:val="18"/>
                <w:color w:val="auto"/>
              </w:rPr>
            </w:pPr>
          </w:p>
        </w:tc>
        <w:tc>
          <w:tcPr>
            <w:tcW w:w="5380" w:type="dxa"/>
            <w:vAlign w:val="bottom"/>
            <w:gridSpan w:val="32"/>
          </w:tcPr>
          <w:p>
            <w:pPr>
              <w:spacing w:after="0"/>
              <w:rPr>
                <w:rFonts w:ascii="Arial" w:cs="Arial" w:eastAsia="Arial" w:hAnsi="Arial"/>
                <w:sz w:val="18"/>
                <w:szCs w:val="18"/>
                <w:color w:val="0000FF"/>
                <w:w w:val="98"/>
              </w:rPr>
            </w:pPr>
            <w:hyperlink r:id="rId140">
              <w:r>
                <w:rPr>
                  <w:rFonts w:ascii="Arial" w:cs="Arial" w:eastAsia="Arial" w:hAnsi="Arial"/>
                  <w:sz w:val="18"/>
                  <w:szCs w:val="18"/>
                  <w:color w:val="0000FF"/>
                  <w:w w:val="98"/>
                </w:rPr>
                <w:t>Cash Contribution Bonus Agreement between Endo and Terrance J.</w:t>
              </w:r>
            </w:hyperlink>
          </w:p>
        </w:tc>
        <w:tc>
          <w:tcPr>
            <w:tcW w:w="96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160" w:type="dxa"/>
            <w:vAlign w:val="bottom"/>
            <w:gridSpan w:val="4"/>
          </w:tcPr>
          <w:p>
            <w:pPr>
              <w:ind w:left="180"/>
              <w:spacing w:after="0"/>
              <w:rPr>
                <w:sz w:val="20"/>
                <w:szCs w:val="20"/>
                <w:color w:val="auto"/>
              </w:rPr>
            </w:pPr>
            <w:r>
              <w:rPr>
                <w:rFonts w:ascii="Arial" w:cs="Arial" w:eastAsia="Arial" w:hAnsi="Arial"/>
                <w:sz w:val="18"/>
                <w:szCs w:val="18"/>
                <w:color w:val="auto"/>
                <w:w w:val="95"/>
              </w:rPr>
              <w:t>Quarterly Report on Form</w:t>
            </w:r>
          </w:p>
        </w:tc>
        <w:tc>
          <w:tcPr>
            <w:tcW w:w="1800" w:type="dxa"/>
            <w:vAlign w:val="bottom"/>
            <w:gridSpan w:val="2"/>
          </w:tcPr>
          <w:p>
            <w:pPr>
              <w:spacing w:after="0"/>
              <w:rPr>
                <w:sz w:val="20"/>
                <w:szCs w:val="20"/>
                <w:color w:val="auto"/>
              </w:rPr>
            </w:pPr>
            <w:r>
              <w:rPr>
                <w:rFonts w:ascii="Arial" w:cs="Arial" w:eastAsia="Arial" w:hAnsi="Arial"/>
                <w:sz w:val="18"/>
                <w:szCs w:val="18"/>
                <w:color w:val="auto"/>
              </w:rPr>
              <w:t>August 5, 2019</w:t>
            </w: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8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Coughlin, dated August 1, 2019</w:t>
              </w:r>
            </w:hyperlink>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10-Q</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
        </w:trPr>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10.32</w:t>
            </w:r>
          </w:p>
        </w:tc>
        <w:tc>
          <w:tcPr>
            <w:tcW w:w="400" w:type="dxa"/>
            <w:vAlign w:val="bottom"/>
          </w:tcPr>
          <w:p>
            <w:pPr>
              <w:spacing w:after="0"/>
              <w:rPr>
                <w:sz w:val="18"/>
                <w:szCs w:val="18"/>
                <w:color w:val="auto"/>
              </w:rPr>
            </w:pPr>
          </w:p>
        </w:tc>
        <w:tc>
          <w:tcPr>
            <w:tcW w:w="5380" w:type="dxa"/>
            <w:vAlign w:val="bottom"/>
            <w:gridSpan w:val="32"/>
          </w:tcPr>
          <w:p>
            <w:pPr>
              <w:spacing w:after="0"/>
              <w:rPr>
                <w:rFonts w:ascii="Arial" w:cs="Arial" w:eastAsia="Arial" w:hAnsi="Arial"/>
                <w:sz w:val="18"/>
                <w:szCs w:val="18"/>
                <w:color w:val="0000FF"/>
                <w:w w:val="92"/>
              </w:rPr>
            </w:pPr>
            <w:hyperlink w:anchor="page166">
              <w:r>
                <w:rPr>
                  <w:rFonts w:ascii="Arial" w:cs="Arial" w:eastAsia="Arial" w:hAnsi="Arial"/>
                  <w:sz w:val="18"/>
                  <w:szCs w:val="18"/>
                  <w:color w:val="0000FF"/>
                  <w:w w:val="92"/>
                </w:rPr>
                <w:t>Cash Continuity Arrangement between Endo and Blaise Coleman, dated</w:t>
              </w:r>
            </w:hyperlink>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filed herewith</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0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w:anchor="page166">
              <w:r>
                <w:rPr>
                  <w:rFonts w:ascii="Arial" w:cs="Arial" w:eastAsia="Arial" w:hAnsi="Arial"/>
                  <w:sz w:val="18"/>
                  <w:szCs w:val="18"/>
                  <w:color w:val="0000FF"/>
                </w:rPr>
                <w:t>November 5, 2020</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
        </w:trPr>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10.33</w:t>
            </w:r>
          </w:p>
        </w:tc>
        <w:tc>
          <w:tcPr>
            <w:tcW w:w="400" w:type="dxa"/>
            <w:vAlign w:val="bottom"/>
          </w:tcPr>
          <w:p>
            <w:pPr>
              <w:spacing w:after="0"/>
              <w:rPr>
                <w:sz w:val="18"/>
                <w:szCs w:val="18"/>
                <w:color w:val="auto"/>
              </w:rPr>
            </w:pPr>
          </w:p>
        </w:tc>
        <w:tc>
          <w:tcPr>
            <w:tcW w:w="5380" w:type="dxa"/>
            <w:vAlign w:val="bottom"/>
            <w:gridSpan w:val="32"/>
          </w:tcPr>
          <w:p>
            <w:pPr>
              <w:spacing w:after="0"/>
              <w:rPr>
                <w:rFonts w:ascii="Arial" w:cs="Arial" w:eastAsia="Arial" w:hAnsi="Arial"/>
                <w:sz w:val="18"/>
                <w:szCs w:val="18"/>
                <w:color w:val="0000FF"/>
                <w:w w:val="96"/>
              </w:rPr>
            </w:pPr>
            <w:hyperlink w:anchor="page168">
              <w:r>
                <w:rPr>
                  <w:rFonts w:ascii="Arial" w:cs="Arial" w:eastAsia="Arial" w:hAnsi="Arial"/>
                  <w:sz w:val="18"/>
                  <w:szCs w:val="18"/>
                  <w:color w:val="0000FF"/>
                  <w:w w:val="96"/>
                </w:rPr>
                <w:t>Cash Continuity Arrangement between Endo and Patrick Barry, dated</w:t>
              </w:r>
            </w:hyperlink>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filed herewith</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168">
              <w:r>
                <w:rPr>
                  <w:rFonts w:ascii="Arial" w:cs="Arial" w:eastAsia="Arial" w:hAnsi="Arial"/>
                  <w:sz w:val="18"/>
                  <w:szCs w:val="18"/>
                  <w:color w:val="0000FF"/>
                </w:rPr>
                <w:t>November 5,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
        </w:trPr>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10.34</w:t>
            </w:r>
          </w:p>
        </w:tc>
        <w:tc>
          <w:tcPr>
            <w:tcW w:w="400" w:type="dxa"/>
            <w:vAlign w:val="bottom"/>
          </w:tcPr>
          <w:p>
            <w:pPr>
              <w:spacing w:after="0"/>
              <w:rPr>
                <w:sz w:val="18"/>
                <w:szCs w:val="18"/>
                <w:color w:val="auto"/>
              </w:rPr>
            </w:pPr>
          </w:p>
        </w:tc>
        <w:tc>
          <w:tcPr>
            <w:tcW w:w="5380" w:type="dxa"/>
            <w:vAlign w:val="bottom"/>
            <w:gridSpan w:val="32"/>
          </w:tcPr>
          <w:p>
            <w:pPr>
              <w:spacing w:after="0"/>
              <w:rPr>
                <w:rFonts w:ascii="Arial" w:cs="Arial" w:eastAsia="Arial" w:hAnsi="Arial"/>
                <w:sz w:val="18"/>
                <w:szCs w:val="18"/>
                <w:color w:val="0000FF"/>
                <w:w w:val="96"/>
              </w:rPr>
            </w:pPr>
            <w:hyperlink w:anchor="page170">
              <w:r>
                <w:rPr>
                  <w:rFonts w:ascii="Arial" w:cs="Arial" w:eastAsia="Arial" w:hAnsi="Arial"/>
                  <w:sz w:val="18"/>
                  <w:szCs w:val="18"/>
                  <w:color w:val="0000FF"/>
                  <w:w w:val="96"/>
                </w:rPr>
                <w:t>Cash Continuity Arrangement between Endo and Mark Bradley, dated</w:t>
              </w:r>
            </w:hyperlink>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filed herewith</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w:anchor="page170">
              <w:r>
                <w:rPr>
                  <w:rFonts w:ascii="Arial" w:cs="Arial" w:eastAsia="Arial" w:hAnsi="Arial"/>
                  <w:sz w:val="18"/>
                  <w:szCs w:val="18"/>
                  <w:color w:val="0000FF"/>
                </w:rPr>
                <w:t>November 5, 2020</w:t>
              </w:r>
            </w:hyperlink>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
        </w:trPr>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10.35</w:t>
            </w:r>
          </w:p>
        </w:tc>
        <w:tc>
          <w:tcPr>
            <w:tcW w:w="400" w:type="dxa"/>
            <w:vAlign w:val="bottom"/>
          </w:tcPr>
          <w:p>
            <w:pPr>
              <w:spacing w:after="0"/>
              <w:rPr>
                <w:sz w:val="18"/>
                <w:szCs w:val="18"/>
                <w:color w:val="auto"/>
              </w:rPr>
            </w:pPr>
          </w:p>
        </w:tc>
        <w:tc>
          <w:tcPr>
            <w:tcW w:w="5380" w:type="dxa"/>
            <w:vAlign w:val="bottom"/>
            <w:gridSpan w:val="32"/>
          </w:tcPr>
          <w:p>
            <w:pPr>
              <w:spacing w:after="0"/>
              <w:rPr>
                <w:rFonts w:ascii="Arial" w:cs="Arial" w:eastAsia="Arial" w:hAnsi="Arial"/>
                <w:sz w:val="18"/>
                <w:szCs w:val="18"/>
                <w:color w:val="0000FF"/>
                <w:w w:val="97"/>
              </w:rPr>
            </w:pPr>
            <w:hyperlink w:anchor="page172">
              <w:r>
                <w:rPr>
                  <w:rFonts w:ascii="Arial" w:cs="Arial" w:eastAsia="Arial" w:hAnsi="Arial"/>
                  <w:sz w:val="18"/>
                  <w:szCs w:val="18"/>
                  <w:color w:val="0000FF"/>
                  <w:w w:val="97"/>
                </w:rPr>
                <w:t>Cash Continuity Arrangement between Endo and Matthew J. Maletta,</w:t>
              </w:r>
            </w:hyperlink>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filed herewith</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172">
              <w:r>
                <w:rPr>
                  <w:rFonts w:ascii="Arial" w:cs="Arial" w:eastAsia="Arial" w:hAnsi="Arial"/>
                  <w:sz w:val="18"/>
                  <w:szCs w:val="18"/>
                  <w:color w:val="0000FF"/>
                </w:rPr>
                <w:t>dated November 5, 2020</w:t>
              </w:r>
            </w:hyperlink>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
        </w:trPr>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49"/>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21.1</w:t>
            </w:r>
          </w:p>
        </w:tc>
        <w:tc>
          <w:tcPr>
            <w:tcW w:w="400" w:type="dxa"/>
            <w:vAlign w:val="bottom"/>
          </w:tcPr>
          <w:p>
            <w:pPr>
              <w:spacing w:after="0"/>
              <w:rPr>
                <w:sz w:val="21"/>
                <w:szCs w:val="21"/>
                <w:color w:val="auto"/>
              </w:rPr>
            </w:pPr>
          </w:p>
        </w:tc>
        <w:tc>
          <w:tcPr>
            <w:tcW w:w="5380" w:type="dxa"/>
            <w:vAlign w:val="bottom"/>
            <w:gridSpan w:val="32"/>
          </w:tcPr>
          <w:p>
            <w:pPr>
              <w:spacing w:after="0"/>
              <w:rPr>
                <w:rFonts w:ascii="Arial" w:cs="Arial" w:eastAsia="Arial" w:hAnsi="Arial"/>
                <w:sz w:val="18"/>
                <w:szCs w:val="18"/>
                <w:u w:val="single" w:color="auto"/>
                <w:color w:val="0000FF"/>
              </w:rPr>
            </w:pPr>
            <w:hyperlink w:anchor="page174">
              <w:r>
                <w:rPr>
                  <w:rFonts w:ascii="Arial" w:cs="Arial" w:eastAsia="Arial" w:hAnsi="Arial"/>
                  <w:sz w:val="18"/>
                  <w:szCs w:val="18"/>
                  <w:u w:val="single" w:color="auto"/>
                  <w:color w:val="0000FF"/>
                </w:rPr>
                <w:t>Subsidiaries of the Registrant</w:t>
              </w:r>
            </w:hyperlink>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filed herewith</w:t>
            </w:r>
          </w:p>
        </w:tc>
        <w:tc>
          <w:tcPr>
            <w:tcW w:w="7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0"/>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23.1</w:t>
            </w:r>
          </w:p>
        </w:tc>
        <w:tc>
          <w:tcPr>
            <w:tcW w:w="400" w:type="dxa"/>
            <w:vAlign w:val="bottom"/>
          </w:tcPr>
          <w:p>
            <w:pPr>
              <w:spacing w:after="0"/>
              <w:rPr>
                <w:sz w:val="19"/>
                <w:szCs w:val="19"/>
                <w:color w:val="auto"/>
              </w:rPr>
            </w:pPr>
          </w:p>
        </w:tc>
        <w:tc>
          <w:tcPr>
            <w:tcW w:w="5380" w:type="dxa"/>
            <w:vAlign w:val="bottom"/>
            <w:gridSpan w:val="32"/>
          </w:tcPr>
          <w:p>
            <w:pPr>
              <w:spacing w:after="0"/>
              <w:rPr>
                <w:rFonts w:ascii="Arial" w:cs="Arial" w:eastAsia="Arial" w:hAnsi="Arial"/>
                <w:sz w:val="18"/>
                <w:szCs w:val="18"/>
                <w:u w:val="single" w:color="auto"/>
                <w:color w:val="0000FF"/>
              </w:rPr>
            </w:pPr>
            <w:hyperlink w:anchor="page176">
              <w:r>
                <w:rPr>
                  <w:rFonts w:ascii="Arial" w:cs="Arial" w:eastAsia="Arial" w:hAnsi="Arial"/>
                  <w:sz w:val="18"/>
                  <w:szCs w:val="18"/>
                  <w:u w:val="single" w:color="auto"/>
                  <w:color w:val="0000FF"/>
                </w:rPr>
                <w:t>Consent of PricewaterhouseCoopers LLP</w:t>
              </w:r>
            </w:hyperlink>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filed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24.1</w:t>
            </w:r>
          </w:p>
        </w:tc>
        <w:tc>
          <w:tcPr>
            <w:tcW w:w="400" w:type="dxa"/>
            <w:vAlign w:val="bottom"/>
          </w:tcPr>
          <w:p>
            <w:pPr>
              <w:spacing w:after="0"/>
              <w:rPr>
                <w:sz w:val="19"/>
                <w:szCs w:val="19"/>
                <w:color w:val="auto"/>
              </w:rPr>
            </w:pPr>
          </w:p>
        </w:tc>
        <w:tc>
          <w:tcPr>
            <w:tcW w:w="5380" w:type="dxa"/>
            <w:vAlign w:val="bottom"/>
            <w:gridSpan w:val="32"/>
          </w:tcPr>
          <w:p>
            <w:pPr>
              <w:spacing w:after="0"/>
              <w:rPr>
                <w:rFonts w:ascii="Arial" w:cs="Arial" w:eastAsia="Arial" w:hAnsi="Arial"/>
                <w:sz w:val="18"/>
                <w:szCs w:val="18"/>
                <w:u w:val="single" w:color="auto"/>
                <w:color w:val="0000FF"/>
              </w:rPr>
            </w:pPr>
            <w:hyperlink w:anchor="page177">
              <w:r>
                <w:rPr>
                  <w:rFonts w:ascii="Arial" w:cs="Arial" w:eastAsia="Arial" w:hAnsi="Arial"/>
                  <w:sz w:val="18"/>
                  <w:szCs w:val="18"/>
                  <w:u w:val="single" w:color="auto"/>
                  <w:color w:val="0000FF"/>
                </w:rPr>
                <w:t>Power of Attorney</w:t>
              </w:r>
            </w:hyperlink>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filed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90"/>
        </w:trPr>
        <w:tc>
          <w:tcPr>
            <w:tcW w:w="54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31.1</w:t>
            </w:r>
          </w:p>
        </w:tc>
        <w:tc>
          <w:tcPr>
            <w:tcW w:w="400" w:type="dxa"/>
            <w:vAlign w:val="bottom"/>
          </w:tcPr>
          <w:p>
            <w:pPr>
              <w:spacing w:after="0"/>
              <w:rPr>
                <w:sz w:val="16"/>
                <w:szCs w:val="16"/>
                <w:color w:val="auto"/>
              </w:rPr>
            </w:pPr>
          </w:p>
        </w:tc>
        <w:tc>
          <w:tcPr>
            <w:tcW w:w="5380" w:type="dxa"/>
            <w:vAlign w:val="bottom"/>
            <w:gridSpan w:val="32"/>
          </w:tcPr>
          <w:p>
            <w:pPr>
              <w:spacing w:after="0" w:line="190" w:lineRule="exact"/>
              <w:rPr>
                <w:rFonts w:ascii="Arial" w:cs="Arial" w:eastAsia="Arial" w:hAnsi="Arial"/>
                <w:sz w:val="18"/>
                <w:szCs w:val="18"/>
                <w:color w:val="0000FF"/>
              </w:rPr>
            </w:pPr>
            <w:hyperlink w:anchor="page178">
              <w:r>
                <w:rPr>
                  <w:rFonts w:ascii="Arial" w:cs="Arial" w:eastAsia="Arial" w:hAnsi="Arial"/>
                  <w:sz w:val="18"/>
                  <w:szCs w:val="18"/>
                  <w:color w:val="0000FF"/>
                </w:rPr>
                <w:t>Certification of the President and Chief Executive Officer of Endo</w:t>
              </w:r>
            </w:hyperlink>
          </w:p>
        </w:tc>
        <w:tc>
          <w:tcPr>
            <w:tcW w:w="3120" w:type="dxa"/>
            <w:vAlign w:val="bottom"/>
            <w:gridSpan w:val="6"/>
          </w:tcPr>
          <w:p>
            <w:pPr>
              <w:spacing w:after="0" w:line="190" w:lineRule="exact"/>
              <w:rPr>
                <w:sz w:val="20"/>
                <w:szCs w:val="20"/>
                <w:color w:val="auto"/>
              </w:rPr>
            </w:pPr>
            <w:r>
              <w:rPr>
                <w:rFonts w:ascii="Arial" w:cs="Arial" w:eastAsia="Arial" w:hAnsi="Arial"/>
                <w:sz w:val="18"/>
                <w:szCs w:val="18"/>
                <w:color w:val="auto"/>
              </w:rPr>
              <w:t>Not applicable; filed herewith</w:t>
            </w: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80" w:type="dxa"/>
            <w:vAlign w:val="bottom"/>
            <w:tcBorders>
              <w:top w:val="single" w:sz="8" w:color="0000FF"/>
            </w:tcBorders>
            <w:gridSpan w:val="13"/>
          </w:tcPr>
          <w:p>
            <w:pPr>
              <w:spacing w:after="0" w:line="195" w:lineRule="exact"/>
              <w:rPr>
                <w:rFonts w:ascii="Arial" w:cs="Arial" w:eastAsia="Arial" w:hAnsi="Arial"/>
                <w:sz w:val="18"/>
                <w:szCs w:val="18"/>
                <w:u w:val="single" w:color="auto"/>
                <w:color w:val="0000FF"/>
              </w:rPr>
            </w:pPr>
            <w:hyperlink w:anchor="page178">
              <w:r>
                <w:rPr>
                  <w:rFonts w:ascii="Arial" w:cs="Arial" w:eastAsia="Arial" w:hAnsi="Arial"/>
                  <w:sz w:val="18"/>
                  <w:szCs w:val="18"/>
                  <w:u w:val="single" w:color="auto"/>
                  <w:color w:val="0000FF"/>
                </w:rPr>
                <w:t>pursuant to Section 302 of the Sarbanes-Oxley Act of 2002</w:t>
              </w:r>
            </w:hyperlink>
          </w:p>
        </w:tc>
        <w:tc>
          <w:tcPr>
            <w:tcW w:w="20" w:type="dxa"/>
            <w:vAlign w:val="bottom"/>
          </w:tcPr>
          <w:p>
            <w:pPr>
              <w:spacing w:after="0"/>
              <w:rPr>
                <w:sz w:val="16"/>
                <w:szCs w:val="16"/>
                <w:color w:val="auto"/>
              </w:rPr>
            </w:pPr>
          </w:p>
        </w:tc>
        <w:tc>
          <w:tcPr>
            <w:tcW w:w="380" w:type="dxa"/>
            <w:vAlign w:val="bottom"/>
            <w:gridSpan w:val="9"/>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4"/>
          </w:tcPr>
          <w:p>
            <w:pPr>
              <w:spacing w:after="0"/>
              <w:rPr>
                <w:sz w:val="16"/>
                <w:szCs w:val="16"/>
                <w:color w:val="auto"/>
              </w:rPr>
            </w:pPr>
          </w:p>
        </w:tc>
        <w:tc>
          <w:tcPr>
            <w:tcW w:w="6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0"/>
        </w:trPr>
        <w:tc>
          <w:tcPr>
            <w:tcW w:w="54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31.2</w:t>
            </w:r>
          </w:p>
        </w:tc>
        <w:tc>
          <w:tcPr>
            <w:tcW w:w="400" w:type="dxa"/>
            <w:vAlign w:val="bottom"/>
          </w:tcPr>
          <w:p>
            <w:pPr>
              <w:spacing w:after="0"/>
              <w:rPr>
                <w:sz w:val="16"/>
                <w:szCs w:val="16"/>
                <w:color w:val="auto"/>
              </w:rPr>
            </w:pPr>
          </w:p>
        </w:tc>
        <w:tc>
          <w:tcPr>
            <w:tcW w:w="5380" w:type="dxa"/>
            <w:vAlign w:val="bottom"/>
            <w:gridSpan w:val="32"/>
          </w:tcPr>
          <w:p>
            <w:pPr>
              <w:spacing w:after="0" w:line="190" w:lineRule="exact"/>
              <w:rPr>
                <w:rFonts w:ascii="Arial" w:cs="Arial" w:eastAsia="Arial" w:hAnsi="Arial"/>
                <w:sz w:val="18"/>
                <w:szCs w:val="18"/>
                <w:color w:val="0000FF"/>
                <w:w w:val="96"/>
              </w:rPr>
            </w:pPr>
            <w:hyperlink w:anchor="page179">
              <w:r>
                <w:rPr>
                  <w:rFonts w:ascii="Arial" w:cs="Arial" w:eastAsia="Arial" w:hAnsi="Arial"/>
                  <w:sz w:val="18"/>
                  <w:szCs w:val="18"/>
                  <w:color w:val="0000FF"/>
                  <w:w w:val="96"/>
                </w:rPr>
                <w:t>Certification of the Chief Financial Officer of Endo pursuant to Section</w:t>
              </w:r>
            </w:hyperlink>
          </w:p>
        </w:tc>
        <w:tc>
          <w:tcPr>
            <w:tcW w:w="3120" w:type="dxa"/>
            <w:vAlign w:val="bottom"/>
            <w:gridSpan w:val="6"/>
          </w:tcPr>
          <w:p>
            <w:pPr>
              <w:spacing w:after="0" w:line="190" w:lineRule="exact"/>
              <w:rPr>
                <w:sz w:val="20"/>
                <w:szCs w:val="20"/>
                <w:color w:val="auto"/>
              </w:rPr>
            </w:pPr>
            <w:r>
              <w:rPr>
                <w:rFonts w:ascii="Arial" w:cs="Arial" w:eastAsia="Arial" w:hAnsi="Arial"/>
                <w:sz w:val="18"/>
                <w:szCs w:val="18"/>
                <w:color w:val="auto"/>
              </w:rPr>
              <w:t>Not applicable; filed herewith</w:t>
            </w: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w:anchor="page179">
              <w:r>
                <w:rPr>
                  <w:rFonts w:ascii="Arial" w:cs="Arial" w:eastAsia="Arial" w:hAnsi="Arial"/>
                  <w:sz w:val="18"/>
                  <w:szCs w:val="18"/>
                  <w:color w:val="0000FF"/>
                  <w:w w:val="90"/>
                </w:rPr>
                <w:t>302 of the Sarbanes-Oxley Act of 2002</w:t>
              </w:r>
            </w:hyperlink>
          </w:p>
        </w:tc>
        <w:tc>
          <w:tcPr>
            <w:tcW w:w="234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10"/>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18"/>
                <w:szCs w:val="18"/>
                <w:color w:val="auto"/>
              </w:rPr>
            </w:pPr>
          </w:p>
        </w:tc>
        <w:tc>
          <w:tcPr>
            <w:tcW w:w="5380" w:type="dxa"/>
            <w:vAlign w:val="bottom"/>
            <w:gridSpan w:val="32"/>
          </w:tcPr>
          <w:p>
            <w:pPr>
              <w:spacing w:after="0"/>
              <w:rPr>
                <w:rFonts w:ascii="Arial" w:cs="Arial" w:eastAsia="Arial" w:hAnsi="Arial"/>
                <w:sz w:val="18"/>
                <w:szCs w:val="18"/>
                <w:color w:val="0000FF"/>
              </w:rPr>
            </w:pPr>
            <w:hyperlink w:anchor="page180">
              <w:r>
                <w:rPr>
                  <w:rFonts w:ascii="Arial" w:cs="Arial" w:eastAsia="Arial" w:hAnsi="Arial"/>
                  <w:sz w:val="18"/>
                  <w:szCs w:val="18"/>
                  <w:color w:val="0000FF"/>
                </w:rPr>
                <w:t>Certification of the President and Chief Executive Officer of Endo</w:t>
              </w:r>
            </w:hyperlink>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furnished herewith</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0" w:type="dxa"/>
            <w:vAlign w:val="bottom"/>
            <w:tcBorders>
              <w:top w:val="single" w:sz="8" w:color="0000FF"/>
            </w:tcBorders>
            <w:gridSpan w:val="14"/>
          </w:tcPr>
          <w:p>
            <w:pPr>
              <w:spacing w:after="0" w:line="156" w:lineRule="exact"/>
              <w:rPr>
                <w:rFonts w:ascii="Arial" w:cs="Arial" w:eastAsia="Arial" w:hAnsi="Arial"/>
                <w:sz w:val="18"/>
                <w:szCs w:val="18"/>
                <w:color w:val="0000FF"/>
                <w:w w:val="88"/>
              </w:rPr>
            </w:pPr>
            <w:hyperlink w:anchor="page180">
              <w:r>
                <w:rPr>
                  <w:rFonts w:ascii="Arial" w:cs="Arial" w:eastAsia="Arial" w:hAnsi="Arial"/>
                  <w:sz w:val="18"/>
                  <w:szCs w:val="18"/>
                  <w:color w:val="0000FF"/>
                  <w:w w:val="88"/>
                </w:rPr>
                <w:t>pursuant to 18 U.S.C. Section 1350, as adopted pursuant to Section</w:t>
              </w:r>
            </w:hyperlink>
          </w:p>
        </w:tc>
        <w:tc>
          <w:tcPr>
            <w:tcW w:w="480" w:type="dxa"/>
            <w:vAlign w:val="bottom"/>
            <w:gridSpan w:val="14"/>
          </w:tcPr>
          <w:p>
            <w:pPr>
              <w:jc w:val="right"/>
              <w:ind w:right="120"/>
              <w:spacing w:after="0" w:line="156" w:lineRule="exact"/>
              <w:rPr>
                <w:rFonts w:ascii="Arial" w:cs="Arial" w:eastAsia="Arial" w:hAnsi="Arial"/>
                <w:sz w:val="18"/>
                <w:szCs w:val="18"/>
                <w:color w:val="0000FF"/>
              </w:rPr>
            </w:pPr>
            <w:hyperlink w:anchor="page180">
              <w:r>
                <w:rPr>
                  <w:rFonts w:ascii="Arial" w:cs="Arial" w:eastAsia="Arial" w:hAnsi="Arial"/>
                  <w:sz w:val="18"/>
                  <w:szCs w:val="18"/>
                  <w:color w:val="0000FF"/>
                </w:rPr>
                <w:t>906</w:t>
              </w:r>
            </w:hyperlink>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w:anchor="page180">
              <w:r>
                <w:rPr>
                  <w:rFonts w:ascii="Arial" w:cs="Arial" w:eastAsia="Arial" w:hAnsi="Arial"/>
                  <w:sz w:val="18"/>
                  <w:szCs w:val="18"/>
                  <w:color w:val="0000FF"/>
                  <w:w w:val="90"/>
                </w:rPr>
                <w:t>of the Sarbanes-Oxley Act of 2002</w:t>
              </w:r>
            </w:hyperlink>
          </w:p>
        </w:tc>
        <w:tc>
          <w:tcPr>
            <w:tcW w:w="2680" w:type="dxa"/>
            <w:vAlign w:val="bottom"/>
            <w:tcBorders>
              <w:top w:val="single" w:sz="8" w:color="0000FF"/>
            </w:tcBorders>
            <w:gridSpan w:val="16"/>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10"/>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32.2</w:t>
            </w:r>
          </w:p>
        </w:tc>
        <w:tc>
          <w:tcPr>
            <w:tcW w:w="400" w:type="dxa"/>
            <w:vAlign w:val="bottom"/>
          </w:tcPr>
          <w:p>
            <w:pPr>
              <w:spacing w:after="0"/>
              <w:rPr>
                <w:sz w:val="18"/>
                <w:szCs w:val="18"/>
                <w:color w:val="auto"/>
              </w:rPr>
            </w:pPr>
          </w:p>
        </w:tc>
        <w:tc>
          <w:tcPr>
            <w:tcW w:w="8500" w:type="dxa"/>
            <w:vAlign w:val="bottom"/>
            <w:gridSpan w:val="38"/>
          </w:tcPr>
          <w:p>
            <w:pPr>
              <w:spacing w:after="0"/>
              <w:rPr>
                <w:rFonts w:ascii="Arial" w:cs="Arial" w:eastAsia="Arial" w:hAnsi="Arial"/>
                <w:sz w:val="18"/>
                <w:szCs w:val="18"/>
                <w:color w:val="0000FF"/>
                <w:w w:val="99"/>
              </w:rPr>
            </w:pPr>
            <w:hyperlink w:anchor="page181">
              <w:r>
                <w:rPr>
                  <w:rFonts w:ascii="Arial" w:cs="Arial" w:eastAsia="Arial" w:hAnsi="Arial"/>
                  <w:sz w:val="18"/>
                  <w:szCs w:val="18"/>
                  <w:color w:val="0000FF"/>
                  <w:w w:val="99"/>
                </w:rPr>
                <w:t xml:space="preserve">Certification of the Chief Financial Officer of Endo pursuant to 18 U.S.C. </w:t>
              </w:r>
            </w:hyperlink>
            <w:r>
              <w:rPr>
                <w:rFonts w:ascii="Arial" w:cs="Arial" w:eastAsia="Arial" w:hAnsi="Arial"/>
                <w:sz w:val="18"/>
                <w:szCs w:val="18"/>
                <w:color w:val="000000"/>
                <w:w w:val="99"/>
              </w:rPr>
              <w:t>Not</w:t>
            </w:r>
            <w:r>
              <w:rPr>
                <w:rFonts w:ascii="Arial" w:cs="Arial" w:eastAsia="Arial" w:hAnsi="Arial"/>
                <w:sz w:val="18"/>
                <w:szCs w:val="18"/>
                <w:color w:val="0000FF"/>
                <w:w w:val="99"/>
              </w:rPr>
              <w:t xml:space="preserve"> </w:t>
            </w:r>
            <w:r>
              <w:rPr>
                <w:rFonts w:ascii="Arial" w:cs="Arial" w:eastAsia="Arial" w:hAnsi="Arial"/>
                <w:sz w:val="18"/>
                <w:szCs w:val="18"/>
                <w:color w:val="000000"/>
                <w:w w:val="99"/>
              </w:rPr>
              <w:t>applicable; furnished herewith</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40" w:type="dxa"/>
            <w:vAlign w:val="bottom"/>
            <w:tcBorders>
              <w:top w:val="single" w:sz="8" w:color="0000FF"/>
            </w:tcBorders>
            <w:gridSpan w:val="31"/>
          </w:tcPr>
          <w:p>
            <w:pPr>
              <w:spacing w:after="0" w:line="156" w:lineRule="exact"/>
              <w:rPr>
                <w:rFonts w:ascii="Arial" w:cs="Arial" w:eastAsia="Arial" w:hAnsi="Arial"/>
                <w:sz w:val="18"/>
                <w:szCs w:val="18"/>
                <w:color w:val="0000FF"/>
                <w:w w:val="91"/>
              </w:rPr>
            </w:pPr>
            <w:hyperlink w:anchor="page181">
              <w:r>
                <w:rPr>
                  <w:rFonts w:ascii="Arial" w:cs="Arial" w:eastAsia="Arial" w:hAnsi="Arial"/>
                  <w:sz w:val="18"/>
                  <w:szCs w:val="18"/>
                  <w:color w:val="0000FF"/>
                  <w:w w:val="91"/>
                </w:rPr>
                <w:t>Section 1350, as adopted pursuant to Section 906 of the Sarbanes-Oxley</w:t>
              </w:r>
            </w:hyperlink>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8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w:anchor="page181">
              <w:r>
                <w:rPr>
                  <w:rFonts w:ascii="Arial" w:cs="Arial" w:eastAsia="Arial" w:hAnsi="Arial"/>
                  <w:sz w:val="18"/>
                  <w:szCs w:val="18"/>
                  <w:color w:val="0000FF"/>
                </w:rPr>
                <w:t>Act of 2002</w:t>
              </w:r>
            </w:hyperlink>
          </w:p>
        </w:tc>
        <w:tc>
          <w:tcPr>
            <w:tcW w:w="100" w:type="dxa"/>
            <w:vAlign w:val="bottom"/>
            <w:gridSpan w:val="4"/>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520" w:type="dxa"/>
            <w:vAlign w:val="bottom"/>
            <w:gridSpan w:val="30"/>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101.INS</w:t>
            </w:r>
          </w:p>
        </w:tc>
        <w:tc>
          <w:tcPr>
            <w:tcW w:w="5380" w:type="dxa"/>
            <w:vAlign w:val="bottom"/>
            <w:gridSpan w:val="32"/>
          </w:tcPr>
          <w:p>
            <w:pPr>
              <w:spacing w:after="0" w:line="196" w:lineRule="exact"/>
              <w:rPr>
                <w:sz w:val="20"/>
                <w:szCs w:val="20"/>
                <w:color w:val="auto"/>
              </w:rPr>
            </w:pPr>
            <w:r>
              <w:rPr>
                <w:rFonts w:ascii="Arial" w:cs="Arial" w:eastAsia="Arial" w:hAnsi="Arial"/>
                <w:sz w:val="18"/>
                <w:szCs w:val="18"/>
                <w:color w:val="auto"/>
                <w:w w:val="95"/>
              </w:rPr>
              <w:t>iXBRL Instance Document - the instance document does not appear in</w:t>
            </w:r>
          </w:p>
        </w:tc>
        <w:tc>
          <w:tcPr>
            <w:tcW w:w="3120" w:type="dxa"/>
            <w:vAlign w:val="bottom"/>
            <w:gridSpan w:val="6"/>
          </w:tcPr>
          <w:p>
            <w:pPr>
              <w:spacing w:after="0" w:line="196" w:lineRule="exact"/>
              <w:rPr>
                <w:sz w:val="20"/>
                <w:szCs w:val="20"/>
                <w:color w:val="auto"/>
              </w:rPr>
            </w:pPr>
            <w:r>
              <w:rPr>
                <w:rFonts w:ascii="Arial" w:cs="Arial" w:eastAsia="Arial" w:hAnsi="Arial"/>
                <w:sz w:val="18"/>
                <w:szCs w:val="18"/>
                <w:color w:val="auto"/>
              </w:rPr>
              <w:t>Not applicable; submitted herewith</w:t>
            </w: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380" w:type="dxa"/>
            <w:vAlign w:val="bottom"/>
            <w:gridSpan w:val="32"/>
          </w:tcPr>
          <w:p>
            <w:pPr>
              <w:spacing w:after="0" w:line="176" w:lineRule="exact"/>
              <w:rPr>
                <w:sz w:val="20"/>
                <w:szCs w:val="20"/>
                <w:color w:val="auto"/>
              </w:rPr>
            </w:pPr>
            <w:r>
              <w:rPr>
                <w:rFonts w:ascii="Arial" w:cs="Arial" w:eastAsia="Arial" w:hAnsi="Arial"/>
                <w:sz w:val="18"/>
                <w:szCs w:val="18"/>
                <w:color w:val="auto"/>
                <w:w w:val="94"/>
              </w:rPr>
              <w:t>the interactive data file because its XBRL tags are embedded within the</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80" w:type="dxa"/>
            <w:vAlign w:val="bottom"/>
            <w:gridSpan w:val="32"/>
          </w:tcPr>
          <w:p>
            <w:pPr>
              <w:spacing w:after="0"/>
              <w:rPr>
                <w:sz w:val="20"/>
                <w:szCs w:val="20"/>
                <w:color w:val="auto"/>
              </w:rPr>
            </w:pPr>
            <w:r>
              <w:rPr>
                <w:rFonts w:ascii="Arial" w:cs="Arial" w:eastAsia="Arial" w:hAnsi="Arial"/>
                <w:sz w:val="18"/>
                <w:szCs w:val="18"/>
                <w:color w:val="auto"/>
              </w:rPr>
              <w:t>inline XBRL document.</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380" w:type="dxa"/>
            <w:vAlign w:val="bottom"/>
            <w:gridSpan w:val="32"/>
          </w:tcPr>
          <w:p>
            <w:pPr>
              <w:spacing w:after="0"/>
              <w:rPr>
                <w:sz w:val="20"/>
                <w:szCs w:val="20"/>
                <w:color w:val="auto"/>
              </w:rPr>
            </w:pPr>
            <w:r>
              <w:rPr>
                <w:rFonts w:ascii="Arial" w:cs="Arial" w:eastAsia="Arial" w:hAnsi="Arial"/>
                <w:sz w:val="18"/>
                <w:szCs w:val="18"/>
                <w:color w:val="auto"/>
              </w:rPr>
              <w:t>iXBRL Taxonomy Extension Schema Document</w:t>
            </w:r>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380" w:type="dxa"/>
            <w:vAlign w:val="bottom"/>
            <w:gridSpan w:val="32"/>
          </w:tcPr>
          <w:p>
            <w:pPr>
              <w:spacing w:after="0"/>
              <w:rPr>
                <w:sz w:val="20"/>
                <w:szCs w:val="20"/>
                <w:color w:val="auto"/>
              </w:rPr>
            </w:pPr>
            <w:r>
              <w:rPr>
                <w:rFonts w:ascii="Arial" w:cs="Arial" w:eastAsia="Arial" w:hAnsi="Arial"/>
                <w:sz w:val="18"/>
                <w:szCs w:val="18"/>
                <w:color w:val="auto"/>
              </w:rPr>
              <w:t>iXBRL Taxonomy Extension Calculation Linkbase Document</w:t>
            </w:r>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380" w:type="dxa"/>
            <w:vAlign w:val="bottom"/>
            <w:gridSpan w:val="32"/>
          </w:tcPr>
          <w:p>
            <w:pPr>
              <w:spacing w:after="0"/>
              <w:rPr>
                <w:sz w:val="20"/>
                <w:szCs w:val="20"/>
                <w:color w:val="auto"/>
              </w:rPr>
            </w:pPr>
            <w:r>
              <w:rPr>
                <w:rFonts w:ascii="Arial" w:cs="Arial" w:eastAsia="Arial" w:hAnsi="Arial"/>
                <w:sz w:val="18"/>
                <w:szCs w:val="18"/>
                <w:color w:val="auto"/>
              </w:rPr>
              <w:t>iXBRL Taxonomy Extension Definition Linkbase Document</w:t>
            </w:r>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380" w:type="dxa"/>
            <w:vAlign w:val="bottom"/>
            <w:gridSpan w:val="32"/>
          </w:tcPr>
          <w:p>
            <w:pPr>
              <w:spacing w:after="0"/>
              <w:rPr>
                <w:sz w:val="20"/>
                <w:szCs w:val="20"/>
                <w:color w:val="auto"/>
              </w:rPr>
            </w:pPr>
            <w:r>
              <w:rPr>
                <w:rFonts w:ascii="Arial" w:cs="Arial" w:eastAsia="Arial" w:hAnsi="Arial"/>
                <w:sz w:val="18"/>
                <w:szCs w:val="18"/>
                <w:color w:val="auto"/>
              </w:rPr>
              <w:t>iXBRL Taxonomy Extension Label Linkbase Document</w:t>
            </w:r>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380" w:type="dxa"/>
            <w:vAlign w:val="bottom"/>
            <w:gridSpan w:val="32"/>
          </w:tcPr>
          <w:p>
            <w:pPr>
              <w:spacing w:after="0"/>
              <w:rPr>
                <w:sz w:val="20"/>
                <w:szCs w:val="20"/>
                <w:color w:val="auto"/>
              </w:rPr>
            </w:pPr>
            <w:r>
              <w:rPr>
                <w:rFonts w:ascii="Arial" w:cs="Arial" w:eastAsia="Arial" w:hAnsi="Arial"/>
                <w:sz w:val="18"/>
                <w:szCs w:val="18"/>
                <w:color w:val="auto"/>
              </w:rPr>
              <w:t>iXBRL Taxonomy Extension Presentation Linkbase Document</w:t>
            </w:r>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6"/>
        </w:trPr>
        <w:tc>
          <w:tcPr>
            <w:tcW w:w="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104</w:t>
            </w:r>
          </w:p>
        </w:tc>
        <w:tc>
          <w:tcPr>
            <w:tcW w:w="400" w:type="dxa"/>
            <w:vAlign w:val="bottom"/>
          </w:tcPr>
          <w:p>
            <w:pPr>
              <w:spacing w:after="0"/>
              <w:rPr>
                <w:sz w:val="15"/>
                <w:szCs w:val="15"/>
                <w:color w:val="auto"/>
              </w:rPr>
            </w:pPr>
          </w:p>
        </w:tc>
        <w:tc>
          <w:tcPr>
            <w:tcW w:w="5380" w:type="dxa"/>
            <w:vAlign w:val="bottom"/>
            <w:gridSpan w:val="32"/>
          </w:tcPr>
          <w:p>
            <w:pPr>
              <w:spacing w:after="0" w:line="176" w:lineRule="exact"/>
              <w:rPr>
                <w:sz w:val="20"/>
                <w:szCs w:val="20"/>
                <w:color w:val="auto"/>
              </w:rPr>
            </w:pPr>
            <w:r>
              <w:rPr>
                <w:rFonts w:ascii="Arial" w:cs="Arial" w:eastAsia="Arial" w:hAnsi="Arial"/>
                <w:sz w:val="18"/>
                <w:szCs w:val="18"/>
                <w:color w:val="auto"/>
                <w:w w:val="96"/>
              </w:rPr>
              <w:t>Cover Page Interactive Data File, formatted in iXBRL and contained in</w:t>
            </w:r>
          </w:p>
        </w:tc>
        <w:tc>
          <w:tcPr>
            <w:tcW w:w="3120" w:type="dxa"/>
            <w:vAlign w:val="bottom"/>
            <w:gridSpan w:val="6"/>
          </w:tcPr>
          <w:p>
            <w:pPr>
              <w:spacing w:after="0" w:line="176" w:lineRule="exact"/>
              <w:rPr>
                <w:sz w:val="20"/>
                <w:szCs w:val="20"/>
                <w:color w:val="auto"/>
              </w:rPr>
            </w:pPr>
            <w:r>
              <w:rPr>
                <w:rFonts w:ascii="Arial" w:cs="Arial" w:eastAsia="Arial" w:hAnsi="Arial"/>
                <w:sz w:val="18"/>
                <w:szCs w:val="18"/>
                <w:color w:val="auto"/>
              </w:rPr>
              <w:t>Not applicable; submitted herewith</w:t>
            </w: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380" w:type="dxa"/>
            <w:vAlign w:val="bottom"/>
            <w:gridSpan w:val="32"/>
          </w:tcPr>
          <w:p>
            <w:pPr>
              <w:spacing w:after="0"/>
              <w:rPr>
                <w:sz w:val="20"/>
                <w:szCs w:val="20"/>
                <w:color w:val="auto"/>
              </w:rPr>
            </w:pPr>
            <w:r>
              <w:rPr>
                <w:rFonts w:ascii="Arial" w:cs="Arial" w:eastAsia="Arial" w:hAnsi="Arial"/>
                <w:sz w:val="18"/>
                <w:szCs w:val="18"/>
                <w:color w:val="auto"/>
              </w:rPr>
              <w:t>Exhibit 101</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74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80" w:type="dxa"/>
            <w:vAlign w:val="bottom"/>
            <w:gridSpan w:val="13"/>
          </w:tcPr>
          <w:p>
            <w:pPr>
              <w:ind w:left="4600"/>
              <w:spacing w:after="0"/>
              <w:rPr>
                <w:sz w:val="20"/>
                <w:szCs w:val="20"/>
                <w:color w:val="auto"/>
              </w:rPr>
            </w:pPr>
            <w:r>
              <w:rPr>
                <w:rFonts w:ascii="Arial" w:cs="Arial" w:eastAsia="Arial" w:hAnsi="Arial"/>
                <w:sz w:val="18"/>
                <w:szCs w:val="18"/>
                <w:color w:val="auto"/>
                <w:w w:val="79"/>
              </w:rPr>
              <w:t>80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ind w:left="260" w:hanging="234"/>
        <w:spacing w:after="0" w:line="264" w:lineRule="auto"/>
        <w:tabs>
          <w:tab w:leader="none" w:pos="2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Confidential portions of this exhibit (indicated by asterisks) have been redacted and filed separately with the Securities and Exchange Commission pursuant to a confidential treatment request in accordance with Rule 24b-2 of the Securities Exchange Act of 1934, as amended.</w:t>
      </w:r>
    </w:p>
    <w:p>
      <w:pPr>
        <w:spacing w:after="0" w:line="1" w:lineRule="exact"/>
        <w:rPr>
          <w:sz w:val="20"/>
          <w:szCs w:val="20"/>
          <w:color w:val="auto"/>
        </w:rPr>
      </w:pPr>
    </w:p>
    <w:p>
      <w:pPr>
        <w:ind w:left="20"/>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Schedules and exhibits have been omitted pursuant to Item 601(a)(5) of Regulation S-K.</w:t>
      </w:r>
    </w:p>
    <w:p>
      <w:pPr>
        <w:spacing w:after="0" w:line="11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118" w:right="739" w:bottom="1440" w:gutter="0" w:footer="0" w:header="0"/>
        </w:sectPr>
      </w:pPr>
    </w:p>
    <w:bookmarkStart w:id="84" w:name="page85"/>
    <w:bookmarkEnd w:id="8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ENDO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14605</wp:posOffset>
            </wp:positionV>
            <wp:extent cx="44062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4">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8" w:lineRule="exact"/>
        <w:rPr>
          <w:sz w:val="20"/>
          <w:szCs w:val="20"/>
          <w:color w:val="auto"/>
        </w:rPr>
      </w:pPr>
    </w:p>
    <w:p>
      <w:pPr>
        <w:ind w:left="4320"/>
        <w:spacing w:after="0"/>
        <w:rPr>
          <w:sz w:val="20"/>
          <w:szCs w:val="20"/>
          <w:color w:val="auto"/>
        </w:rPr>
      </w:pPr>
      <w:r>
        <w:rPr>
          <w:rFonts w:ascii="Arial" w:cs="Arial" w:eastAsia="Arial" w:hAnsi="Arial"/>
          <w:sz w:val="14"/>
          <w:szCs w:val="14"/>
          <w:b w:val="1"/>
          <w:bCs w:val="1"/>
          <w:color w:val="auto"/>
        </w:rPr>
        <w:t>(Registrant)</w:t>
      </w:r>
    </w:p>
    <w:p>
      <w:pPr>
        <w:spacing w:after="0" w:line="306"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14605</wp:posOffset>
            </wp:positionV>
            <wp:extent cx="44062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5">
                      <a:extLst>
                        <a:ext uri="{28A0092B-C50C-407E-A947-70E740481C1C}"/>
                      </a:extLst>
                    </a:blip>
                    <a:srcRect/>
                    <a:stretch>
                      <a:fillRect/>
                    </a:stretch>
                  </pic:blipFill>
                  <pic:spPr bwMode="auto">
                    <a:xfrm>
                      <a:off x="0" y="0"/>
                      <a:ext cx="4406265" cy="8890"/>
                    </a:xfrm>
                    <a:prstGeom prst="rect">
                      <a:avLst/>
                    </a:prstGeom>
                    <a:noFill/>
                  </pic:spPr>
                </pic:pic>
              </a:graphicData>
            </a:graphic>
          </wp:anchor>
        </w:drawing>
      </w:r>
    </w:p>
    <w:p>
      <w:pPr>
        <w:spacing w:after="0" w:line="3" w:lineRule="exact"/>
        <w:rPr>
          <w:sz w:val="20"/>
          <w:szCs w:val="20"/>
          <w:color w:val="auto"/>
        </w:rPr>
      </w:pPr>
    </w:p>
    <w:p>
      <w:pPr>
        <w:ind w:left="3680"/>
        <w:spacing w:after="0"/>
        <w:tabs>
          <w:tab w:leader="none" w:pos="430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b w:val="1"/>
          <w:bCs w:val="1"/>
          <w:color w:val="auto"/>
        </w:rPr>
        <w:t>Blaise Coleman</w:t>
      </w:r>
    </w:p>
    <w:p>
      <w:pPr>
        <w:spacing w:after="0" w:line="32" w:lineRule="exact"/>
        <w:rPr>
          <w:sz w:val="20"/>
          <w:szCs w:val="20"/>
          <w:color w:val="auto"/>
        </w:rPr>
      </w:pPr>
    </w:p>
    <w:p>
      <w:pPr>
        <w:ind w:left="3680"/>
        <w:spacing w:after="0"/>
        <w:tabs>
          <w:tab w:leader="none" w:pos="430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b w:val="1"/>
          <w:bCs w:val="1"/>
          <w:color w:val="auto"/>
        </w:rPr>
        <w:t>President and Chief Executive Officer</w:t>
      </w:r>
    </w:p>
    <w:p>
      <w:pPr>
        <w:spacing w:after="0" w:line="28" w:lineRule="exact"/>
        <w:rPr>
          <w:sz w:val="20"/>
          <w:szCs w:val="20"/>
          <w:color w:val="auto"/>
        </w:rPr>
      </w:pPr>
    </w:p>
    <w:p>
      <w:pPr>
        <w:ind w:left="4320"/>
        <w:spacing w:after="0"/>
        <w:rPr>
          <w:sz w:val="20"/>
          <w:szCs w:val="20"/>
          <w:color w:val="auto"/>
        </w:rPr>
      </w:pPr>
      <w:r>
        <w:rPr>
          <w:rFonts w:ascii="Arial" w:cs="Arial" w:eastAsia="Arial" w:hAnsi="Arial"/>
          <w:sz w:val="14"/>
          <w:szCs w:val="14"/>
          <w:b w:val="1"/>
          <w:bCs w:val="1"/>
          <w:color w:val="auto"/>
        </w:rPr>
        <w:t>(Principal Executive Officer)</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February 26, 2021</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18" w:right="539" w:bottom="1440" w:gutter="0" w:footer="0" w:header="0"/>
        </w:sectPr>
      </w:pPr>
    </w:p>
    <w:bookmarkStart w:id="85" w:name="page86"/>
    <w:bookmarkEnd w:id="8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Pursuant to the requirements of the Securities Exchange of 1934, this report has been signed below by the following persons on behalf of the Registrant and in the capacities and on the dates indicated.</w:t>
      </w:r>
    </w:p>
    <w:p>
      <w:pPr>
        <w:sectPr>
          <w:pgSz w:w="11900" w:h="16838" w:orient="portrait"/>
          <w:cols w:equalWidth="0" w:num="1">
            <w:col w:w="10660"/>
          </w:cols>
          <w:pgMar w:left="320" w:top="118" w:right="919" w:bottom="1440" w:gutter="0" w:footer="0" w:header="0"/>
        </w:sectPr>
      </w:pPr>
    </w:p>
    <w:p>
      <w:pPr>
        <w:spacing w:after="0" w:line="90" w:lineRule="exact"/>
        <w:rPr>
          <w:sz w:val="20"/>
          <w:szCs w:val="20"/>
          <w:color w:val="auto"/>
        </w:rPr>
      </w:pPr>
    </w:p>
    <w:p>
      <w:pPr>
        <w:ind w:left="520"/>
        <w:spacing w:after="0"/>
        <w:rPr>
          <w:sz w:val="20"/>
          <w:szCs w:val="20"/>
          <w:color w:val="auto"/>
        </w:rPr>
      </w:pPr>
      <w:r>
        <w:rPr>
          <w:rFonts w:ascii="Arial" w:cs="Arial" w:eastAsia="Arial" w:hAnsi="Arial"/>
          <w:sz w:val="16"/>
          <w:szCs w:val="16"/>
          <w:b w:val="1"/>
          <w:bCs w:val="1"/>
          <w:u w:val="single" w:color="auto"/>
          <w:color w:val="auto"/>
        </w:rPr>
        <w:t>Signature</w:t>
      </w:r>
    </w:p>
    <w:p>
      <w:pPr>
        <w:spacing w:after="0" w:line="3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43815</wp:posOffset>
            </wp:positionV>
            <wp:extent cx="16198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7">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Blaise Coleman</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 MARK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43815</wp:posOffset>
            </wp:positionV>
            <wp:extent cx="16198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8">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Mark Bradley</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 JACK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43815</wp:posOffset>
            </wp:positionV>
            <wp:extent cx="16198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9">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Jack Boyle</w:t>
      </w:r>
    </w:p>
    <w:p>
      <w:pPr>
        <w:spacing w:after="0" w:line="3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43815</wp:posOffset>
            </wp:positionV>
            <wp:extent cx="16198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Paul V. Campanelli</w:t>
      </w:r>
    </w:p>
    <w:p>
      <w:pPr>
        <w:spacing w:after="0" w:line="31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43815</wp:posOffset>
            </wp:positionV>
            <wp:extent cx="161988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1">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Roger H. Kimmel</w:t>
      </w:r>
    </w:p>
    <w:p>
      <w:pPr>
        <w:spacing w:after="0" w:line="3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43815</wp:posOffset>
            </wp:positionV>
            <wp:extent cx="161988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2">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Mark G. Barberio</w:t>
      </w:r>
    </w:p>
    <w:p>
      <w:pPr>
        <w:spacing w:after="0" w:line="31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43815</wp:posOffset>
            </wp:positionV>
            <wp:extent cx="16198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3">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Shane M. Cooke</w:t>
      </w:r>
    </w:p>
    <w:p>
      <w:pPr>
        <w:spacing w:after="0" w:line="3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43815</wp:posOffset>
            </wp:positionV>
            <wp:extent cx="161988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4">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Nancy J. Hutson, Ph.D.</w:t>
      </w:r>
    </w:p>
    <w:p>
      <w:pPr>
        <w:spacing w:after="0" w:line="3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43815</wp:posOffset>
            </wp:positionV>
            <wp:extent cx="161988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5">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Michael Hyatt</w:t>
      </w:r>
    </w:p>
    <w:p>
      <w:pPr>
        <w:spacing w:after="0" w:line="3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43815</wp:posOffset>
            </wp:positionV>
            <wp:extent cx="16198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6">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William P. Montague</w:t>
      </w:r>
    </w:p>
    <w:p>
      <w:pPr>
        <w:spacing w:after="0" w:line="3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52070</wp:posOffset>
            </wp:positionV>
            <wp:extent cx="16198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7">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M. Christine Smith, Ph.D.</w:t>
      </w:r>
    </w:p>
    <w:p>
      <w:pPr>
        <w:spacing w:after="0" w:line="343" w:lineRule="exact"/>
        <w:rPr>
          <w:sz w:val="20"/>
          <w:szCs w:val="20"/>
          <w:color w:val="auto"/>
        </w:rPr>
      </w:pPr>
    </w:p>
    <w:p>
      <w:pPr>
        <w:ind w:left="520" w:hanging="499"/>
        <w:spacing w:after="0" w:line="422" w:lineRule="auto"/>
        <w:tabs>
          <w:tab w:leader="none" w:pos="500" w:val="left"/>
        </w:tabs>
        <w:rPr>
          <w:sz w:val="20"/>
          <w:szCs w:val="20"/>
          <w:color w:val="auto"/>
        </w:rPr>
      </w:pPr>
      <w:r>
        <w:rPr>
          <w:rFonts w:ascii="Arial" w:cs="Arial" w:eastAsia="Arial" w:hAnsi="Arial"/>
          <w:sz w:val="15"/>
          <w:szCs w:val="15"/>
          <w:color w:val="auto"/>
        </w:rPr>
        <w:t>*By:</w:t>
        <w:tab/>
        <w:t>/S/ MATTHEW J. MALETTA Matthew J.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-224155</wp:posOffset>
            </wp:positionV>
            <wp:extent cx="16198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8">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300" w:type="dxa"/>
            <w:vAlign w:val="bottom"/>
            <w:gridSpan w:val="2"/>
          </w:tcPr>
          <w:p>
            <w:pPr>
              <w:spacing w:after="0"/>
              <w:rPr>
                <w:sz w:val="20"/>
                <w:szCs w:val="20"/>
                <w:color w:val="auto"/>
              </w:rPr>
            </w:pPr>
            <w:r>
              <w:rPr>
                <w:rFonts w:ascii="Arial" w:cs="Arial" w:eastAsia="Arial" w:hAnsi="Arial"/>
                <w:sz w:val="16"/>
                <w:szCs w:val="16"/>
                <w:b w:val="1"/>
                <w:bCs w:val="1"/>
                <w:color w:val="auto"/>
              </w:rPr>
              <w:t>Title</w:t>
            </w: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rPr>
              <w:t>Date</w:t>
            </w:r>
          </w:p>
        </w:tc>
      </w:tr>
      <w:tr>
        <w:trPr>
          <w:trHeight w:val="20"/>
        </w:trPr>
        <w:tc>
          <w:tcPr>
            <w:tcW w:w="32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6"/>
        </w:trPr>
        <w:tc>
          <w:tcPr>
            <w:tcW w:w="6300" w:type="dxa"/>
            <w:vAlign w:val="bottom"/>
            <w:gridSpan w:val="2"/>
          </w:tcPr>
          <w:p>
            <w:pPr>
              <w:spacing w:after="0"/>
              <w:rPr>
                <w:sz w:val="20"/>
                <w:szCs w:val="20"/>
                <w:color w:val="auto"/>
              </w:rPr>
            </w:pPr>
            <w:r>
              <w:rPr>
                <w:rFonts w:ascii="Arial" w:cs="Arial" w:eastAsia="Arial" w:hAnsi="Arial"/>
                <w:sz w:val="16"/>
                <w:szCs w:val="16"/>
                <w:color w:val="auto"/>
              </w:rPr>
              <w:t>Director, President and Chief Executive Officer</w:t>
            </w:r>
          </w:p>
        </w:tc>
        <w:tc>
          <w:tcPr>
            <w:tcW w:w="1180" w:type="dxa"/>
            <w:vAlign w:val="bottom"/>
            <w:gridSpan w:val="2"/>
          </w:tcPr>
          <w:p>
            <w:pPr>
              <w:spacing w:after="0"/>
              <w:rPr>
                <w:sz w:val="20"/>
                <w:szCs w:val="20"/>
                <w:color w:val="auto"/>
              </w:rPr>
            </w:pPr>
            <w:r>
              <w:rPr>
                <w:rFonts w:ascii="Arial" w:cs="Arial" w:eastAsia="Arial" w:hAnsi="Arial"/>
                <w:sz w:val="16"/>
                <w:szCs w:val="16"/>
                <w:color w:val="auto"/>
                <w:w w:val="88"/>
              </w:rPr>
              <w:t>February 26, 2021</w:t>
            </w:r>
          </w:p>
        </w:tc>
      </w:tr>
      <w:tr>
        <w:trPr>
          <w:trHeight w:val="206"/>
        </w:trPr>
        <w:tc>
          <w:tcPr>
            <w:tcW w:w="6300" w:type="dxa"/>
            <w:vAlign w:val="bottom"/>
            <w:gridSpan w:val="2"/>
          </w:tcPr>
          <w:p>
            <w:pPr>
              <w:spacing w:after="0"/>
              <w:rPr>
                <w:sz w:val="20"/>
                <w:szCs w:val="20"/>
                <w:color w:val="auto"/>
              </w:rPr>
            </w:pPr>
            <w:r>
              <w:rPr>
                <w:rFonts w:ascii="Arial" w:cs="Arial" w:eastAsia="Arial" w:hAnsi="Arial"/>
                <w:sz w:val="16"/>
                <w:szCs w:val="16"/>
                <w:color w:val="auto"/>
              </w:rPr>
              <w:t>(Principal Executive Officer)</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577"/>
        </w:trPr>
        <w:tc>
          <w:tcPr>
            <w:tcW w:w="6300" w:type="dxa"/>
            <w:vAlign w:val="bottom"/>
            <w:gridSpan w:val="2"/>
          </w:tcPr>
          <w:p>
            <w:pPr>
              <w:spacing w:after="0"/>
              <w:rPr>
                <w:sz w:val="20"/>
                <w:szCs w:val="20"/>
                <w:color w:val="auto"/>
              </w:rPr>
            </w:pPr>
            <w:r>
              <w:rPr>
                <w:rFonts w:ascii="Arial" w:cs="Arial" w:eastAsia="Arial" w:hAnsi="Arial"/>
                <w:sz w:val="16"/>
                <w:szCs w:val="16"/>
                <w:color w:val="auto"/>
              </w:rPr>
              <w:t>Executive Vice President, Chief Financial Officer</w:t>
            </w:r>
          </w:p>
        </w:tc>
        <w:tc>
          <w:tcPr>
            <w:tcW w:w="1180" w:type="dxa"/>
            <w:vAlign w:val="bottom"/>
            <w:gridSpan w:val="2"/>
          </w:tcPr>
          <w:p>
            <w:pPr>
              <w:spacing w:after="0"/>
              <w:rPr>
                <w:sz w:val="20"/>
                <w:szCs w:val="20"/>
                <w:color w:val="auto"/>
              </w:rPr>
            </w:pPr>
            <w:r>
              <w:rPr>
                <w:rFonts w:ascii="Arial" w:cs="Arial" w:eastAsia="Arial" w:hAnsi="Arial"/>
                <w:sz w:val="16"/>
                <w:szCs w:val="16"/>
                <w:color w:val="auto"/>
                <w:w w:val="88"/>
              </w:rPr>
              <w:t>February 26, 2021</w:t>
            </w:r>
          </w:p>
        </w:tc>
      </w:tr>
      <w:tr>
        <w:trPr>
          <w:trHeight w:val="206"/>
        </w:trPr>
        <w:tc>
          <w:tcPr>
            <w:tcW w:w="6300" w:type="dxa"/>
            <w:vAlign w:val="bottom"/>
            <w:gridSpan w:val="2"/>
          </w:tcPr>
          <w:p>
            <w:pPr>
              <w:spacing w:after="0"/>
              <w:rPr>
                <w:sz w:val="20"/>
                <w:szCs w:val="20"/>
                <w:color w:val="auto"/>
              </w:rPr>
            </w:pPr>
            <w:r>
              <w:rPr>
                <w:rFonts w:ascii="Arial" w:cs="Arial" w:eastAsia="Arial" w:hAnsi="Arial"/>
                <w:sz w:val="16"/>
                <w:szCs w:val="16"/>
                <w:color w:val="auto"/>
              </w:rPr>
              <w:t>(Principal Financial Officer)</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577"/>
        </w:trPr>
        <w:tc>
          <w:tcPr>
            <w:tcW w:w="6300" w:type="dxa"/>
            <w:vAlign w:val="bottom"/>
            <w:gridSpan w:val="2"/>
          </w:tcPr>
          <w:p>
            <w:pPr>
              <w:spacing w:after="0"/>
              <w:rPr>
                <w:sz w:val="20"/>
                <w:szCs w:val="20"/>
                <w:color w:val="auto"/>
              </w:rPr>
            </w:pPr>
            <w:r>
              <w:rPr>
                <w:rFonts w:ascii="Arial" w:cs="Arial" w:eastAsia="Arial" w:hAnsi="Arial"/>
                <w:sz w:val="16"/>
                <w:szCs w:val="16"/>
                <w:color w:val="auto"/>
              </w:rPr>
              <w:t>Senior Vice President, Controller, Chief Accounting Officer</w:t>
            </w:r>
          </w:p>
        </w:tc>
        <w:tc>
          <w:tcPr>
            <w:tcW w:w="1180" w:type="dxa"/>
            <w:vAlign w:val="bottom"/>
            <w:gridSpan w:val="2"/>
          </w:tcPr>
          <w:p>
            <w:pPr>
              <w:spacing w:after="0"/>
              <w:rPr>
                <w:sz w:val="20"/>
                <w:szCs w:val="20"/>
                <w:color w:val="auto"/>
              </w:rPr>
            </w:pPr>
            <w:r>
              <w:rPr>
                <w:rFonts w:ascii="Arial" w:cs="Arial" w:eastAsia="Arial" w:hAnsi="Arial"/>
                <w:sz w:val="16"/>
                <w:szCs w:val="16"/>
                <w:color w:val="auto"/>
                <w:w w:val="88"/>
              </w:rPr>
              <w:t>February 26, 2021</w:t>
            </w:r>
          </w:p>
        </w:tc>
      </w:tr>
      <w:tr>
        <w:trPr>
          <w:trHeight w:val="206"/>
        </w:trPr>
        <w:tc>
          <w:tcPr>
            <w:tcW w:w="6300" w:type="dxa"/>
            <w:vAlign w:val="bottom"/>
            <w:gridSpan w:val="2"/>
          </w:tcPr>
          <w:p>
            <w:pPr>
              <w:spacing w:after="0"/>
              <w:rPr>
                <w:sz w:val="20"/>
                <w:szCs w:val="20"/>
                <w:color w:val="auto"/>
              </w:rPr>
            </w:pPr>
            <w:r>
              <w:rPr>
                <w:rFonts w:ascii="Arial" w:cs="Arial" w:eastAsia="Arial" w:hAnsi="Arial"/>
                <w:sz w:val="16"/>
                <w:szCs w:val="16"/>
                <w:color w:val="auto"/>
              </w:rPr>
              <w:t>(Principal Accounting Officer)</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621"/>
        </w:trPr>
        <w:tc>
          <w:tcPr>
            <w:tcW w:w="6300" w:type="dxa"/>
            <w:vAlign w:val="bottom"/>
            <w:gridSpan w:val="2"/>
          </w:tcPr>
          <w:p>
            <w:pPr>
              <w:spacing w:after="0"/>
              <w:rPr>
                <w:sz w:val="20"/>
                <w:szCs w:val="20"/>
                <w:color w:val="auto"/>
              </w:rPr>
            </w:pPr>
            <w:r>
              <w:rPr>
                <w:rFonts w:ascii="Arial" w:cs="Arial" w:eastAsia="Arial" w:hAnsi="Arial"/>
                <w:sz w:val="16"/>
                <w:szCs w:val="16"/>
                <w:color w:val="auto"/>
              </w:rPr>
              <w:t>Chairman and Director</w:t>
            </w:r>
          </w:p>
        </w:tc>
        <w:tc>
          <w:tcPr>
            <w:tcW w:w="1180" w:type="dxa"/>
            <w:vAlign w:val="bottom"/>
            <w:gridSpan w:val="2"/>
          </w:tcPr>
          <w:p>
            <w:pPr>
              <w:spacing w:after="0"/>
              <w:rPr>
                <w:sz w:val="20"/>
                <w:szCs w:val="20"/>
                <w:color w:val="auto"/>
              </w:rPr>
            </w:pPr>
            <w:r>
              <w:rPr>
                <w:rFonts w:ascii="Arial" w:cs="Arial" w:eastAsia="Arial" w:hAnsi="Arial"/>
                <w:sz w:val="16"/>
                <w:szCs w:val="16"/>
                <w:color w:val="auto"/>
                <w:w w:val="88"/>
              </w:rPr>
              <w:t>February 26, 2021</w:t>
            </w:r>
          </w:p>
        </w:tc>
      </w:tr>
      <w:tr>
        <w:trPr>
          <w:trHeight w:val="769"/>
        </w:trPr>
        <w:tc>
          <w:tcPr>
            <w:tcW w:w="6300" w:type="dxa"/>
            <w:vAlign w:val="bottom"/>
            <w:gridSpan w:val="2"/>
          </w:tcPr>
          <w:p>
            <w:pPr>
              <w:spacing w:after="0"/>
              <w:rPr>
                <w:sz w:val="20"/>
                <w:szCs w:val="20"/>
                <w:color w:val="auto"/>
              </w:rPr>
            </w:pPr>
            <w:r>
              <w:rPr>
                <w:rFonts w:ascii="Arial" w:cs="Arial" w:eastAsia="Arial" w:hAnsi="Arial"/>
                <w:sz w:val="16"/>
                <w:szCs w:val="16"/>
                <w:color w:val="auto"/>
              </w:rPr>
              <w:t>Senior Independent Director</w:t>
            </w:r>
          </w:p>
        </w:tc>
        <w:tc>
          <w:tcPr>
            <w:tcW w:w="1180" w:type="dxa"/>
            <w:vAlign w:val="bottom"/>
            <w:gridSpan w:val="2"/>
          </w:tcPr>
          <w:p>
            <w:pPr>
              <w:spacing w:after="0"/>
              <w:rPr>
                <w:sz w:val="20"/>
                <w:szCs w:val="20"/>
                <w:color w:val="auto"/>
              </w:rPr>
            </w:pPr>
            <w:r>
              <w:rPr>
                <w:rFonts w:ascii="Arial" w:cs="Arial" w:eastAsia="Arial" w:hAnsi="Arial"/>
                <w:sz w:val="16"/>
                <w:szCs w:val="16"/>
                <w:color w:val="auto"/>
                <w:w w:val="88"/>
              </w:rPr>
              <w:t>February 26, 2021</w:t>
            </w:r>
          </w:p>
        </w:tc>
      </w:tr>
      <w:tr>
        <w:trPr>
          <w:trHeight w:val="783"/>
        </w:trPr>
        <w:tc>
          <w:tcPr>
            <w:tcW w:w="63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180" w:type="dxa"/>
            <w:vAlign w:val="bottom"/>
            <w:gridSpan w:val="2"/>
          </w:tcPr>
          <w:p>
            <w:pPr>
              <w:spacing w:after="0"/>
              <w:rPr>
                <w:sz w:val="20"/>
                <w:szCs w:val="20"/>
                <w:color w:val="auto"/>
              </w:rPr>
            </w:pPr>
            <w:r>
              <w:rPr>
                <w:rFonts w:ascii="Arial" w:cs="Arial" w:eastAsia="Arial" w:hAnsi="Arial"/>
                <w:sz w:val="16"/>
                <w:szCs w:val="16"/>
                <w:color w:val="auto"/>
                <w:w w:val="88"/>
              </w:rPr>
              <w:t>February 26, 2021</w:t>
            </w:r>
          </w:p>
        </w:tc>
      </w:tr>
      <w:tr>
        <w:trPr>
          <w:trHeight w:val="769"/>
        </w:trPr>
        <w:tc>
          <w:tcPr>
            <w:tcW w:w="63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180" w:type="dxa"/>
            <w:vAlign w:val="bottom"/>
            <w:gridSpan w:val="2"/>
          </w:tcPr>
          <w:p>
            <w:pPr>
              <w:spacing w:after="0"/>
              <w:rPr>
                <w:sz w:val="20"/>
                <w:szCs w:val="20"/>
                <w:color w:val="auto"/>
              </w:rPr>
            </w:pPr>
            <w:r>
              <w:rPr>
                <w:rFonts w:ascii="Arial" w:cs="Arial" w:eastAsia="Arial" w:hAnsi="Arial"/>
                <w:sz w:val="16"/>
                <w:szCs w:val="16"/>
                <w:color w:val="auto"/>
                <w:w w:val="88"/>
              </w:rPr>
              <w:t>February 26, 2021</w:t>
            </w:r>
          </w:p>
        </w:tc>
      </w:tr>
      <w:tr>
        <w:trPr>
          <w:trHeight w:val="783"/>
        </w:trPr>
        <w:tc>
          <w:tcPr>
            <w:tcW w:w="63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180" w:type="dxa"/>
            <w:vAlign w:val="bottom"/>
            <w:gridSpan w:val="2"/>
          </w:tcPr>
          <w:p>
            <w:pPr>
              <w:spacing w:after="0"/>
              <w:rPr>
                <w:sz w:val="20"/>
                <w:szCs w:val="20"/>
                <w:color w:val="auto"/>
              </w:rPr>
            </w:pPr>
            <w:r>
              <w:rPr>
                <w:rFonts w:ascii="Arial" w:cs="Arial" w:eastAsia="Arial" w:hAnsi="Arial"/>
                <w:sz w:val="16"/>
                <w:szCs w:val="16"/>
                <w:color w:val="auto"/>
                <w:w w:val="88"/>
              </w:rPr>
              <w:t>February 26, 2021</w:t>
            </w:r>
          </w:p>
        </w:tc>
      </w:tr>
      <w:tr>
        <w:trPr>
          <w:trHeight w:val="783"/>
        </w:trPr>
        <w:tc>
          <w:tcPr>
            <w:tcW w:w="63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180" w:type="dxa"/>
            <w:vAlign w:val="bottom"/>
            <w:gridSpan w:val="2"/>
          </w:tcPr>
          <w:p>
            <w:pPr>
              <w:spacing w:after="0"/>
              <w:rPr>
                <w:sz w:val="20"/>
                <w:szCs w:val="20"/>
                <w:color w:val="auto"/>
              </w:rPr>
            </w:pPr>
            <w:r>
              <w:rPr>
                <w:rFonts w:ascii="Arial" w:cs="Arial" w:eastAsia="Arial" w:hAnsi="Arial"/>
                <w:sz w:val="16"/>
                <w:szCs w:val="16"/>
                <w:color w:val="auto"/>
                <w:w w:val="88"/>
              </w:rPr>
              <w:t>February 26, 2021</w:t>
            </w:r>
          </w:p>
        </w:tc>
      </w:tr>
      <w:tr>
        <w:trPr>
          <w:trHeight w:val="783"/>
        </w:trPr>
        <w:tc>
          <w:tcPr>
            <w:tcW w:w="63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180" w:type="dxa"/>
            <w:vAlign w:val="bottom"/>
            <w:gridSpan w:val="2"/>
          </w:tcPr>
          <w:p>
            <w:pPr>
              <w:spacing w:after="0"/>
              <w:rPr>
                <w:sz w:val="20"/>
                <w:szCs w:val="20"/>
                <w:color w:val="auto"/>
              </w:rPr>
            </w:pPr>
            <w:r>
              <w:rPr>
                <w:rFonts w:ascii="Arial" w:cs="Arial" w:eastAsia="Arial" w:hAnsi="Arial"/>
                <w:sz w:val="16"/>
                <w:szCs w:val="16"/>
                <w:color w:val="auto"/>
                <w:w w:val="88"/>
              </w:rPr>
              <w:t>February 26, 2021</w:t>
            </w:r>
          </w:p>
        </w:tc>
      </w:tr>
      <w:tr>
        <w:trPr>
          <w:trHeight w:val="783"/>
        </w:trPr>
        <w:tc>
          <w:tcPr>
            <w:tcW w:w="63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180" w:type="dxa"/>
            <w:vAlign w:val="bottom"/>
            <w:gridSpan w:val="2"/>
          </w:tcPr>
          <w:p>
            <w:pPr>
              <w:spacing w:after="0"/>
              <w:rPr>
                <w:sz w:val="20"/>
                <w:szCs w:val="20"/>
                <w:color w:val="auto"/>
              </w:rPr>
            </w:pPr>
            <w:r>
              <w:rPr>
                <w:rFonts w:ascii="Arial" w:cs="Arial" w:eastAsia="Arial" w:hAnsi="Arial"/>
                <w:sz w:val="16"/>
                <w:szCs w:val="16"/>
                <w:color w:val="auto"/>
                <w:w w:val="88"/>
              </w:rPr>
              <w:t>February 26, 2021</w:t>
            </w:r>
          </w:p>
        </w:tc>
      </w:tr>
      <w:tr>
        <w:trPr>
          <w:trHeight w:val="810"/>
        </w:trPr>
        <w:tc>
          <w:tcPr>
            <w:tcW w:w="6300" w:type="dxa"/>
            <w:vAlign w:val="bottom"/>
            <w:gridSpan w:val="2"/>
          </w:tcPr>
          <w:p>
            <w:pPr>
              <w:spacing w:after="0"/>
              <w:rPr>
                <w:sz w:val="20"/>
                <w:szCs w:val="20"/>
                <w:color w:val="auto"/>
              </w:rPr>
            </w:pPr>
            <w:r>
              <w:rPr>
                <w:rFonts w:ascii="Arial" w:cs="Arial" w:eastAsia="Arial" w:hAnsi="Arial"/>
                <w:sz w:val="16"/>
                <w:szCs w:val="16"/>
                <w:color w:val="auto"/>
              </w:rPr>
              <w:t>Attorney-in-fact pursuant to a Power of Attorney filed with this Report as Exhibit 24</w:t>
            </w:r>
          </w:p>
        </w:tc>
        <w:tc>
          <w:tcPr>
            <w:tcW w:w="1180" w:type="dxa"/>
            <w:vAlign w:val="bottom"/>
            <w:gridSpan w:val="2"/>
          </w:tcPr>
          <w:p>
            <w:pPr>
              <w:spacing w:after="0"/>
              <w:rPr>
                <w:sz w:val="20"/>
                <w:szCs w:val="20"/>
                <w:color w:val="auto"/>
              </w:rPr>
            </w:pPr>
            <w:r>
              <w:rPr>
                <w:rFonts w:ascii="Arial" w:cs="Arial" w:eastAsia="Arial" w:hAnsi="Arial"/>
                <w:sz w:val="16"/>
                <w:szCs w:val="16"/>
                <w:color w:val="auto"/>
                <w:w w:val="88"/>
              </w:rPr>
              <w:t>February 26, 2021</w:t>
            </w:r>
          </w:p>
        </w:tc>
      </w:tr>
    </w:tbl>
    <w:p>
      <w:pPr>
        <w:spacing w:after="0" w:line="600" w:lineRule="exact"/>
        <w:rPr>
          <w:sz w:val="20"/>
          <w:szCs w:val="20"/>
          <w:color w:val="auto"/>
        </w:rPr>
      </w:pPr>
    </w:p>
    <w:p>
      <w:pPr>
        <w:sectPr>
          <w:pgSz w:w="11900" w:h="16838" w:orient="portrait"/>
          <w:cols w:equalWidth="0" w:num="2">
            <w:col w:w="2500" w:space="680"/>
            <w:col w:w="7480"/>
          </w:cols>
          <w:pgMar w:left="320" w:top="118" w:right="919" w:bottom="1440" w:gutter="0" w:footer="0" w:header="0"/>
          <w:type w:val="continuous"/>
        </w:sectPr>
      </w:pPr>
    </w:p>
    <w:p>
      <w:pPr>
        <w:spacing w:after="0" w:line="20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118" w:right="919" w:bottom="1440" w:gutter="0" w:footer="0" w:header="0"/>
          <w:type w:val="continuous"/>
        </w:sectPr>
      </w:pPr>
    </w:p>
    <w:bookmarkStart w:id="86" w:name="page87"/>
    <w:bookmarkEnd w:id="8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INDEX TO FINANCIAL STATEMENTS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740" w:type="dxa"/>
            <w:vAlign w:val="bottom"/>
          </w:tcPr>
          <w:p>
            <w:pPr>
              <w:spacing w:after="0"/>
              <w:rPr>
                <w:sz w:val="16"/>
                <w:szCs w:val="16"/>
                <w:color w:val="auto"/>
              </w:rPr>
            </w:pPr>
          </w:p>
        </w:tc>
        <w:tc>
          <w:tcPr>
            <w:tcW w:w="3420" w:type="dxa"/>
            <w:vAlign w:val="bottom"/>
            <w:gridSpan w:val="4"/>
          </w:tcPr>
          <w:p>
            <w:pPr>
              <w:jc w:val="right"/>
              <w:spacing w:after="0"/>
              <w:rPr>
                <w:sz w:val="20"/>
                <w:szCs w:val="20"/>
                <w:color w:val="auto"/>
              </w:rPr>
            </w:pPr>
            <w:r>
              <w:rPr>
                <w:rFonts w:ascii="Arial" w:cs="Arial" w:eastAsia="Arial" w:hAnsi="Arial"/>
                <w:sz w:val="17"/>
                <w:szCs w:val="17"/>
                <w:b w:val="1"/>
                <w:bCs w:val="1"/>
                <w:color w:val="auto"/>
              </w:rPr>
              <w:t>Page</w:t>
            </w:r>
          </w:p>
        </w:tc>
      </w:tr>
      <w:tr>
        <w:trPr>
          <w:trHeight w:val="196"/>
        </w:trPr>
        <w:tc>
          <w:tcPr>
            <w:tcW w:w="7740" w:type="dxa"/>
            <w:vAlign w:val="bottom"/>
          </w:tcPr>
          <w:p>
            <w:pPr>
              <w:spacing w:after="0"/>
              <w:rPr>
                <w:rFonts w:ascii="Arial" w:cs="Arial" w:eastAsia="Arial" w:hAnsi="Arial"/>
                <w:sz w:val="17"/>
                <w:szCs w:val="17"/>
                <w:u w:val="single" w:color="auto"/>
                <w:color w:val="0000FF"/>
              </w:rPr>
            </w:pPr>
            <w:hyperlink w:anchor="page87">
              <w:r>
                <w:rPr>
                  <w:rFonts w:ascii="Arial" w:cs="Arial" w:eastAsia="Arial" w:hAnsi="Arial"/>
                  <w:sz w:val="17"/>
                  <w:szCs w:val="17"/>
                  <w:u w:val="single" w:color="auto"/>
                  <w:color w:val="0000FF"/>
                </w:rPr>
                <w:t>Management’s Report on Internal Control Over Financial Reporting</w:t>
              </w:r>
            </w:hyperlink>
          </w:p>
        </w:tc>
        <w:tc>
          <w:tcPr>
            <w:tcW w:w="30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0000FF"/>
            </w:tcBorders>
          </w:tcPr>
          <w:p>
            <w:pPr>
              <w:jc w:val="right"/>
              <w:spacing w:after="0"/>
              <w:rPr>
                <w:rFonts w:ascii="Arial" w:cs="Arial" w:eastAsia="Arial" w:hAnsi="Arial"/>
                <w:sz w:val="17"/>
                <w:szCs w:val="17"/>
                <w:color w:val="0000FF"/>
                <w:w w:val="86"/>
              </w:rPr>
            </w:pPr>
            <w:hyperlink w:anchor="page87">
              <w:r>
                <w:rPr>
                  <w:rFonts w:ascii="Arial" w:cs="Arial" w:eastAsia="Arial" w:hAnsi="Arial"/>
                  <w:sz w:val="17"/>
                  <w:szCs w:val="17"/>
                  <w:color w:val="0000FF"/>
                  <w:w w:val="86"/>
                </w:rPr>
                <w:t>F-2</w:t>
              </w:r>
            </w:hyperlink>
          </w:p>
        </w:tc>
      </w:tr>
      <w:tr>
        <w:trPr>
          <w:trHeight w:val="196"/>
        </w:trPr>
        <w:tc>
          <w:tcPr>
            <w:tcW w:w="7740" w:type="dxa"/>
            <w:vAlign w:val="bottom"/>
          </w:tcPr>
          <w:p>
            <w:pPr>
              <w:spacing w:after="0"/>
              <w:rPr>
                <w:rFonts w:ascii="Arial" w:cs="Arial" w:eastAsia="Arial" w:hAnsi="Arial"/>
                <w:sz w:val="17"/>
                <w:szCs w:val="17"/>
                <w:u w:val="single" w:color="auto"/>
                <w:color w:val="0000FF"/>
              </w:rPr>
            </w:pPr>
            <w:hyperlink w:anchor="page88">
              <w:r>
                <w:rPr>
                  <w:rFonts w:ascii="Arial" w:cs="Arial" w:eastAsia="Arial" w:hAnsi="Arial"/>
                  <w:sz w:val="17"/>
                  <w:szCs w:val="17"/>
                  <w:u w:val="single" w:color="auto"/>
                  <w:color w:val="0000FF"/>
                </w:rPr>
                <w:t>Report of Independent Registered Public Accounting Firm</w:t>
              </w:r>
            </w:hyperlink>
          </w:p>
        </w:tc>
        <w:tc>
          <w:tcPr>
            <w:tcW w:w="3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0000FF"/>
            </w:tcBorders>
          </w:tcPr>
          <w:p>
            <w:pPr>
              <w:jc w:val="right"/>
              <w:spacing w:after="0"/>
              <w:rPr>
                <w:rFonts w:ascii="Arial" w:cs="Arial" w:eastAsia="Arial" w:hAnsi="Arial"/>
                <w:sz w:val="17"/>
                <w:szCs w:val="17"/>
                <w:color w:val="0000FF"/>
                <w:w w:val="86"/>
              </w:rPr>
            </w:pPr>
            <w:hyperlink w:anchor="page88">
              <w:r>
                <w:rPr>
                  <w:rFonts w:ascii="Arial" w:cs="Arial" w:eastAsia="Arial" w:hAnsi="Arial"/>
                  <w:sz w:val="17"/>
                  <w:szCs w:val="17"/>
                  <w:color w:val="0000FF"/>
                  <w:w w:val="86"/>
                </w:rPr>
                <w:t>F-3</w:t>
              </w:r>
            </w:hyperlink>
          </w:p>
        </w:tc>
      </w:tr>
      <w:tr>
        <w:trPr>
          <w:trHeight w:val="196"/>
        </w:trPr>
        <w:tc>
          <w:tcPr>
            <w:tcW w:w="7740" w:type="dxa"/>
            <w:vAlign w:val="bottom"/>
          </w:tcPr>
          <w:p>
            <w:pPr>
              <w:spacing w:after="0"/>
              <w:rPr>
                <w:rFonts w:ascii="Arial" w:cs="Arial" w:eastAsia="Arial" w:hAnsi="Arial"/>
                <w:sz w:val="17"/>
                <w:szCs w:val="17"/>
                <w:u w:val="single" w:color="auto"/>
                <w:color w:val="0000FF"/>
              </w:rPr>
            </w:pPr>
            <w:hyperlink w:anchor="page91">
              <w:r>
                <w:rPr>
                  <w:rFonts w:ascii="Arial" w:cs="Arial" w:eastAsia="Arial" w:hAnsi="Arial"/>
                  <w:sz w:val="17"/>
                  <w:szCs w:val="17"/>
                  <w:u w:val="single" w:color="auto"/>
                  <w:color w:val="0000FF"/>
                </w:rPr>
                <w:t>Consolidated Balance Sheets</w:t>
              </w:r>
            </w:hyperlink>
          </w:p>
        </w:tc>
        <w:tc>
          <w:tcPr>
            <w:tcW w:w="3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0000FF"/>
            </w:tcBorders>
          </w:tcPr>
          <w:p>
            <w:pPr>
              <w:jc w:val="right"/>
              <w:spacing w:after="0"/>
              <w:rPr>
                <w:rFonts w:ascii="Arial" w:cs="Arial" w:eastAsia="Arial" w:hAnsi="Arial"/>
                <w:sz w:val="17"/>
                <w:szCs w:val="17"/>
                <w:color w:val="0000FF"/>
                <w:w w:val="86"/>
              </w:rPr>
            </w:pPr>
            <w:hyperlink w:anchor="page91">
              <w:r>
                <w:rPr>
                  <w:rFonts w:ascii="Arial" w:cs="Arial" w:eastAsia="Arial" w:hAnsi="Arial"/>
                  <w:sz w:val="17"/>
                  <w:szCs w:val="17"/>
                  <w:color w:val="0000FF"/>
                  <w:w w:val="86"/>
                </w:rPr>
                <w:t>F-6</w:t>
              </w:r>
            </w:hyperlink>
          </w:p>
        </w:tc>
      </w:tr>
      <w:tr>
        <w:trPr>
          <w:trHeight w:val="196"/>
        </w:trPr>
        <w:tc>
          <w:tcPr>
            <w:tcW w:w="7740" w:type="dxa"/>
            <w:vAlign w:val="bottom"/>
          </w:tcPr>
          <w:p>
            <w:pPr>
              <w:spacing w:after="0"/>
              <w:rPr>
                <w:rFonts w:ascii="Arial" w:cs="Arial" w:eastAsia="Arial" w:hAnsi="Arial"/>
                <w:sz w:val="17"/>
                <w:szCs w:val="17"/>
                <w:u w:val="single" w:color="auto"/>
                <w:color w:val="0000FF"/>
              </w:rPr>
            </w:pPr>
            <w:hyperlink w:anchor="page92">
              <w:r>
                <w:rPr>
                  <w:rFonts w:ascii="Arial" w:cs="Arial" w:eastAsia="Arial" w:hAnsi="Arial"/>
                  <w:sz w:val="17"/>
                  <w:szCs w:val="17"/>
                  <w:u w:val="single" w:color="auto"/>
                  <w:color w:val="0000FF"/>
                </w:rPr>
                <w:t>Consolidated Statements of Operations</w:t>
              </w:r>
            </w:hyperlink>
          </w:p>
        </w:tc>
        <w:tc>
          <w:tcPr>
            <w:tcW w:w="3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0000FF"/>
            </w:tcBorders>
          </w:tcPr>
          <w:p>
            <w:pPr>
              <w:jc w:val="right"/>
              <w:spacing w:after="0"/>
              <w:rPr>
                <w:rFonts w:ascii="Arial" w:cs="Arial" w:eastAsia="Arial" w:hAnsi="Arial"/>
                <w:sz w:val="17"/>
                <w:szCs w:val="17"/>
                <w:color w:val="0000FF"/>
                <w:w w:val="86"/>
              </w:rPr>
            </w:pPr>
            <w:hyperlink w:anchor="page92">
              <w:r>
                <w:rPr>
                  <w:rFonts w:ascii="Arial" w:cs="Arial" w:eastAsia="Arial" w:hAnsi="Arial"/>
                  <w:sz w:val="17"/>
                  <w:szCs w:val="17"/>
                  <w:color w:val="0000FF"/>
                  <w:w w:val="86"/>
                </w:rPr>
                <w:t>F-7</w:t>
              </w:r>
            </w:hyperlink>
          </w:p>
        </w:tc>
      </w:tr>
      <w:tr>
        <w:trPr>
          <w:trHeight w:val="196"/>
        </w:trPr>
        <w:tc>
          <w:tcPr>
            <w:tcW w:w="7740" w:type="dxa"/>
            <w:vAlign w:val="bottom"/>
          </w:tcPr>
          <w:p>
            <w:pPr>
              <w:spacing w:after="0"/>
              <w:rPr>
                <w:rFonts w:ascii="Arial" w:cs="Arial" w:eastAsia="Arial" w:hAnsi="Arial"/>
                <w:sz w:val="17"/>
                <w:szCs w:val="17"/>
                <w:u w:val="single" w:color="auto"/>
                <w:color w:val="0000FF"/>
              </w:rPr>
            </w:pPr>
            <w:hyperlink w:anchor="page93">
              <w:r>
                <w:rPr>
                  <w:rFonts w:ascii="Arial" w:cs="Arial" w:eastAsia="Arial" w:hAnsi="Arial"/>
                  <w:sz w:val="17"/>
                  <w:szCs w:val="17"/>
                  <w:u w:val="single" w:color="auto"/>
                  <w:color w:val="0000FF"/>
                </w:rPr>
                <w:t>Consolidated Statements of Comprehensive Income (Loss)</w:t>
              </w:r>
            </w:hyperlink>
          </w:p>
        </w:tc>
        <w:tc>
          <w:tcPr>
            <w:tcW w:w="3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0000FF"/>
            </w:tcBorders>
          </w:tcPr>
          <w:p>
            <w:pPr>
              <w:jc w:val="right"/>
              <w:spacing w:after="0"/>
              <w:rPr>
                <w:rFonts w:ascii="Arial" w:cs="Arial" w:eastAsia="Arial" w:hAnsi="Arial"/>
                <w:sz w:val="17"/>
                <w:szCs w:val="17"/>
                <w:color w:val="0000FF"/>
                <w:w w:val="86"/>
              </w:rPr>
            </w:pPr>
            <w:hyperlink w:anchor="page93">
              <w:r>
                <w:rPr>
                  <w:rFonts w:ascii="Arial" w:cs="Arial" w:eastAsia="Arial" w:hAnsi="Arial"/>
                  <w:sz w:val="17"/>
                  <w:szCs w:val="17"/>
                  <w:color w:val="0000FF"/>
                  <w:w w:val="86"/>
                </w:rPr>
                <w:t>F-8</w:t>
              </w:r>
            </w:hyperlink>
          </w:p>
        </w:tc>
      </w:tr>
      <w:tr>
        <w:trPr>
          <w:trHeight w:val="196"/>
        </w:trPr>
        <w:tc>
          <w:tcPr>
            <w:tcW w:w="7740" w:type="dxa"/>
            <w:vAlign w:val="bottom"/>
          </w:tcPr>
          <w:p>
            <w:pPr>
              <w:spacing w:after="0"/>
              <w:rPr>
                <w:rFonts w:ascii="Arial" w:cs="Arial" w:eastAsia="Arial" w:hAnsi="Arial"/>
                <w:sz w:val="17"/>
                <w:szCs w:val="17"/>
                <w:u w:val="single" w:color="auto"/>
                <w:color w:val="0000FF"/>
              </w:rPr>
            </w:pPr>
            <w:hyperlink w:anchor="page94">
              <w:r>
                <w:rPr>
                  <w:rFonts w:ascii="Arial" w:cs="Arial" w:eastAsia="Arial" w:hAnsi="Arial"/>
                  <w:sz w:val="17"/>
                  <w:szCs w:val="17"/>
                  <w:u w:val="single" w:color="auto"/>
                  <w:color w:val="0000FF"/>
                </w:rPr>
                <w:t>Consolidated Statements of Shareholders’ Equity (Deficit)</w:t>
              </w:r>
            </w:hyperlink>
          </w:p>
        </w:tc>
        <w:tc>
          <w:tcPr>
            <w:tcW w:w="3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0000FF"/>
            </w:tcBorders>
          </w:tcPr>
          <w:p>
            <w:pPr>
              <w:jc w:val="right"/>
              <w:spacing w:after="0"/>
              <w:rPr>
                <w:rFonts w:ascii="Arial" w:cs="Arial" w:eastAsia="Arial" w:hAnsi="Arial"/>
                <w:sz w:val="17"/>
                <w:szCs w:val="17"/>
                <w:color w:val="0000FF"/>
                <w:w w:val="86"/>
              </w:rPr>
            </w:pPr>
            <w:hyperlink w:anchor="page94">
              <w:r>
                <w:rPr>
                  <w:rFonts w:ascii="Arial" w:cs="Arial" w:eastAsia="Arial" w:hAnsi="Arial"/>
                  <w:sz w:val="17"/>
                  <w:szCs w:val="17"/>
                  <w:color w:val="0000FF"/>
                  <w:w w:val="86"/>
                </w:rPr>
                <w:t>F-9</w:t>
              </w:r>
            </w:hyperlink>
          </w:p>
        </w:tc>
      </w:tr>
      <w:tr>
        <w:trPr>
          <w:trHeight w:val="196"/>
        </w:trPr>
        <w:tc>
          <w:tcPr>
            <w:tcW w:w="7740" w:type="dxa"/>
            <w:vAlign w:val="bottom"/>
          </w:tcPr>
          <w:p>
            <w:pPr>
              <w:spacing w:after="0"/>
              <w:rPr>
                <w:rFonts w:ascii="Arial" w:cs="Arial" w:eastAsia="Arial" w:hAnsi="Arial"/>
                <w:sz w:val="17"/>
                <w:szCs w:val="17"/>
                <w:u w:val="single" w:color="auto"/>
                <w:color w:val="0000FF"/>
              </w:rPr>
            </w:pPr>
            <w:hyperlink w:anchor="page95">
              <w:r>
                <w:rPr>
                  <w:rFonts w:ascii="Arial" w:cs="Arial" w:eastAsia="Arial" w:hAnsi="Arial"/>
                  <w:sz w:val="17"/>
                  <w:szCs w:val="17"/>
                  <w:u w:val="single" w:color="auto"/>
                  <w:color w:val="0000FF"/>
                </w:rPr>
                <w:t>Consolidated Statements of Cash Flows</w:t>
              </w:r>
            </w:hyperlink>
          </w:p>
        </w:tc>
        <w:tc>
          <w:tcPr>
            <w:tcW w:w="3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0000FF"/>
            </w:tcBorders>
            <w:gridSpan w:val="2"/>
          </w:tcPr>
          <w:p>
            <w:pPr>
              <w:jc w:val="right"/>
              <w:spacing w:after="0"/>
              <w:rPr>
                <w:rFonts w:ascii="Arial" w:cs="Arial" w:eastAsia="Arial" w:hAnsi="Arial"/>
                <w:sz w:val="17"/>
                <w:szCs w:val="17"/>
                <w:color w:val="0000FF"/>
                <w:w w:val="85"/>
              </w:rPr>
            </w:pPr>
            <w:hyperlink w:anchor="page95">
              <w:r>
                <w:rPr>
                  <w:rFonts w:ascii="Arial" w:cs="Arial" w:eastAsia="Arial" w:hAnsi="Arial"/>
                  <w:sz w:val="17"/>
                  <w:szCs w:val="17"/>
                  <w:color w:val="0000FF"/>
                  <w:w w:val="85"/>
                </w:rPr>
                <w:t>F-10</w:t>
              </w:r>
            </w:hyperlink>
          </w:p>
        </w:tc>
      </w:tr>
      <w:tr>
        <w:trPr>
          <w:trHeight w:val="196"/>
        </w:trPr>
        <w:tc>
          <w:tcPr>
            <w:tcW w:w="7740" w:type="dxa"/>
            <w:vAlign w:val="bottom"/>
          </w:tcPr>
          <w:p>
            <w:pPr>
              <w:spacing w:after="0"/>
              <w:rPr>
                <w:rFonts w:ascii="Arial" w:cs="Arial" w:eastAsia="Arial" w:hAnsi="Arial"/>
                <w:sz w:val="17"/>
                <w:szCs w:val="17"/>
                <w:u w:val="single" w:color="auto"/>
                <w:color w:val="0000FF"/>
              </w:rPr>
            </w:pPr>
            <w:hyperlink w:anchor="page97">
              <w:r>
                <w:rPr>
                  <w:rFonts w:ascii="Arial" w:cs="Arial" w:eastAsia="Arial" w:hAnsi="Arial"/>
                  <w:sz w:val="17"/>
                  <w:szCs w:val="17"/>
                  <w:u w:val="single" w:color="auto"/>
                  <w:color w:val="0000FF"/>
                </w:rPr>
                <w:t>Notes to Consolidated Financial Statements</w:t>
              </w:r>
            </w:hyperlink>
          </w:p>
        </w:tc>
        <w:tc>
          <w:tcPr>
            <w:tcW w:w="3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0000FF"/>
            </w:tcBorders>
            <w:gridSpan w:val="2"/>
          </w:tcPr>
          <w:p>
            <w:pPr>
              <w:jc w:val="right"/>
              <w:spacing w:after="0"/>
              <w:rPr>
                <w:rFonts w:ascii="Arial" w:cs="Arial" w:eastAsia="Arial" w:hAnsi="Arial"/>
                <w:sz w:val="17"/>
                <w:szCs w:val="17"/>
                <w:color w:val="0000FF"/>
                <w:w w:val="85"/>
              </w:rPr>
            </w:pPr>
            <w:hyperlink w:anchor="page97">
              <w:r>
                <w:rPr>
                  <w:rFonts w:ascii="Arial" w:cs="Arial" w:eastAsia="Arial" w:hAnsi="Arial"/>
                  <w:sz w:val="17"/>
                  <w:szCs w:val="17"/>
                  <w:color w:val="0000FF"/>
                  <w:w w:val="85"/>
                </w:rPr>
                <w:t>F-12</w:t>
              </w:r>
            </w:hyperlink>
          </w:p>
        </w:tc>
      </w:tr>
    </w:tbl>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7" w:name="page88"/>
    <w:bookmarkEnd w:id="8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management of Endo International plc is responsible for establishing and maintaining adequate internal control over financial reporting as defined in Rules 13a-15(f) and 15d-15(f) under the Exchange Act, as amended. Endo International plc’s internal control over financial reporting was designed to provide reasonable assurance regarding the reliability of financial reporting and the preparation of financial statements for external purposes in accordance with generally accepted accounting principles.</w:t>
      </w:r>
    </w:p>
    <w:p>
      <w:pPr>
        <w:spacing w:after="0" w:line="79"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6"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 xml:space="preserve">Endo International plc’s management assessed the effectiveness of the Company’s internal control over financial reporting as of December 31, 2020.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Based on management’s assessment, as of December 31, 2020, the Company’s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is effective based on those criteria.</w:t>
      </w:r>
    </w:p>
    <w:p>
      <w:pPr>
        <w:spacing w:after="0" w:line="79"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Endo International plc’s independent registered public accounting firm has issued its report on the effectiveness of the Company’s internal control over financial reporting as of December 31, 2020. This report appears on page F-3.</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4062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1">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Blaise Coleman</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Director, President and Chief Executive Officer</w:t>
      </w:r>
    </w:p>
    <w:p>
      <w:pPr>
        <w:ind w:left="20"/>
        <w:spacing w:after="0"/>
        <w:rPr>
          <w:sz w:val="20"/>
          <w:szCs w:val="20"/>
          <w:color w:val="auto"/>
        </w:rPr>
      </w:pPr>
      <w:r>
        <w:rPr>
          <w:rFonts w:ascii="Arial" w:cs="Arial" w:eastAsia="Arial" w:hAnsi="Arial"/>
          <w:sz w:val="16"/>
          <w:szCs w:val="16"/>
          <w:color w:val="auto"/>
        </w:rPr>
        <w:t>(Principal Executive Officer)</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MARK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4062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2">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Mark Bradley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Executive Vice President and Chief Financial Officer</w:t>
      </w:r>
    </w:p>
    <w:p>
      <w:pPr>
        <w:ind w:left="20"/>
        <w:spacing w:after="0"/>
        <w:rPr>
          <w:sz w:val="20"/>
          <w:szCs w:val="20"/>
          <w:color w:val="auto"/>
        </w:rPr>
      </w:pPr>
      <w:r>
        <w:rPr>
          <w:rFonts w:ascii="Arial" w:cs="Arial" w:eastAsia="Arial" w:hAnsi="Arial"/>
          <w:sz w:val="16"/>
          <w:szCs w:val="16"/>
          <w:color w:val="auto"/>
        </w:rPr>
        <w:t>(Principal Financial Officer)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Endo International plc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 xml:space="preserve">We have audited the accompanying consolidated balance sheets of Endo International plc and its subsidiaries (the “Company”) as of December 31, 2020 and 2019, and the related consolidated statements of operations, of comprehensive income (loss), of shareholders’ equity (deficit) and of cash flows for each of the three years in the period ended December 31, 2020, including the related notes and schedule of valuation and qualifying accounts for each of the three years in the period ended December 31, 2020 appearing under Item 15(a)(2) (collectively referred to as the “consolidated financial statements”). We also have audited the Company's internal control over financial reporting as of December 31, 2020,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(2013) issued by the Committee of Sponsoring Organizations of the Treadway Commission (COSO).</w:t>
      </w:r>
    </w:p>
    <w:p>
      <w:pPr>
        <w:spacing w:after="0" w:line="5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Deduction Reserves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described in Note 2 to the consolidated financial statements, the amount of revenue recognized by the Company is equal to the fixed amount of the transaction price, adjusted for management’s estimates of a number of significant variable components including, but not limited to, estimates for chargebacks, rebates, sales incentives and allowances, DSA and other fees for services, returns and allowances, which management collectively refer to as sales deductions. As of December 31, 2020, reserves for sales deductions totaled $606 million. These amounts relate primarily to management’s estimates of unsettled obligations for returns and allowances, rebates and chargebacks. The most significant sales deduction reserves relate to returns for the Branded Pharmaceuticals segment, and to returns, wholesaler chargebacks and rebates for the Sterile Injectables and Generic Pharmaceuticals segments. Management estimates the reserves for sales deductions based on factors such as direct and indirect customers’ buying patterns and the estimated resulting contractual deduction rates, historical experience, specific known market events and estimated future trends, current contractual and statutory requirements, industry data, estimated customer inventory levels, current contract sales terms with direct and indirect customers and other competitive factors.</w:t>
      </w:r>
    </w:p>
    <w:p>
      <w:pPr>
        <w:spacing w:after="0" w:line="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reserves for sales deductions is a critical audit matter are the significant judgment by management due to the significant measurement uncertainty in developing these reserves, which in turn led to significant audit effort and a high degree of auditor judgment and subjectivity in performing procedures related to those estimates, as the reserves are based on estimates of future claims, including assumptions related to customers’ buying patterns and the estimated resulting contractual deduction rates, estimated customer inventory levels, and other competitive factors.</w:t>
      </w:r>
    </w:p>
    <w:p>
      <w:pPr>
        <w:spacing w:after="0" w:line="8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sales deductions, including the Company’s controls over the assumptions used to estimate the corresponding reserves for sales deductions. These procedures also included, among others, (i) developing an independent estimate of the reserves for sales deductions utilizing historical payment information, third party data, as well as evaluating pricing changes, other competitive factors, and terms of the specific sales deduction programs, (ii) comparing the independent estimates to the sales deduction reserves recorded by management, (iii) evaluating management's estimates in previous years by comparing historical reserves to rebate payments and credits processed in subsequent periods, and (iv) testing actual payments made and amounts credited to both direct and indirect customers to evaluate whether the payments and credits were made in accordance with the contractual and mandated terms of the Company’s rebate programs and returns policy.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Impairment Assessment - Developed Technology</w:t>
      </w:r>
    </w:p>
    <w:p>
      <w:pPr>
        <w:spacing w:after="0" w:line="11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As described in Notes 2 and 11 to the consolidated financial statements, the Company’s consolidated balance for developed technology finite-lived intangible assets was $2,714 million as of December 31, 2020. Finite-lived intangible assets are assessed for impairment whenever events or changes in circumstances indicate the assets may not be recoverable. Recoverability of a finite-lived intangible asset that will continue to be used in the Company’s operations is measured by comparing the carrying amount of the asset to the forecasted undiscounted future cash flows related to the asset. In the event the carrying amount of the asset exceeds its undiscounted future cash flows and the carrying amount is not considered recoverable, impairment may exist. As part of intangible asset impairment assessments, management estimates the fair values of the Company’s intangible assets using an income approach that utilizes a discounted cash flow model or, where appropriate, a market approach. The discounted cash flow models are dependent upon management’s estimates of future cash flows and other factors including estimates of (i) future operating performance, including future sales, long-term growth rates, operating margins, discount rates and the probability of achieving the estimated cash flows and (ii) future economic conditions. The Company recognized developed technology impairment charges of $65 million during the year ended December 31, 2020.</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0" w:name="page91"/>
    <w:bookmarkEnd w:id="9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the impairment assessments for developed technology intangible assets is a critical audit matter are the significant judgment and estimation by management when developing the fair value measurement of developed technology intangibles; this in turn led to significant audit effort and a high degree of auditor judgment and subjectivity in performing procedures to evaluate management’s estimated cash flows, including significant assumptions related to future sales, long-term growth rates, operating margins and future economic conditions.</w:t>
      </w:r>
    </w:p>
    <w:p>
      <w:pPr>
        <w:spacing w:after="0" w:line="8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intangible assets, including controls over the identification of triggering events, and the development of assumptions used to estimate fair value. These procedures also included, among others, (i) evaluating whether there were any events or circumstances indicating that intangible assets may be impaired, and (ii) testing management’s process for developing the estimate, which included evaluating the appropriateness of the method related to cash flow projections for developed technology intangible assets; testing the completeness and accuracy of underlying data used in the estimates; and evaluating the reasonableness of significant assumptions including future sales, long-term growth rates, operating margins and future economic conditions. Evaluating these assumptions involved evaluating whether the assumptions used were reasonable considering (i) historical performance, (ii) industry and economic forecasts and (iii) whether the assumptions were consistent with evidence obtained in other areas of the audit.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 - Sterile Injectables Segment</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described in Notes 2 and 11 to the consolidated financial statements, the Company’s goodwill balance for the Sterile Injectables segment was $2,731 million as of December 31, 2020. An impairment assessment is conducted as of October 1, or more frequently whenever events or changes in circumstances indicate that the asset might be impaired. Management performs the goodwill impairment test by estimating the fair value of the reporting units using an income approach that utilizes a discounted cash flow model or, where appropriate, a market approach. The discounted cash flow models are dependent upon management’s estimates of future cash flows and other factors including estimates of (i) future operating performance, including future sales, long-term growth rates, operating margins, discount rates and the probability of achieving the estimated cash flows and (ii) future economic conditions.</w:t>
      </w:r>
    </w:p>
    <w:p>
      <w:pPr>
        <w:spacing w:after="0" w:line="8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principal considerations for our determination that performing procedures relating to the goodwill impairment assessment for the Sterile Injectables reporting unit is a critical audit matter are the significant judgment and estimation by management when determining the fair value of the reporting unit; this in turn led to significant audit effort and a high degree of auditor judgment and subjectivity in performing procedures related to management’s cash flows, including significant assumptions related to future sales, long-term growth rates, discount rate, the probability of achieving the estimated cash flows and future economic conditions. In addition, the audit effort involved the use of professionals with specialized skill and knowledge.</w:t>
      </w:r>
    </w:p>
    <w:p>
      <w:pPr>
        <w:spacing w:after="0" w:line="5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identification of triggering events, the determination of each reporting units’ fair value, and the development of assumptions used to estimate fair value. These procedures also included, among others, evaluating whether there were any events or circumstances indicating that goodwill may not be recoverable and therefore required goodwill impairment tests in addition to the annual test, and testing management’s process for determining the fair value estimate, which included evaluating the appropriateness of the discounted cash flow model; testing the completeness and accuracy of underlying data used in the model; and evaluating the reasonableness of assumptions related to future sales, long-term growth rates, discount rate, the probability of achieving the estimated cash flows and future economic conditions. The procedures also included testing the assignment of assets and liabilities to the reporting unit. Evaluating the assumptions used to estimate fair value related to future sales, long-term growth rates, discount rate, the probability of achieving the estimated cash flows and future economic conditions, involved evaluating whether the assumptions used were reasonable considering (i) historical performance, (ii) industry and economic forecasts and (iii) whether the assumptions were consistent with evidence obtained in other areas of the audit. Professionals with specialized skill and knowledge were used to assist in evaluating the appropriateness of the Company’s discounted cash flow model and reasonableness of significant assumptions, related to the discount rate and long-term growth rate.</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26, 2021</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2014.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1" w:name="page92"/>
    <w:bookmarkEnd w:id="9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share and per share data)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2020</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216"/>
        </w:trPr>
        <w:tc>
          <w:tcPr>
            <w:tcW w:w="8400" w:type="dxa"/>
            <w:vAlign w:val="bottom"/>
            <w:tcBorders>
              <w:top w:val="single" w:sz="8" w:color="CCEEFF"/>
            </w:tcBorders>
            <w:shd w:val="clear" w:color="auto" w:fill="CCEEFF"/>
          </w:tcPr>
          <w:p>
            <w:pPr>
              <w:ind w:left="388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1,213,437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1,454,531</w:t>
            </w: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Restricted cash and cash equivalents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171,563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247,457</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467,953</w:t>
            </w: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Inventories,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352,260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327,865</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40,845</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taxes receivable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63,837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47,567</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2,413,258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2,586,218</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458,471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504,865</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51,700</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3,560,011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3,595,184</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INTANGIBLES,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2,740,808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2,571,267</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53,235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78,101</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9,264,637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9,389,527</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00" w:type="dxa"/>
            <w:vAlign w:val="bottom"/>
            <w:shd w:val="clear" w:color="auto" w:fill="CCEEFF"/>
          </w:tcPr>
          <w:p>
            <w:pPr>
              <w:ind w:left="2240"/>
              <w:spacing w:after="0" w:line="196" w:lineRule="exact"/>
              <w:rPr>
                <w:sz w:val="20"/>
                <w:szCs w:val="20"/>
                <w:color w:val="auto"/>
              </w:rPr>
            </w:pPr>
            <w:r>
              <w:rPr>
                <w:rFonts w:ascii="Arial" w:cs="Arial" w:eastAsia="Arial" w:hAnsi="Arial"/>
                <w:sz w:val="18"/>
                <w:szCs w:val="18"/>
                <w:b w:val="1"/>
                <w:bCs w:val="1"/>
                <w:color w:val="auto"/>
              </w:rPr>
              <w:t>LIABILITIES AND SHAREHOLDERS' DEFICIT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899,949</w:t>
            </w: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Current portion of legal settlement accrual</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372,121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513,005</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operating lease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10,763</w:t>
            </w: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34,150</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1,253,824</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1,460,289</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31,703</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LONG-TERM DEBT, LESS CURRENT PORTION,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8,280,578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8,359,899</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48,299</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313,976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355,881</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16)</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SHAREHOLDERS' DEFICIT:</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Euro deferred shares, $0.01 par value; 4,000,000 shares authorized and issued at both December 31, 2020 and</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December 31, 2019</w:t>
            </w: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00" w:type="dxa"/>
            <w:vAlign w:val="bottom"/>
          </w:tcPr>
          <w:p>
            <w:pPr>
              <w:ind w:left="140"/>
              <w:spacing w:after="0" w:line="176" w:lineRule="exact"/>
              <w:rPr>
                <w:sz w:val="20"/>
                <w:szCs w:val="20"/>
                <w:color w:val="auto"/>
              </w:rPr>
            </w:pPr>
            <w:r>
              <w:rPr>
                <w:rFonts w:ascii="Arial" w:cs="Arial" w:eastAsia="Arial" w:hAnsi="Arial"/>
                <w:sz w:val="18"/>
                <w:szCs w:val="18"/>
                <w:color w:val="auto"/>
                <w:w w:val="89"/>
              </w:rPr>
              <w:t>Ordinary shares, $0.0001 par value; 1,000,000,000 shares authorized; 230,315,768 and 226,802,609 shares issued</w:t>
            </w: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and outstanding at December 31, 2020 and December 31, 2019, respectively</w:t>
            </w: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8,938,012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8,904,692</w:t>
            </w: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(9,368,270)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(9,552,214)</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(217,753)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(219,090)</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shareholders' deficit</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(647,939)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(866,544)</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DEFICIT</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9,264,637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9,389,527</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and shares in thousands, except per share data)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2,903,074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2,914,364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2,947,078</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1,442,511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1,569,338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1,631,682</w:t>
            </w: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698,506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632,420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646,037</w:t>
            </w:r>
          </w:p>
        </w:tc>
      </w:tr>
      <w:tr>
        <w:trPr>
          <w:trHeight w:val="229"/>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185,826</w:t>
            </w: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Litigation-related and other contingencies,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13,809</w:t>
            </w:r>
          </w:p>
        </w:tc>
      </w:tr>
      <w:tr>
        <w:trPr>
          <w:trHeight w:val="229"/>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 charges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916,939</w:t>
            </w: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Acquisition-related and integration items,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(46,098)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21,914</w:t>
            </w:r>
          </w:p>
        </w:tc>
      </w:tr>
      <w:tr>
        <w:trPr>
          <w:trHeight w:val="229"/>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521,656</w:t>
            </w: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Gain on extinguishment of debt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(119,828)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(51,953)</w:t>
            </w:r>
          </w:p>
        </w:tc>
      </w:tr>
      <w:tr>
        <w:trPr>
          <w:trHeight w:val="22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CONTINUING OPERATIONS BEFORE INCOME TAX</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(344,904)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(938,832)</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22,935</w:t>
            </w:r>
          </w:p>
        </w:tc>
      </w:tr>
      <w:tr>
        <w:trPr>
          <w:trHeight w:val="22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CONTINUING OPERATIONS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(360,584)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(961,767)</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 NET OF TAX (NOTE 3)</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(62,052)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(69,702)</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183,944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(422,636)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(1,031,469)</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6"/>
        </w:trPr>
        <w:tc>
          <w:tcPr>
            <w:tcW w:w="6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PER SHARE—BASIC:</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229"/>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r>
      <w:tr>
        <w:trPr>
          <w:trHeight w:val="223"/>
        </w:trPr>
        <w:tc>
          <w:tcPr>
            <w:tcW w:w="6940" w:type="dxa"/>
            <w:vAlign w:val="bottom"/>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6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PER SHARE—DILUTED:</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230"/>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r>
      <w:tr>
        <w:trPr>
          <w:trHeight w:val="223"/>
        </w:trPr>
        <w:tc>
          <w:tcPr>
            <w:tcW w:w="6940" w:type="dxa"/>
            <w:vAlign w:val="bottom"/>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6"/>
        </w:trPr>
        <w:tc>
          <w:tcPr>
            <w:tcW w:w="6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SHARES: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229,314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226,050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223,960</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223,960</w:t>
            </w: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(1,031,469)</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unrealized gain (loss) on foreign currency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(19,408)</w:t>
            </w:r>
          </w:p>
        </w:tc>
      </w:tr>
      <w:tr>
        <w:trPr>
          <w:trHeight w:val="223"/>
        </w:trPr>
        <w:tc>
          <w:tcPr>
            <w:tcW w:w="6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comprehensive income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(19,408)</w:t>
            </w: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(1,050,877)</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Ordinary Shares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ind w:left="160"/>
              <w:spacing w:after="0"/>
              <w:rPr>
                <w:sz w:val="20"/>
                <w:szCs w:val="20"/>
                <w:color w:val="auto"/>
              </w:rPr>
            </w:pPr>
            <w:r>
              <w:rPr>
                <w:rFonts w:ascii="Arial" w:cs="Arial" w:eastAsia="Arial" w:hAnsi="Arial"/>
                <w:sz w:val="14"/>
                <w:szCs w:val="14"/>
                <w:b w:val="1"/>
                <w:bCs w:val="1"/>
                <w:color w:val="auto"/>
              </w:rPr>
              <w:t>Euro Deferred Shares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840" w:type="dxa"/>
            <w:vAlign w:val="bottom"/>
          </w:tcPr>
          <w:p>
            <w:pPr>
              <w:jc w:val="center"/>
              <w:ind w:right="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4"/>
        </w:trPr>
        <w:tc>
          <w:tcPr>
            <w:tcW w:w="35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gridSpan w:val="2"/>
            <w:vMerge w:val="restart"/>
          </w:tcPr>
          <w:p>
            <w:pPr>
              <w:jc w:val="center"/>
              <w:ind w:right="280"/>
              <w:spacing w:after="0" w:line="108" w:lineRule="exact"/>
              <w:rPr>
                <w:sz w:val="20"/>
                <w:szCs w:val="20"/>
                <w:color w:val="auto"/>
              </w:rPr>
            </w:pPr>
            <w:r>
              <w:rPr>
                <w:rFonts w:ascii="Arial" w:cs="Arial" w:eastAsia="Arial" w:hAnsi="Arial"/>
                <w:sz w:val="12"/>
                <w:szCs w:val="12"/>
                <w:b w:val="1"/>
                <w:bCs w:val="1"/>
                <w:color w:val="auto"/>
              </w:rPr>
              <w:t>Other</w:t>
            </w:r>
          </w:p>
        </w:tc>
        <w:tc>
          <w:tcPr>
            <w:tcW w:w="980" w:type="dxa"/>
            <w:vAlign w:val="bottom"/>
            <w:gridSpan w:val="2"/>
            <w:vMerge w:val="restart"/>
          </w:tcPr>
          <w:p>
            <w:pPr>
              <w:jc w:val="center"/>
              <w:spacing w:after="0" w:line="108" w:lineRule="exact"/>
              <w:rPr>
                <w:sz w:val="20"/>
                <w:szCs w:val="20"/>
                <w:color w:val="auto"/>
              </w:rPr>
            </w:pPr>
            <w:r>
              <w:rPr>
                <w:rFonts w:ascii="Arial" w:cs="Arial" w:eastAsia="Arial" w:hAnsi="Arial"/>
                <w:sz w:val="12"/>
                <w:szCs w:val="12"/>
                <w:b w:val="1"/>
                <w:bCs w:val="1"/>
                <w:color w:val="auto"/>
              </w:rPr>
              <w:t>Shareholders'</w:t>
            </w:r>
          </w:p>
        </w:tc>
        <w:tc>
          <w:tcPr>
            <w:tcW w:w="0" w:type="dxa"/>
            <w:vAlign w:val="bottom"/>
          </w:tcPr>
          <w:p>
            <w:pPr>
              <w:spacing w:after="0"/>
              <w:rPr>
                <w:sz w:val="1"/>
                <w:szCs w:val="1"/>
                <w:color w:val="auto"/>
              </w:rPr>
            </w:pPr>
          </w:p>
        </w:tc>
      </w:tr>
      <w:tr>
        <w:trPr>
          <w:trHeight w:val="34"/>
        </w:trPr>
        <w:tc>
          <w:tcPr>
            <w:tcW w:w="3540" w:type="dxa"/>
            <w:vAlign w:val="bottom"/>
          </w:tcPr>
          <w:p>
            <w:pPr>
              <w:spacing w:after="0"/>
              <w:rPr>
                <w:sz w:val="2"/>
                <w:szCs w:val="2"/>
                <w:color w:val="auto"/>
              </w:rPr>
            </w:pP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0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5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vMerge w:val="continue"/>
          </w:tcPr>
          <w:p>
            <w:pPr>
              <w:spacing w:after="0"/>
              <w:rPr>
                <w:sz w:val="11"/>
                <w:szCs w:val="11"/>
                <w:color w:val="auto"/>
              </w:rPr>
            </w:pPr>
          </w:p>
        </w:tc>
        <w:tc>
          <w:tcPr>
            <w:tcW w:w="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8"/>
              </w:rPr>
              <w:t>Comprehensive</w:t>
            </w:r>
          </w:p>
        </w:tc>
        <w:tc>
          <w:tcPr>
            <w:tcW w:w="140" w:type="dxa"/>
            <w:vAlign w:val="bottom"/>
          </w:tcPr>
          <w:p>
            <w:pPr>
              <w:spacing w:after="0"/>
              <w:rPr>
                <w:sz w:val="11"/>
                <w:szCs w:val="11"/>
                <w:color w:val="auto"/>
              </w:rPr>
            </w:pPr>
          </w:p>
        </w:tc>
        <w:tc>
          <w:tcPr>
            <w:tcW w:w="84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8"/>
        </w:trPr>
        <w:tc>
          <w:tcPr>
            <w:tcW w:w="3540" w:type="dxa"/>
            <w:vAlign w:val="bottom"/>
          </w:tcPr>
          <w:p>
            <w:pPr>
              <w:spacing w:after="0"/>
              <w:rPr>
                <w:sz w:val="16"/>
                <w:szCs w:val="16"/>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680" w:type="dxa"/>
            <w:vAlign w:val="bottom"/>
            <w:gridSpan w:val="3"/>
            <w:vMerge w:val="continue"/>
          </w:tcPr>
          <w:p>
            <w:pPr>
              <w:spacing w:after="0"/>
              <w:rPr>
                <w:sz w:val="16"/>
                <w:szCs w:val="16"/>
                <w:color w:val="auto"/>
              </w:rPr>
            </w:pPr>
          </w:p>
        </w:tc>
        <w:tc>
          <w:tcPr>
            <w:tcW w:w="106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vMerge w:val="continue"/>
          </w:tcPr>
          <w:p>
            <w:pPr>
              <w:spacing w:after="0"/>
              <w:rPr>
                <w:sz w:val="16"/>
                <w:szCs w:val="16"/>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84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47"/>
        </w:trPr>
        <w:tc>
          <w:tcPr>
            <w:tcW w:w="354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6"/>
                <w:szCs w:val="16"/>
                <w:color w:val="auto"/>
              </w:rPr>
              <w:t>BALANCE, DECEMBER 31, 2017, prior to the</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223,331,706</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vMerge w:val="restart"/>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4,000,000</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8,791,170</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95"/>
              </w:rPr>
              <w:t>(8,096,539)</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(209,821)</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484,880</w:t>
            </w:r>
          </w:p>
        </w:tc>
        <w:tc>
          <w:tcPr>
            <w:tcW w:w="0" w:type="dxa"/>
            <w:vAlign w:val="bottom"/>
          </w:tcPr>
          <w:p>
            <w:pPr>
              <w:spacing w:after="0"/>
              <w:rPr>
                <w:sz w:val="1"/>
                <w:szCs w:val="1"/>
                <w:color w:val="auto"/>
              </w:rPr>
            </w:pPr>
          </w:p>
        </w:tc>
      </w:tr>
      <w:tr>
        <w:trPr>
          <w:trHeight w:val="212"/>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adoption of ASC 606</w:t>
            </w: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Effect of adopting ASC 606 (NOTE 18)</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3,076</w:t>
            </w:r>
          </w:p>
        </w:tc>
        <w:tc>
          <w:tcPr>
            <w:tcW w:w="0" w:type="dxa"/>
            <w:vAlign w:val="bottom"/>
          </w:tcPr>
          <w:p>
            <w:pPr>
              <w:spacing w:after="0"/>
              <w:rPr>
                <w:sz w:val="1"/>
                <w:szCs w:val="1"/>
                <w:color w:val="auto"/>
              </w:rPr>
            </w:pPr>
          </w:p>
        </w:tc>
      </w:tr>
      <w:tr>
        <w:trPr>
          <w:trHeight w:val="212"/>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2017</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223,331,706</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4,000,000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8,791,170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(8,093,463)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(209,821)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487,956</w:t>
            </w:r>
          </w:p>
        </w:tc>
        <w:tc>
          <w:tcPr>
            <w:tcW w:w="0" w:type="dxa"/>
            <w:vAlign w:val="bottom"/>
          </w:tcPr>
          <w:p>
            <w:pPr>
              <w:spacing w:after="0"/>
              <w:rPr>
                <w:sz w:val="1"/>
                <w:szCs w:val="1"/>
                <w:color w:val="auto"/>
              </w:rPr>
            </w:pPr>
          </w:p>
        </w:tc>
      </w:tr>
      <w:tr>
        <w:trPr>
          <w:trHeight w:val="207"/>
        </w:trPr>
        <w:tc>
          <w:tcPr>
            <w:tcW w:w="35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5"/>
              </w:rPr>
              <w:t>(1,031,469)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7"/>
              </w:rPr>
              <w:t>(1,031,469)</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(19,408)</w:t>
            </w:r>
          </w:p>
        </w:tc>
        <w:tc>
          <w:tcPr>
            <w:tcW w:w="0" w:type="dxa"/>
            <w:vAlign w:val="bottom"/>
          </w:tcPr>
          <w:p>
            <w:pPr>
              <w:spacing w:after="0"/>
              <w:rPr>
                <w:sz w:val="1"/>
                <w:szCs w:val="1"/>
                <w:color w:val="auto"/>
              </w:rPr>
            </w:pP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Compensation related to share-based awards</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54,071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54,071</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options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94,392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0" w:type="dxa"/>
            <w:vAlign w:val="bottom"/>
          </w:tcPr>
          <w:p>
            <w:pPr>
              <w:spacing w:after="0"/>
              <w:rPr>
                <w:sz w:val="1"/>
                <w:szCs w:val="1"/>
                <w:color w:val="auto"/>
              </w:rPr>
            </w:pP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Ordinary shares issued</w:t>
            </w:r>
          </w:p>
        </w:tc>
        <w:tc>
          <w:tcPr>
            <w:tcW w:w="1000" w:type="dxa"/>
            <w:vAlign w:val="bottom"/>
          </w:tcPr>
          <w:p>
            <w:pPr>
              <w:jc w:val="right"/>
              <w:spacing w:after="0"/>
              <w:rPr>
                <w:sz w:val="20"/>
                <w:szCs w:val="20"/>
                <w:color w:val="auto"/>
              </w:rPr>
            </w:pPr>
            <w:r>
              <w:rPr>
                <w:rFonts w:ascii="Arial" w:cs="Arial" w:eastAsia="Arial" w:hAnsi="Arial"/>
                <w:sz w:val="16"/>
                <w:szCs w:val="16"/>
                <w:color w:val="auto"/>
              </w:rPr>
              <w:t>956,693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LTCI modification (NOTE 19)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14,936</w:t>
            </w:r>
          </w:p>
        </w:tc>
        <w:tc>
          <w:tcPr>
            <w:tcW w:w="0" w:type="dxa"/>
            <w:vAlign w:val="bottom"/>
          </w:tcPr>
          <w:p>
            <w:pPr>
              <w:spacing w:after="0"/>
              <w:rPr>
                <w:sz w:val="1"/>
                <w:szCs w:val="1"/>
                <w:color w:val="auto"/>
              </w:rPr>
            </w:pP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Tax withholding for restricted shares</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(5,375)</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46"/>
        </w:trPr>
        <w:tc>
          <w:tcPr>
            <w:tcW w:w="3540" w:type="dxa"/>
            <w:vAlign w:val="bottom"/>
          </w:tcPr>
          <w:p>
            <w:pPr>
              <w:ind w:left="20"/>
              <w:spacing w:after="0" w:line="146" w:lineRule="exact"/>
              <w:rPr>
                <w:sz w:val="20"/>
                <w:szCs w:val="20"/>
                <w:color w:val="auto"/>
              </w:rPr>
            </w:pPr>
            <w:r>
              <w:rPr>
                <w:rFonts w:ascii="Arial" w:cs="Arial" w:eastAsia="Arial" w:hAnsi="Arial"/>
                <w:sz w:val="16"/>
                <w:szCs w:val="16"/>
                <w:color w:val="auto"/>
              </w:rPr>
              <w:t>BALANCE, DECEMBER 31, 2018, prior to the</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224,382,791</w:t>
            </w:r>
          </w:p>
        </w:tc>
        <w:tc>
          <w:tcPr>
            <w:tcW w:w="80" w:type="dxa"/>
            <w:vAlign w:val="bottom"/>
          </w:tcPr>
          <w:p>
            <w:pPr>
              <w:spacing w:after="0"/>
              <w:rPr>
                <w:sz w:val="12"/>
                <w:szCs w:val="12"/>
                <w:color w:val="auto"/>
              </w:rPr>
            </w:pPr>
          </w:p>
        </w:tc>
        <w:tc>
          <w:tcPr>
            <w:tcW w:w="320" w:type="dxa"/>
            <w:vAlign w:val="bottom"/>
            <w:tcBorders>
              <w:top w:val="single" w:sz="8" w:color="auto"/>
            </w:tcBorders>
            <w:vMerge w:val="restart"/>
          </w:tcPr>
          <w:p>
            <w:pPr>
              <w:jc w:val="right"/>
              <w:ind w:right="140"/>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2"/>
                <w:szCs w:val="12"/>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4,000,000</w:t>
            </w:r>
          </w:p>
        </w:tc>
        <w:tc>
          <w:tcPr>
            <w:tcW w:w="80" w:type="dxa"/>
            <w:vAlign w:val="bottom"/>
          </w:tcPr>
          <w:p>
            <w:pPr>
              <w:spacing w:after="0"/>
              <w:rPr>
                <w:sz w:val="12"/>
                <w:szCs w:val="12"/>
                <w:color w:val="auto"/>
              </w:rPr>
            </w:pPr>
          </w:p>
        </w:tc>
        <w:tc>
          <w:tcPr>
            <w:tcW w:w="24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2"/>
                <w:szCs w:val="12"/>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8,855,810</w:t>
            </w:r>
          </w:p>
        </w:tc>
        <w:tc>
          <w:tcPr>
            <w:tcW w:w="80" w:type="dxa"/>
            <w:vAlign w:val="bottom"/>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95"/>
              </w:rPr>
              <w:t>(9,124,932)</w:t>
            </w:r>
          </w:p>
        </w:tc>
        <w:tc>
          <w:tcPr>
            <w:tcW w:w="80" w:type="dxa"/>
            <w:vAlign w:val="bottom"/>
          </w:tcPr>
          <w:p>
            <w:pPr>
              <w:spacing w:after="0"/>
              <w:rPr>
                <w:sz w:val="12"/>
                <w:szCs w:val="12"/>
                <w:color w:val="auto"/>
              </w:rPr>
            </w:pPr>
          </w:p>
        </w:tc>
        <w:tc>
          <w:tcPr>
            <w:tcW w:w="20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(229,229)</w:t>
            </w:r>
          </w:p>
        </w:tc>
        <w:tc>
          <w:tcPr>
            <w:tcW w:w="8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(498,283)</w:t>
            </w:r>
          </w:p>
        </w:tc>
        <w:tc>
          <w:tcPr>
            <w:tcW w:w="0" w:type="dxa"/>
            <w:vAlign w:val="bottom"/>
          </w:tcPr>
          <w:p>
            <w:pPr>
              <w:spacing w:after="0"/>
              <w:rPr>
                <w:sz w:val="1"/>
                <w:szCs w:val="1"/>
                <w:color w:val="auto"/>
              </w:rPr>
            </w:pPr>
          </w:p>
        </w:tc>
      </w:tr>
      <w:tr>
        <w:trPr>
          <w:trHeight w:val="209"/>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adoption of ASC 842</w:t>
            </w: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adopting ASC 842 (NOTE 18)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(4,646)</w:t>
            </w:r>
          </w:p>
        </w:tc>
        <w:tc>
          <w:tcPr>
            <w:tcW w:w="0" w:type="dxa"/>
            <w:vAlign w:val="bottom"/>
          </w:tcPr>
          <w:p>
            <w:pPr>
              <w:spacing w:after="0"/>
              <w:rPr>
                <w:sz w:val="1"/>
                <w:szCs w:val="1"/>
                <w:color w:val="auto"/>
              </w:rPr>
            </w:pPr>
          </w:p>
        </w:tc>
      </w:tr>
      <w:tr>
        <w:trPr>
          <w:trHeight w:val="206"/>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 DECEMBER 31, 2018</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224,382,791</w:t>
            </w:r>
          </w:p>
        </w:tc>
        <w:tc>
          <w:tcPr>
            <w:tcW w:w="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8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4,000,000</w:t>
            </w: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8,855,810</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(9,129,578)</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(229,229)</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(502,929)</w:t>
            </w:r>
          </w:p>
        </w:tc>
        <w:tc>
          <w:tcPr>
            <w:tcW w:w="0" w:type="dxa"/>
            <w:vAlign w:val="bottom"/>
          </w:tcPr>
          <w:p>
            <w:pPr>
              <w:spacing w:after="0"/>
              <w:rPr>
                <w:sz w:val="1"/>
                <w:szCs w:val="1"/>
                <w:color w:val="auto"/>
              </w:rPr>
            </w:pPr>
          </w:p>
        </w:tc>
      </w:tr>
      <w:tr>
        <w:trPr>
          <w:trHeight w:val="213"/>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(422,636)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(422,636)</w:t>
            </w:r>
          </w:p>
        </w:tc>
        <w:tc>
          <w:tcPr>
            <w:tcW w:w="0" w:type="dxa"/>
            <w:vAlign w:val="bottom"/>
          </w:tcPr>
          <w:p>
            <w:pPr>
              <w:spacing w:after="0"/>
              <w:rPr>
                <w:sz w:val="1"/>
                <w:szCs w:val="1"/>
                <w:color w:val="auto"/>
              </w:rPr>
            </w:pP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10,139</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related to share-based awards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59,142</w:t>
            </w:r>
          </w:p>
        </w:tc>
        <w:tc>
          <w:tcPr>
            <w:tcW w:w="0" w:type="dxa"/>
            <w:vAlign w:val="bottom"/>
          </w:tcPr>
          <w:p>
            <w:pPr>
              <w:spacing w:after="0"/>
              <w:rPr>
                <w:sz w:val="1"/>
                <w:szCs w:val="1"/>
                <w:color w:val="auto"/>
              </w:rPr>
            </w:pP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Exercise of options</w:t>
            </w:r>
          </w:p>
        </w:tc>
        <w:tc>
          <w:tcPr>
            <w:tcW w:w="1000" w:type="dxa"/>
            <w:vAlign w:val="bottom"/>
          </w:tcPr>
          <w:p>
            <w:pPr>
              <w:jc w:val="right"/>
              <w:spacing w:after="0"/>
              <w:rPr>
                <w:sz w:val="20"/>
                <w:szCs w:val="20"/>
                <w:color w:val="auto"/>
              </w:rPr>
            </w:pPr>
            <w:r>
              <w:rPr>
                <w:rFonts w:ascii="Arial" w:cs="Arial" w:eastAsia="Arial" w:hAnsi="Arial"/>
                <w:sz w:val="16"/>
                <w:szCs w:val="16"/>
                <w:color w:val="auto"/>
              </w:rPr>
              <w:t>557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Ordinary shares issued</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2,419,261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Tax withholding for restricted shares</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(10,156)</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6"/>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 DECEMBER 31, 2019</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226,802,609</w:t>
            </w:r>
          </w:p>
        </w:tc>
        <w:tc>
          <w:tcPr>
            <w:tcW w:w="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4,000,000</w:t>
            </w: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8,904,692</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(9,552,214)</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(219,090)</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(866,544)</w:t>
            </w:r>
          </w:p>
        </w:tc>
        <w:tc>
          <w:tcPr>
            <w:tcW w:w="0" w:type="dxa"/>
            <w:vAlign w:val="bottom"/>
          </w:tcPr>
          <w:p>
            <w:pPr>
              <w:spacing w:after="0"/>
              <w:rPr>
                <w:sz w:val="1"/>
                <w:szCs w:val="1"/>
                <w:color w:val="auto"/>
              </w:rPr>
            </w:pPr>
          </w:p>
        </w:tc>
      </w:tr>
      <w:tr>
        <w:trPr>
          <w:trHeight w:val="213"/>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183,944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183,944</w:t>
            </w:r>
          </w:p>
        </w:tc>
        <w:tc>
          <w:tcPr>
            <w:tcW w:w="0" w:type="dxa"/>
            <w:vAlign w:val="bottom"/>
          </w:tcPr>
          <w:p>
            <w:pPr>
              <w:spacing w:after="0"/>
              <w:rPr>
                <w:sz w:val="1"/>
                <w:szCs w:val="1"/>
                <w:color w:val="auto"/>
              </w:rPr>
            </w:pP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1,337</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related to share-based awards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41,357</w:t>
            </w:r>
          </w:p>
        </w:tc>
        <w:tc>
          <w:tcPr>
            <w:tcW w:w="0" w:type="dxa"/>
            <w:vAlign w:val="bottom"/>
          </w:tcPr>
          <w:p>
            <w:pPr>
              <w:spacing w:after="0"/>
              <w:rPr>
                <w:sz w:val="1"/>
                <w:szCs w:val="1"/>
                <w:color w:val="auto"/>
              </w:rPr>
            </w:pP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Ordinary shares issued</w:t>
            </w:r>
          </w:p>
        </w:tc>
        <w:tc>
          <w:tcPr>
            <w:tcW w:w="1000" w:type="dxa"/>
            <w:vAlign w:val="bottom"/>
          </w:tcPr>
          <w:p>
            <w:pPr>
              <w:jc w:val="right"/>
              <w:spacing w:after="0"/>
              <w:rPr>
                <w:sz w:val="20"/>
                <w:szCs w:val="20"/>
                <w:color w:val="auto"/>
              </w:rPr>
            </w:pPr>
            <w:r>
              <w:rPr>
                <w:rFonts w:ascii="Arial" w:cs="Arial" w:eastAsia="Arial" w:hAnsi="Arial"/>
                <w:sz w:val="16"/>
                <w:szCs w:val="16"/>
                <w:color w:val="auto"/>
              </w:rPr>
              <w:t>3,513,159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withholding for restricted shares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(8,036)</w:t>
            </w:r>
          </w:p>
        </w:tc>
        <w:tc>
          <w:tcPr>
            <w:tcW w:w="0" w:type="dxa"/>
            <w:vAlign w:val="bottom"/>
          </w:tcPr>
          <w:p>
            <w:pPr>
              <w:spacing w:after="0"/>
              <w:rPr>
                <w:sz w:val="1"/>
                <w:szCs w:val="1"/>
                <w:color w:val="auto"/>
              </w:rPr>
            </w:pP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Other</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2020</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230,315,768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4,000,000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8,938,012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(9,368,270)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(217,753)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(647,939)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183,944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(422,636)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(1,031,469)</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Adjustments to reconcile Net income (loss) to Net cash provided by operating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518,807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612,862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723,707</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 step-up</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0"/>
        </w:trPr>
        <w:tc>
          <w:tcPr>
            <w:tcW w:w="6940" w:type="dxa"/>
            <w:vAlign w:val="bottom"/>
          </w:tcPr>
          <w:p>
            <w:pPr>
              <w:ind w:left="220"/>
              <w:spacing w:after="0"/>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41,357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59,142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54,071</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debt issuance costs and discount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20,514</w:t>
            </w:r>
          </w:p>
        </w:tc>
        <w:tc>
          <w:tcPr>
            <w:tcW w:w="0" w:type="dxa"/>
            <w:vAlign w:val="bottom"/>
          </w:tcPr>
          <w:p>
            <w:pPr>
              <w:spacing w:after="0"/>
              <w:rPr>
                <w:sz w:val="1"/>
                <w:szCs w:val="1"/>
                <w:color w:val="auto"/>
              </w:rPr>
            </w:pPr>
          </w:p>
        </w:tc>
      </w:tr>
      <w:tr>
        <w:trPr>
          <w:trHeight w:val="230"/>
        </w:trPr>
        <w:tc>
          <w:tcPr>
            <w:tcW w:w="694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(163,558)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5,557</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fair value of contingent consideration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19,910</w:t>
            </w:r>
          </w:p>
        </w:tc>
        <w:tc>
          <w:tcPr>
            <w:tcW w:w="0" w:type="dxa"/>
            <w:vAlign w:val="bottom"/>
          </w:tcPr>
          <w:p>
            <w:pPr>
              <w:spacing w:after="0"/>
              <w:rPr>
                <w:sz w:val="1"/>
                <w:szCs w:val="1"/>
                <w:color w:val="auto"/>
              </w:rPr>
            </w:pPr>
          </w:p>
        </w:tc>
      </w:tr>
      <w:tr>
        <w:trPr>
          <w:trHeight w:val="229"/>
        </w:trPr>
        <w:tc>
          <w:tcPr>
            <w:tcW w:w="6940" w:type="dxa"/>
            <w:vAlign w:val="bottom"/>
          </w:tcPr>
          <w:p>
            <w:pPr>
              <w:ind w:left="220"/>
              <w:spacing w:after="0"/>
              <w:rPr>
                <w:sz w:val="20"/>
                <w:szCs w:val="20"/>
                <w:color w:val="auto"/>
              </w:rPr>
            </w:pPr>
            <w:r>
              <w:rPr>
                <w:rFonts w:ascii="Arial" w:cs="Arial" w:eastAsia="Arial" w:hAnsi="Arial"/>
                <w:sz w:val="18"/>
                <w:szCs w:val="18"/>
                <w:color w:val="auto"/>
              </w:rPr>
              <w:t>Gain on extinguishment of debt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(119,828)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Acquired in-process research and development charges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40" w:type="dxa"/>
            <w:vAlign w:val="bottom"/>
          </w:tcPr>
          <w:p>
            <w:pPr>
              <w:ind w:left="220"/>
              <w:spacing w:after="0"/>
              <w:rPr>
                <w:sz w:val="20"/>
                <w:szCs w:val="20"/>
                <w:color w:val="auto"/>
              </w:rPr>
            </w:pPr>
            <w:r>
              <w:rPr>
                <w:rFonts w:ascii="Arial" w:cs="Arial" w:eastAsia="Arial" w:hAnsi="Arial"/>
                <w:sz w:val="18"/>
                <w:szCs w:val="18"/>
                <w:color w:val="auto"/>
              </w:rPr>
              <w:t>Asset impairment charges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120,344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526,082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916,939</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sale of business and other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(45,155)</w:t>
            </w:r>
          </w:p>
        </w:tc>
        <w:tc>
          <w:tcPr>
            <w:tcW w:w="0" w:type="dxa"/>
            <w:vAlign w:val="bottom"/>
          </w:tcPr>
          <w:p>
            <w:pPr>
              <w:spacing w:after="0"/>
              <w:rPr>
                <w:sz w:val="1"/>
                <w:szCs w:val="1"/>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Changes in assets and liabilities which (used) provided cash:</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17,090</w:t>
            </w:r>
          </w:p>
        </w:tc>
        <w:tc>
          <w:tcPr>
            <w:tcW w:w="0" w:type="dxa"/>
            <w:vAlign w:val="bottom"/>
          </w:tcPr>
          <w:p>
            <w:pPr>
              <w:spacing w:after="0"/>
              <w:rPr>
                <w:sz w:val="1"/>
                <w:szCs w:val="1"/>
                <w:color w:val="auto"/>
              </w:rPr>
            </w:pPr>
          </w:p>
        </w:tc>
      </w:tr>
      <w:tr>
        <w:trPr>
          <w:trHeight w:val="230"/>
        </w:trPr>
        <w:tc>
          <w:tcPr>
            <w:tcW w:w="694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67,269</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and other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(12,797)</w:t>
            </w:r>
          </w:p>
        </w:tc>
        <w:tc>
          <w:tcPr>
            <w:tcW w:w="0" w:type="dxa"/>
            <w:vAlign w:val="bottom"/>
          </w:tcPr>
          <w:p>
            <w:pPr>
              <w:spacing w:after="0"/>
              <w:rPr>
                <w:sz w:val="1"/>
                <w:szCs w:val="1"/>
                <w:color w:val="auto"/>
              </w:rPr>
            </w:pPr>
          </w:p>
        </w:tc>
      </w:tr>
      <w:tr>
        <w:trPr>
          <w:trHeight w:val="229"/>
        </w:trPr>
        <w:tc>
          <w:tcPr>
            <w:tcW w:w="6940" w:type="dxa"/>
            <w:vAlign w:val="bottom"/>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(171,366)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(525,746)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(425,336)</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payable/receivable,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(43,291)</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397,392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98,052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267,270</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Capital expenditures, excluding capitalized interest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(69,971)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(63,854)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(83,398)</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Capitalized interest payments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0" w:type="dxa"/>
            <w:vAlign w:val="bottom"/>
          </w:tcPr>
          <w:p>
            <w:pPr>
              <w:spacing w:after="0"/>
              <w:rPr>
                <w:sz w:val="1"/>
                <w:szCs w:val="1"/>
                <w:color w:val="auto"/>
              </w:rPr>
            </w:pPr>
          </w:p>
        </w:tc>
      </w:tr>
      <w:tr>
        <w:trPr>
          <w:trHeight w:val="175"/>
        </w:trPr>
        <w:tc>
          <w:tcPr>
            <w:tcW w:w="6940" w:type="dxa"/>
            <w:vAlign w:val="bottom"/>
          </w:tcPr>
          <w:p>
            <w:pPr>
              <w:ind w:left="140"/>
              <w:spacing w:after="0" w:line="176" w:lineRule="exact"/>
              <w:rPr>
                <w:sz w:val="20"/>
                <w:szCs w:val="20"/>
                <w:color w:val="auto"/>
              </w:rPr>
            </w:pPr>
            <w:r>
              <w:rPr>
                <w:rFonts w:ascii="Arial" w:cs="Arial" w:eastAsia="Arial" w:hAnsi="Arial"/>
                <w:sz w:val="18"/>
                <w:szCs w:val="18"/>
                <w:color w:val="auto"/>
                <w:w w:val="91"/>
              </w:rPr>
              <w:t>Acquisitions, including in-process research and development, net of cash and restricted cash</w:t>
            </w: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(649,504)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acquired</w:t>
            </w: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sales and maturities of investments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Product acquisition costs and license fees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 of business and other assets,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70,369</w:t>
            </w:r>
          </w:p>
        </w:tc>
        <w:tc>
          <w:tcPr>
            <w:tcW w:w="0" w:type="dxa"/>
            <w:vAlign w:val="bottom"/>
          </w:tcPr>
          <w:p>
            <w:pPr>
              <w:spacing w:after="0"/>
              <w:rPr>
                <w:sz w:val="1"/>
                <w:szCs w:val="1"/>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Other investing activities</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23"/>
        </w:trPr>
        <w:tc>
          <w:tcPr>
            <w:tcW w:w="69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(624,867)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(60,198)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(17,900)</w:t>
            </w:r>
          </w:p>
        </w:tc>
        <w:tc>
          <w:tcPr>
            <w:tcW w:w="0" w:type="dxa"/>
            <w:vAlign w:val="bottom"/>
          </w:tcPr>
          <w:p>
            <w:pPr>
              <w:spacing w:after="0"/>
              <w:rPr>
                <w:sz w:val="1"/>
                <w:szCs w:val="1"/>
                <w:color w:val="auto"/>
              </w:rPr>
            </w:pPr>
          </w:p>
        </w:tc>
      </w:tr>
      <w:tr>
        <w:trPr>
          <w:trHeight w:val="723"/>
        </w:trPr>
        <w:tc>
          <w:tcPr>
            <w:tcW w:w="6940" w:type="dxa"/>
            <w:vAlign w:val="bottom"/>
          </w:tcPr>
          <w:p>
            <w:pPr>
              <w:ind w:left="5460"/>
              <w:spacing w:after="0"/>
              <w:rPr>
                <w:sz w:val="20"/>
                <w:szCs w:val="20"/>
                <w:color w:val="auto"/>
              </w:rPr>
            </w:pPr>
            <w:r>
              <w:rPr>
                <w:rFonts w:ascii="Arial" w:cs="Arial" w:eastAsia="Arial" w:hAnsi="Arial"/>
                <w:sz w:val="18"/>
                <w:szCs w:val="18"/>
                <w:color w:val="auto"/>
              </w:rPr>
              <w:t>F-10</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8"/>
        </w:trPr>
        <w:tc>
          <w:tcPr>
            <w:tcW w:w="69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notes, net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1,483,125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Repayments of notes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(57,649)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(1,501,788)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of term loans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(34,150)</w:t>
            </w:r>
          </w:p>
        </w:tc>
        <w:tc>
          <w:tcPr>
            <w:tcW w:w="0" w:type="dxa"/>
            <w:vAlign w:val="bottom"/>
          </w:tcPr>
          <w:p>
            <w:pPr>
              <w:spacing w:after="0"/>
              <w:rPr>
                <w:sz w:val="1"/>
                <w:szCs w:val="1"/>
                <w:color w:val="auto"/>
              </w:rPr>
            </w:pP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Proceeds from draw of revolving debt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of other indebtedness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w:t>
            </w:r>
          </w:p>
        </w:tc>
        <w:tc>
          <w:tcPr>
            <w:tcW w:w="0" w:type="dxa"/>
            <w:vAlign w:val="bottom"/>
          </w:tcPr>
          <w:p>
            <w:pPr>
              <w:spacing w:after="0"/>
              <w:rPr>
                <w:sz w:val="1"/>
                <w:szCs w:val="1"/>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Payments for debt issuance and extinguishment costs</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for contingent consideration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(37,758)</w:t>
            </w:r>
          </w:p>
        </w:tc>
        <w:tc>
          <w:tcPr>
            <w:tcW w:w="0" w:type="dxa"/>
            <w:vAlign w:val="bottom"/>
          </w:tcPr>
          <w:p>
            <w:pPr>
              <w:spacing w:after="0"/>
              <w:rPr>
                <w:sz w:val="1"/>
                <w:szCs w:val="1"/>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Payments of tax withholding for restricted shares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exercise of options</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(108,567)</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204,601</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(81,572)</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exchange rate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156"/>
        </w:trPr>
        <w:tc>
          <w:tcPr>
            <w:tcW w:w="6940" w:type="dxa"/>
            <w:vAlign w:val="bottom"/>
          </w:tcPr>
          <w:p>
            <w:pPr>
              <w:ind w:left="20"/>
              <w:spacing w:after="0" w:line="156" w:lineRule="exact"/>
              <w:rPr>
                <w:sz w:val="20"/>
                <w:szCs w:val="20"/>
                <w:color w:val="auto"/>
              </w:rPr>
            </w:pPr>
            <w:r>
              <w:rPr>
                <w:rFonts w:ascii="Arial" w:cs="Arial" w:eastAsia="Arial" w:hAnsi="Arial"/>
                <w:sz w:val="18"/>
                <w:szCs w:val="18"/>
                <w:color w:val="auto"/>
                <w:w w:val="98"/>
              </w:rPr>
              <w:t>NET (DECREASE) INCREASE IN CASH, CASH EQUIVALENTS, RESTRICTED CASH</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(335,388)</w:t>
            </w:r>
          </w:p>
        </w:tc>
        <w:tc>
          <w:tcPr>
            <w:tcW w:w="100" w:type="dxa"/>
            <w:vAlign w:val="bottom"/>
          </w:tcPr>
          <w:p>
            <w:pPr>
              <w:spacing w:after="0"/>
              <w:rPr>
                <w:sz w:val="13"/>
                <w:szCs w:val="13"/>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243,551</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165,823</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AND RESTRICTED CASH EQUIVALENTS</w:t>
            </w:r>
          </w:p>
        </w:tc>
        <w:tc>
          <w:tcPr>
            <w:tcW w:w="3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9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CASH, CASH EQUIVALENTS, RESTRICTED CASH AND RESTRICTED CASH</w:t>
            </w:r>
          </w:p>
        </w:tc>
        <w:tc>
          <w:tcPr>
            <w:tcW w:w="3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1,720,388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1,476,837</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1,311,014</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EQUIVALENTS,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940" w:type="dxa"/>
            <w:vAlign w:val="bottom"/>
          </w:tcPr>
          <w:p>
            <w:pPr>
              <w:ind w:left="20"/>
              <w:spacing w:after="0" w:line="156" w:lineRule="exact"/>
              <w:rPr>
                <w:sz w:val="20"/>
                <w:szCs w:val="20"/>
                <w:color w:val="auto"/>
              </w:rPr>
            </w:pPr>
            <w:r>
              <w:rPr>
                <w:rFonts w:ascii="Arial" w:cs="Arial" w:eastAsia="Arial" w:hAnsi="Arial"/>
                <w:sz w:val="18"/>
                <w:szCs w:val="18"/>
                <w:color w:val="auto"/>
              </w:rPr>
              <w:t>CASH, CASH EQUIVALENTS, RESTRICTED CASH AND RESTRICTED CASH</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1,385,000</w:t>
            </w:r>
          </w:p>
        </w:tc>
        <w:tc>
          <w:tcPr>
            <w:tcW w:w="100" w:type="dxa"/>
            <w:vAlign w:val="bottom"/>
          </w:tcPr>
          <w:p>
            <w:pPr>
              <w:spacing w:after="0"/>
              <w:rPr>
                <w:sz w:val="13"/>
                <w:szCs w:val="13"/>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1,720,388</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1,476,837</w:t>
            </w:r>
          </w:p>
        </w:tc>
        <w:tc>
          <w:tcPr>
            <w:tcW w:w="0" w:type="dxa"/>
            <w:vAlign w:val="bottom"/>
          </w:tcPr>
          <w:p>
            <w:pPr>
              <w:spacing w:after="0"/>
              <w:rPr>
                <w:sz w:val="1"/>
                <w:szCs w:val="1"/>
                <w:color w:val="auto"/>
              </w:rPr>
            </w:pPr>
          </w:p>
        </w:tc>
      </w:tr>
      <w:tr>
        <w:trPr>
          <w:trHeight w:val="208"/>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EQUIVALENTS, END OF PERIOD</w:t>
            </w:r>
          </w:p>
        </w:tc>
        <w:tc>
          <w:tcPr>
            <w:tcW w:w="3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SUPPLEMENTAL INFORMATION:</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Cash paid for interest, excluding capitalized interest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534,529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559,528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515,042</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income taxes, gross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17,639</w:t>
            </w:r>
          </w:p>
        </w:tc>
        <w:tc>
          <w:tcPr>
            <w:tcW w:w="0" w:type="dxa"/>
            <w:vAlign w:val="bottom"/>
          </w:tcPr>
          <w:p>
            <w:pPr>
              <w:spacing w:after="0"/>
              <w:rPr>
                <w:sz w:val="1"/>
                <w:szCs w:val="1"/>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Cash refunds from income taxes, gross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31,897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11,808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7,378</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into Qualified Settlement Funds for mesh legal settlements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336,648</w:t>
            </w:r>
          </w:p>
        </w:tc>
        <w:tc>
          <w:tcPr>
            <w:tcW w:w="0" w:type="dxa"/>
            <w:vAlign w:val="bottom"/>
          </w:tcPr>
          <w:p>
            <w:pPr>
              <w:spacing w:after="0"/>
              <w:rPr>
                <w:sz w:val="1"/>
                <w:szCs w:val="1"/>
                <w:color w:val="auto"/>
              </w:rPr>
            </w:pP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Cash paid out of Qualified Settlement Funds for mesh legal settlements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123,803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314,266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353,032</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cash distributions for mesh legal settlements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25,222</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2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Endo International plc is an Ireland-domiciled specialty pharmaceutical company that conducts business through its operating subsidiaries. Unless otherwise indicated or required by the context, references throughout to “Endo,” the “Company,” “we,” “our” or “us” refer to Endo International plc and its subsidiaries. The accompanying Consolidated Financial Statements of Endo International plc and its subsidiaries have been prepared in accordance with U.S. GAAP.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b w:val="1"/>
          <w:bCs w:val="1"/>
          <w:i w:val="1"/>
          <w:iCs w:val="1"/>
          <w:color w:val="auto"/>
        </w:rPr>
        <w:t>Consolidation and Basis of Presentation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Consolidated Financial Statements include the accounts of wholly-owned subsidiaries after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elimination of intercompany accounts and transactions.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Reclassifications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prior period amounts have been reclassified to conform to the current period presentation.</w:t>
      </w:r>
    </w:p>
    <w:p>
      <w:pPr>
        <w:spacing w:after="0" w:line="117"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b w:val="1"/>
          <w:bCs w:val="1"/>
          <w:i w:val="1"/>
          <w:iCs w:val="1"/>
          <w:color w:val="auto"/>
        </w:rPr>
        <w:t>Use of Estimates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preparation of our Consolidated Financial Statements in conformity with U.S. GAAP requires us to make estimates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assumptions that affect the amounts and disclosures in our Consolidated Financial Statements, including the notes thereto, and elsewhere in this report. For example, we are required to make significant estimates and assumptions related to revenue recognition, including sales deductions, long-lived assets, goodwill, other intangible assets, income taxes, contingencies, financial instruments and share-based compensation, among others. Some of these estimates can be subjective and complex. Uncertainties related to the continued magnitude and duration of the COVID-19 pandemic, the extent to which it will impact our estimated future financial results, worldwide macroeconomic conditions including interest rates, employment rates, consumer spending, health insurance coverage, the speed of the anticipated recovery and governmental and business reactions to the pandemic, including any possible re-initiation of shutdowns or renewed restrictions, have increased the complexity of developing these estimates, including the allowance for expected credit losses and the carrying amounts of long-lived assets, goodwill and other intangible assets. Although we believe that our estimates and assumptions are reasonable, there may be other reasonable estimates or assumptions that differ significantly from ours. Further, our estimates and assumptions are based upon information available at the time they were made. Actual results may differ significantly from our estimates, including as a result of COVID-19.</w:t>
      </w:r>
    </w:p>
    <w:p>
      <w:pPr>
        <w:spacing w:after="0" w:line="64" w:lineRule="exact"/>
        <w:rPr>
          <w:sz w:val="20"/>
          <w:szCs w:val="20"/>
          <w:color w:val="auto"/>
        </w:rPr>
      </w:pPr>
    </w:p>
    <w:p>
      <w:pPr>
        <w:ind w:right="200" w:firstLine="486"/>
        <w:spacing w:after="0" w:line="291" w:lineRule="auto"/>
        <w:rPr>
          <w:sz w:val="20"/>
          <w:szCs w:val="20"/>
          <w:color w:val="auto"/>
        </w:rPr>
      </w:pPr>
      <w:r>
        <w:rPr>
          <w:rFonts w:ascii="Arial" w:cs="Arial" w:eastAsia="Arial" w:hAnsi="Arial"/>
          <w:sz w:val="16"/>
          <w:szCs w:val="16"/>
          <w:color w:val="auto"/>
        </w:rPr>
        <w:t>We regularly evaluate our estimates and assumptions using historical experience and other factors, including the economic environment. As future events and their effects cannot be determined with precision, our estimates and assumptions may prove to be incomplete or inaccurate, or unanticipated events and circumstances may occur that might cause us to change those estimates and assumptions. Market conditions, such as illiquid credit markets, volatile equity markets, dramatic fluctuations in foreign currency rates and economic downturns, can increase the uncertainty already inherent in our estimates and assumptions. We also are subject to other risks and uncertainties that may cause actual results to differ from estimated amounts, such as changes in the healthcare environment, competition, litigation, legislation and regulations. We adjust our estimates and assumptions when facts and circumstances indicate the need for change. Those changes generally will be reflected in our Consolidated Financial Statements on a prospective basis.</w:t>
      </w:r>
    </w:p>
    <w:p>
      <w:pPr>
        <w:spacing w:after="0" w:line="58"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b w:val="1"/>
          <w:bCs w:val="1"/>
          <w:i w:val="1"/>
          <w:iCs w:val="1"/>
          <w:color w:val="auto"/>
        </w:rPr>
        <w:t>Customer, Product and Supplier Concentration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primarily sell our branded and generic products to wholesalers, retail drug store chains,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supermarket chains, mass merchandisers, distributors, mail order accounts, hospitals and government agencies. Our wholesalers and distributors purchase products from us and, in turn, supply products to retail drug store chains, independent pharmacies and MCOs. Customers in the managed care market include health maintenance organizations, nursing homes, hospitals, clinics, pharmacy benefit management companies and mail order customers. Net revenues from direct customers that accounted for 10% or more of our total consolidated revenues during the years ended December 31, 2020, 2019 and 2018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15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229"/>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AmerisourceBergen Corporation</w:t>
            </w:r>
          </w:p>
        </w:tc>
        <w:tc>
          <w:tcPr>
            <w:tcW w:w="9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McKesson Corporation</w:t>
            </w:r>
          </w:p>
        </w:tc>
        <w:tc>
          <w:tcPr>
            <w:tcW w:w="480" w:type="dxa"/>
            <w:vAlign w:val="bottom"/>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Cardinal Health, Inc.</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Revenues from these customers are included within each of our segments.</w:t>
      </w:r>
    </w:p>
    <w:p>
      <w:pPr>
        <w:spacing w:after="0" w:line="112" w:lineRule="exact"/>
        <w:rPr>
          <w:sz w:val="20"/>
          <w:szCs w:val="20"/>
          <w:color w:val="auto"/>
        </w:rPr>
      </w:pPr>
    </w:p>
    <w:p>
      <w:pPr>
        <w:ind w:right="220" w:firstLine="486"/>
        <w:spacing w:after="0" w:line="236" w:lineRule="auto"/>
        <w:rPr>
          <w:sz w:val="20"/>
          <w:szCs w:val="20"/>
          <w:color w:val="auto"/>
        </w:rPr>
      </w:pPr>
      <w:r>
        <w:rPr>
          <w:rFonts w:ascii="Arial" w:cs="Arial" w:eastAsia="Arial" w:hAnsi="Arial"/>
          <w:sz w:val="18"/>
          <w:szCs w:val="18"/>
          <w:color w:val="auto"/>
        </w:rPr>
        <w:t>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accounted for 27%, 18% and 15% of our 2020, 2019 and 2018 net revenues, respectively.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accounted for 11% of both our 2020 and 2019 net revenues. No other products accounted for 10% or more of our net revenues during the years ended December 31, 2020, 2019 or 2018.</w:t>
      </w:r>
    </w:p>
    <w:p>
      <w:pPr>
        <w:spacing w:after="0" w:line="94" w:lineRule="exact"/>
        <w:rPr>
          <w:sz w:val="20"/>
          <w:szCs w:val="20"/>
          <w:color w:val="auto"/>
        </w:rPr>
      </w:pPr>
    </w:p>
    <w:p>
      <w:pPr>
        <w:ind w:right="320" w:firstLine="486"/>
        <w:spacing w:after="0" w:line="308" w:lineRule="auto"/>
        <w:rPr>
          <w:sz w:val="20"/>
          <w:szCs w:val="20"/>
          <w:color w:val="auto"/>
        </w:rPr>
      </w:pPr>
      <w:r>
        <w:rPr>
          <w:rFonts w:ascii="Arial" w:cs="Arial" w:eastAsia="Arial" w:hAnsi="Arial"/>
          <w:sz w:val="17"/>
          <w:szCs w:val="17"/>
          <w:color w:val="auto"/>
        </w:rPr>
        <w:t>We have agreements with certain third parties for the manufacture, supply and processing of certain of our existing pharmaceutical products. See Note 16. Commitments and Contingencies for information on material manufacturing, supply and other service agreements.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We are subject to risks and uncertainties associated with these concentrations that could have a material adverse effect on our business, financial condition, results of operations and cash flows in future periods, including in the near term.</w:t>
      </w:r>
    </w:p>
    <w:p>
      <w:pPr>
        <w:spacing w:after="0" w:line="62"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b w:val="1"/>
          <w:bCs w:val="1"/>
          <w:i w:val="1"/>
          <w:iCs w:val="1"/>
          <w:color w:val="auto"/>
        </w:rPr>
        <w:t>Revenue Recognition and Sales Deductions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adopted ASC 606 on January 1, 2018 using the modified retrospective method for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revenue-generating contracts, including modifications thereto, that were not completed contracts at the date of adoption. ASC 606 applies to contracts with commercial substance that establish the payment terms and each party’s rights regarding the goods or services to be transferred, to the extent collection of substantially all of the related consideration is probable. Under ASC 606, we recognize revenue for contracts meeting these criteria when (or as) we satisfy our performance obligations for such contracts by transferring control of the underlying promised goods or services to our customers. The amount of revenue we recognize reflects our estimate of the consideration we expect to be entitled to receive, subject to certain constraints, in exchange for such goods or services. This amount is referred to as the transaction price.</w:t>
      </w:r>
    </w:p>
    <w:p>
      <w:pPr>
        <w:spacing w:after="0" w:line="69"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Our revenue consists almost entirely of sales of our products to customers, whereby we ship products to a customer pursuant to a purchase order. For contracts such as these, revenue is recognized when our contractual performance obligations have been fulfilled and control has been transferred to the customer pursuant to the contract’s terms, which is generally upon delivery to the customer. The amount of revenue we recognize is equal to the fixed amount of the transaction price, adjusted for our estimates of a number of significant variable components including, but not limited to, estimates for chargebacks, rebates, sales incentives and allowances, DSA and other fees for services, returns and allowances, which we collectively refer to as sales deductions. The Company utilizes the expected value method when estimating the amount of variable consideration to include in the transaction price with respect to each of the foregoing variable components and the most likely amount method when estimating the amount of variable consideration to include in the transaction price with respect to future potential milestone payments that do not qualify for the sales- and usage-based royalty exception. Variable consideration is included in the transaction price only to the extent it is probable that a significant revenue reversal will not occur when the uncertainty associated with the variable consideration is resolved. Payment terms for these types of contracts generally fall within 30 to 90 days of invoicing.</w:t>
      </w:r>
    </w:p>
    <w:p>
      <w:pPr>
        <w:spacing w:after="0" w:line="6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At December 31, 2020 and 2019, our reserves for sales deductions totaled $605.6 million and $660.3 million, respectively. These amounts relate primarily to our estimates of unsettled obligations for returns and allowances, rebates and chargebacks. The most significant sales deduction reserves relate to returns for the Branded Pharmaceuticals segment, and to returns, wholesaler chargebacks and rebates for the Sterile Injectables and Generic Pharmaceuticals segments. Our estimates are based on factors such as our direct and indirect customers’ buying patterns and the estimated resulting contractual deduction rates, historical experience, specific known market events and estimated future trends, current contractual and statutory requirements, industry data, estimated customer inventory levels, current contract sales terms with our direct and indirect customers and other competitive factors. Significant judgment and estimation is required in developing the foregoing and other relevant assumptions. The most significant sales deductions are further described below.</w:t>
      </w:r>
    </w:p>
    <w:p>
      <w:pPr>
        <w:spacing w:after="0" w:line="84" w:lineRule="exact"/>
        <w:rPr>
          <w:sz w:val="20"/>
          <w:szCs w:val="20"/>
          <w:color w:val="auto"/>
        </w:rPr>
      </w:pPr>
    </w:p>
    <w:p>
      <w:pPr>
        <w:ind w:right="280" w:firstLine="486"/>
        <w:spacing w:after="0" w:line="279" w:lineRule="auto"/>
        <w:rPr>
          <w:sz w:val="20"/>
          <w:szCs w:val="20"/>
          <w:color w:val="auto"/>
        </w:rPr>
      </w:pPr>
      <w:r>
        <w:rPr>
          <w:rFonts w:ascii="Arial" w:cs="Arial" w:eastAsia="Arial" w:hAnsi="Arial"/>
          <w:sz w:val="17"/>
          <w:szCs w:val="17"/>
          <w:i w:val="1"/>
          <w:iCs w:val="1"/>
          <w:color w:val="auto"/>
        </w:rPr>
        <w:t>Returns and Allowances—</w:t>
      </w:r>
      <w:r>
        <w:rPr>
          <w:rFonts w:ascii="Arial" w:cs="Arial" w:eastAsia="Arial" w:hAnsi="Arial"/>
          <w:sz w:val="17"/>
          <w:szCs w:val="17"/>
          <w:color w:val="auto"/>
        </w:rPr>
        <w:t>Consistent with industry practice, we maintain a return policy that allows our customers to return products within a</w:t>
      </w:r>
      <w:r>
        <w:rPr>
          <w:rFonts w:ascii="Arial" w:cs="Arial" w:eastAsia="Arial" w:hAnsi="Arial"/>
          <w:sz w:val="17"/>
          <w:szCs w:val="17"/>
          <w:i w:val="1"/>
          <w:iCs w:val="1"/>
          <w:color w:val="auto"/>
        </w:rPr>
        <w:t xml:space="preserve"> </w:t>
      </w:r>
      <w:r>
        <w:rPr>
          <w:rFonts w:ascii="Arial" w:cs="Arial" w:eastAsia="Arial" w:hAnsi="Arial"/>
          <w:sz w:val="17"/>
          <w:szCs w:val="17"/>
          <w:color w:val="auto"/>
        </w:rPr>
        <w:t>specified period of time both subsequent to and, in certain cases, prior to the products’ expiration dates. Our return policy generally allows customers to receive credit for expired products within six months prior to expiration and within between six months and one year after expiration. Our provision for returns and allowances consists of our estimates for future product returns, pricing adjustments and delivery errors.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Rebates—</w:t>
      </w:r>
      <w:r>
        <w:rPr>
          <w:rFonts w:ascii="Arial" w:cs="Arial" w:eastAsia="Arial" w:hAnsi="Arial"/>
          <w:sz w:val="18"/>
          <w:szCs w:val="18"/>
          <w:color w:val="auto"/>
        </w:rPr>
        <w:t>Our provision for rebates, sales incentives and other allowances can generally be categorized into the following four types:</w:t>
      </w:r>
    </w:p>
    <w:p>
      <w:pPr>
        <w:spacing w:after="0" w:line="23" w:lineRule="exact"/>
        <w:rPr>
          <w:sz w:val="20"/>
          <w:szCs w:val="20"/>
          <w:color w:val="auto"/>
        </w:rPr>
      </w:pPr>
    </w:p>
    <w:p>
      <w:pPr>
        <w:ind w:left="900" w:hanging="244"/>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direct rebates;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indirect rebates;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governmental rebates, including those for Medicaid, Medicare and TRICARE, among others;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managed-care rebates.</w:t>
      </w:r>
    </w:p>
    <w:p>
      <w:pPr>
        <w:spacing w:after="0" w:line="103" w:lineRule="exact"/>
        <w:rPr>
          <w:sz w:val="20"/>
          <w:szCs w:val="20"/>
          <w:color w:val="auto"/>
        </w:rPr>
      </w:pPr>
    </w:p>
    <w:p>
      <w:pPr>
        <w:ind w:right="80" w:firstLine="486"/>
        <w:spacing w:after="0" w:line="301" w:lineRule="auto"/>
        <w:rPr>
          <w:sz w:val="20"/>
          <w:szCs w:val="20"/>
          <w:color w:val="auto"/>
        </w:rPr>
      </w:pPr>
      <w:r>
        <w:rPr>
          <w:rFonts w:ascii="Arial" w:cs="Arial" w:eastAsia="Arial" w:hAnsi="Arial"/>
          <w:sz w:val="16"/>
          <w:szCs w:val="16"/>
          <w:color w:val="auto"/>
        </w:rPr>
        <w:t>We establish contracts with wholesalers, chain stores and indirect customers that provide for rebates, sales incentives, DSA fees and other allowances. Some customers receive rebates upon attaining established sales volumes. Direct rebates are generally rebates paid to direct purchasing customers based on a percentage applied to a direct customer’s purchases from us, including fees paid to wholesalers under our DSAs, as described above. Indirect rebates are rebates paid to indirect customers that have purchased our products from a wholesaler under a contract with us.</w:t>
      </w:r>
    </w:p>
    <w:p>
      <w:pPr>
        <w:spacing w:after="0" w:line="49" w:lineRule="exact"/>
        <w:rPr>
          <w:sz w:val="20"/>
          <w:szCs w:val="20"/>
          <w:color w:val="auto"/>
        </w:rPr>
      </w:pPr>
    </w:p>
    <w:p>
      <w:pPr>
        <w:ind w:right="180" w:firstLine="486"/>
        <w:spacing w:after="0" w:line="286" w:lineRule="auto"/>
        <w:rPr>
          <w:sz w:val="20"/>
          <w:szCs w:val="20"/>
          <w:color w:val="auto"/>
        </w:rPr>
      </w:pPr>
      <w:r>
        <w:rPr>
          <w:rFonts w:ascii="Arial" w:cs="Arial" w:eastAsia="Arial" w:hAnsi="Arial"/>
          <w:sz w:val="17"/>
          <w:szCs w:val="17"/>
          <w:color w:val="auto"/>
        </w:rPr>
        <w:t>We are subject to rebates on sales made under governmental and managed-care pricing programs based on relevant statutes with respect to governmental pricing programs and contractual sales terms with respect to managed-care providers and GPOs. For example, we are required to provide a discount on our brand-name products to patients who fall within the Medicare Part D coverage gap, also referred to as the donut hole.</w:t>
      </w:r>
    </w:p>
    <w:p>
      <w:pPr>
        <w:spacing w:after="0" w:line="57" w:lineRule="exact"/>
        <w:rPr>
          <w:sz w:val="20"/>
          <w:szCs w:val="20"/>
          <w:color w:val="auto"/>
        </w:rPr>
      </w:pPr>
    </w:p>
    <w:p>
      <w:pPr>
        <w:jc w:val="both"/>
        <w:ind w:right="120" w:firstLine="486"/>
        <w:spacing w:after="0" w:line="286" w:lineRule="auto"/>
        <w:rPr>
          <w:sz w:val="20"/>
          <w:szCs w:val="20"/>
          <w:color w:val="auto"/>
        </w:rPr>
      </w:pPr>
      <w:r>
        <w:rPr>
          <w:rFonts w:ascii="Arial" w:cs="Arial" w:eastAsia="Arial" w:hAnsi="Arial"/>
          <w:sz w:val="17"/>
          <w:szCs w:val="17"/>
          <w:color w:val="auto"/>
        </w:rPr>
        <w:t>We participate in various federal and state government-managed programs whereby discounts and rebates are provided to participating government entities. For example, Medicaid rebates are amounts owed based upon contractual agreements or legal requirements with public sector (Medicaid) benefit providers after the final dispensing of the product by a pharmacy to a benefit plan participant.</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i w:val="1"/>
          <w:iCs w:val="1"/>
          <w:color w:val="auto"/>
        </w:rPr>
        <w:t>Chargebacks—</w:t>
      </w:r>
      <w:r>
        <w:rPr>
          <w:rFonts w:ascii="Arial" w:cs="Arial" w:eastAsia="Arial" w:hAnsi="Arial"/>
          <w:sz w:val="17"/>
          <w:szCs w:val="17"/>
          <w:color w:val="auto"/>
        </w:rPr>
        <w:t>We market and sell products to both: (i) direct customers including wholesalers, distributors, warehousing pharmacy chains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direct purchasing groups and (ii) indirect customers including independent pharmacies, non-warehousing chains, MCOs, GPOs and government entities. We enter into agreements with certain of our indirect customers to establish contract pricing for certain products. These indirect customers then independently select a wholesaler from which to purchase the products at these contracted prices. Alternatively, we may pre-authorize wholesalers to offer specified contract pricing to other indirect customers. Under either arrangement, we provide credit to the wholesaler for any difference between the contracted price with the indirect customer and the wholesaler’s invoice price. Such credit is called a chargeback.</w:t>
      </w:r>
    </w:p>
    <w:p>
      <w:pPr>
        <w:spacing w:after="0" w:line="70"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 xml:space="preserve">Prior to the adoption of ASC 606, the Company accounted for revenue recognition and sales deductions under </w:t>
      </w:r>
      <w:r>
        <w:rPr>
          <w:rFonts w:ascii="Arial" w:cs="Arial" w:eastAsia="Arial" w:hAnsi="Arial"/>
          <w:sz w:val="18"/>
          <w:szCs w:val="18"/>
          <w:i w:val="1"/>
          <w:iCs w:val="1"/>
          <w:color w:val="auto"/>
        </w:rPr>
        <w:t>Accounting Standards Codification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Topic 605, Revenue Recognition</w:t>
      </w:r>
      <w:r>
        <w:rPr>
          <w:rFonts w:ascii="Arial" w:cs="Arial" w:eastAsia="Arial" w:hAnsi="Arial"/>
          <w:sz w:val="18"/>
          <w:szCs w:val="18"/>
          <w:color w:val="auto"/>
        </w:rPr>
        <w:t>.</w:t>
      </w:r>
    </w:p>
    <w:p>
      <w:pPr>
        <w:spacing w:after="0" w:line="62" w:lineRule="exact"/>
        <w:rPr>
          <w:sz w:val="20"/>
          <w:szCs w:val="20"/>
          <w:color w:val="auto"/>
        </w:rPr>
      </w:pPr>
    </w:p>
    <w:p>
      <w:pPr>
        <w:ind w:right="160" w:firstLine="486"/>
        <w:spacing w:after="0" w:line="327" w:lineRule="auto"/>
        <w:rPr>
          <w:sz w:val="20"/>
          <w:szCs w:val="20"/>
          <w:color w:val="auto"/>
        </w:rPr>
      </w:pPr>
      <w:r>
        <w:rPr>
          <w:rFonts w:ascii="Arial" w:cs="Arial" w:eastAsia="Arial" w:hAnsi="Arial"/>
          <w:sz w:val="15"/>
          <w:szCs w:val="15"/>
          <w:b w:val="1"/>
          <w:bCs w:val="1"/>
          <w:i w:val="1"/>
          <w:iCs w:val="1"/>
          <w:color w:val="auto"/>
        </w:rPr>
        <w:t>Contract Assets and Contract Liabilities</w:t>
      </w:r>
      <w:r>
        <w:rPr>
          <w:rFonts w:ascii="Arial" w:cs="Arial" w:eastAsia="Arial" w:hAnsi="Arial"/>
          <w:sz w:val="15"/>
          <w:szCs w:val="15"/>
          <w:color w:val="auto"/>
        </w:rPr>
        <w:t>. Contract assets represent the Company’s right to consideration in exchange for goods or services that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has transferred when that right is conditioned on something other than the passage of time. The Company records revenue and a corresponding contract asset when it fulfills a contractual performance obligation, but must also fulfill one or more additional performance obligations before being entitled to payment. Once the Company’s right to consideration becomes unconditional, the contract asset amount is reclassified as Accounts receivable.</w:t>
      </w:r>
    </w:p>
    <w:p>
      <w:pPr>
        <w:spacing w:after="0" w:line="32"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Contract liabilities represent the Company’s obligation to transfer goods or services to a customer. The Company records a contract liability generally upon receipt of consideration in advance of fulfilling one or more of its contractual performance obligations. Upon completing each performance obligation, the corresponding contract liability amount is reversed and revenue is recognized.</w:t>
      </w:r>
    </w:p>
    <w:p>
      <w:pPr>
        <w:spacing w:after="0" w:line="76"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Contract assets and liabilities related to rights and obligations arising from a single contract, or a series of contracts combined and accounted for as a single contract, are generally presented on a net basis. Contract assets and liabilities are further described in Note 13. Contract Assets and Liabilities.</w:t>
      </w:r>
    </w:p>
    <w:p>
      <w:pPr>
        <w:spacing w:after="0" w:line="1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i w:val="1"/>
          <w:iCs w:val="1"/>
          <w:color w:val="auto"/>
        </w:rPr>
        <w:t>Acquisitions</w:t>
      </w:r>
      <w:r>
        <w:rPr>
          <w:rFonts w:ascii="Arial" w:cs="Arial" w:eastAsia="Arial" w:hAnsi="Arial"/>
          <w:sz w:val="18"/>
          <w:szCs w:val="18"/>
          <w:color w:val="auto"/>
        </w:rPr>
        <w:t>. We evaluate acquisitions of assets and other similar transactions to assess whether or not the transaction should be accounted for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combination or asset acquisition by first applying a screen test to determine whether substantially all of the fair value of the gross assets acquired is concentrated in a single identifiable asset or group of similar identifiable assets. If so, the transaction is accounted for as an asset acquisition. If not, further determination is required as to whether or not we have acquired inputs and processes that have the ability to create outputs, which would meet the definition of a business. Significant judgment is required in the application of the screen test to determine whether an acquisition is a business combination or an acquisition of assets.</w:t>
      </w:r>
    </w:p>
    <w:p>
      <w:pPr>
        <w:spacing w:after="0" w:line="84"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Acquisitions meeting the definition of business combinations are accounted for using the acquisition method of accounting, which requires that the purchase price be allocated to the net assets acquired at their respective fair values. In a business combination, any excess of the purchase price over the estimated fair values of the net assets acquired is recorded as goodwill.</w:t>
      </w:r>
    </w:p>
    <w:p>
      <w:pPr>
        <w:spacing w:after="0" w:line="7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For asset acquisitions, a cost accumulation model is used to determine the cost of an asset acquisition. Direct transaction costs are recognized as part of the cost of an asset acquisition. We also evaluate which elements of a transaction should be accounted for as a part of an asset acquisition and which should be accounted for separately. The cost of an asset acquisition, including transaction costs, is allocated to identifiable assets acquired and liabilities assumed based on a relative fair value basis. Goodwill is not recognized in an asset acquisition. Any difference between the cost of an asset acquisition and the fair value of the net assets acquired is allocated to the non-monetary identifiable assets based on their relative fair values. Assets acquired as part of an asset acquisition that are considered to be in-process research and development are immediately expensed unless there is an alternative future use in other research and development projects.</w:t>
      </w:r>
    </w:p>
    <w:p>
      <w:pPr>
        <w:spacing w:after="0" w:line="87"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b w:val="1"/>
          <w:bCs w:val="1"/>
          <w:i w:val="1"/>
          <w:iCs w:val="1"/>
          <w:color w:val="auto"/>
        </w:rPr>
        <w:t>R&amp;D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Expenditures for R&amp;D are expensed as incurred. Total R&amp;D expenses include, among other things, the costs of discovery research, preclinical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early- and late-clinical development and drug formulation, clinical trials, materials, medical support of marketed products and certain upfront and milestone payments. R&amp;D spending also includes enterprise-wide costs which support our overall R&amp;D infrastructure. Property, plant and equipment that are acquired or constructed for R&amp;D activities and that have alternate future uses are capitalized and depreciated over their estimated useful lives on a straight-line basis. Contractual upfront and milestone payments made to third parties are generally: (i) expensed as incurred up to the point of regulatory approval and (ii) capitalized and amortized over the related product’s remaining useful life subsequent to regulatory approval. Amounts capitalized for such payments are included in Other intangibles, net in the Consolidated Balance Sheets.</w:t>
      </w:r>
    </w:p>
    <w:p>
      <w:pPr>
        <w:spacing w:after="0" w:line="69"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considers all highly liquid money market instruments with an original maturities of three months or 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purchased to be cash equivalents. At December 31, 2020 and 2019, cash equivalents were deposited in financial institutions and consisted almost entirely of immediately available fund balances. The Company maintains its cash deposits and cash equivalents with financial institutions it believes to be well-known and stable.</w:t>
      </w:r>
    </w:p>
    <w:p>
      <w:pPr>
        <w:spacing w:after="0" w:line="79"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b w:val="1"/>
          <w:bCs w:val="1"/>
          <w:i w:val="1"/>
          <w:iCs w:val="1"/>
          <w:color w:val="auto"/>
        </w:rPr>
        <w:t>Restricted Cash and Cash Equivalents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cash equivalents that are restricted as to withdrawal or use under the terms of certain contractual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are excluded from Cash and cash equivalents in the Consolidated Balance Sheets. For additional information see Note 7. Fair Value Measurements.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b w:val="1"/>
          <w:bCs w:val="1"/>
          <w:i w:val="1"/>
          <w:iCs w:val="1"/>
          <w:color w:val="auto"/>
        </w:rPr>
        <w:t>Accounts Receivable</w:t>
      </w:r>
      <w:r>
        <w:rPr>
          <w:rFonts w:ascii="Arial" w:cs="Arial" w:eastAsia="Arial" w:hAnsi="Arial"/>
          <w:sz w:val="18"/>
          <w:szCs w:val="18"/>
          <w:color w:val="auto"/>
        </w:rPr>
        <w:t>. The Company adopted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Standards Codification Topic 326, Financial Instruments-Credit Losses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(ASC 326)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1, 2020. For further discussion of the adoption, refer to the “Recent Accounting Pronouncements Adopted or Otherwise Effective as of December 31, 2020” section below. Subsequent to the adoption of ASC 326, our accounts receivable balance is stated at amortized cost less an allowance determined using the expected credit loss model. In addition, our accounts receivable balance is reduced by certain sales deduction reserves where we have the right of offset with the customer. We generally do not require collateral.</w:t>
      </w:r>
    </w:p>
    <w:p>
      <w:pPr>
        <w:spacing w:after="0" w:line="80" w:lineRule="exact"/>
        <w:rPr>
          <w:sz w:val="20"/>
          <w:szCs w:val="20"/>
          <w:color w:val="auto"/>
        </w:rPr>
      </w:pPr>
    </w:p>
    <w:p>
      <w:pPr>
        <w:ind w:right="40" w:firstLine="486"/>
        <w:spacing w:after="0" w:line="311" w:lineRule="auto"/>
        <w:rPr>
          <w:sz w:val="20"/>
          <w:szCs w:val="20"/>
          <w:color w:val="auto"/>
        </w:rPr>
      </w:pPr>
      <w:r>
        <w:rPr>
          <w:rFonts w:ascii="Arial" w:cs="Arial" w:eastAsia="Arial" w:hAnsi="Arial"/>
          <w:sz w:val="16"/>
          <w:szCs w:val="16"/>
          <w:b w:val="1"/>
          <w:bCs w:val="1"/>
          <w:i w:val="1"/>
          <w:iCs w:val="1"/>
          <w:color w:val="auto"/>
        </w:rPr>
        <w:t>Concentrations of Credit Risk and Credit Losses</w:t>
      </w:r>
      <w:r>
        <w:rPr>
          <w:rFonts w:ascii="Arial" w:cs="Arial" w:eastAsia="Arial" w:hAnsi="Arial"/>
          <w:sz w:val="16"/>
          <w:szCs w:val="16"/>
          <w:color w:val="auto"/>
        </w:rPr>
        <w:t>. Financial instruments that potentially subject us to significant concentrations of credit risk consist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of cash equivalents, restricted cash equivalents and accounts receivable. From time to time, we invest our excess cash in high-quality, liquid money market instruments maintained by major banks and financial institutions. We have not experienced any losses on our cash equivalents.</w:t>
      </w:r>
    </w:p>
    <w:p>
      <w:pPr>
        <w:spacing w:after="0" w:line="41"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With respect to our accounts receivable, we have no history of significant losses. Approximately 90% and 88% of our gross trade accounts receivable balances represent amounts due from three customers (Cardinal Health, Inc., McKesson Corporation and AmerisourceBergen Corporation) at December 31, 2020 and December 31, 2019, respectively. We perform ongoing credit evaluations of these and our other customers based on information available to us. We consider these and other factors, including changes in the composition and aging of our accounts receivable, in developing our allowance for expected credit losses. The estimated allowance was not material to the Company’s Consolidated Financial Statements at December 31, 2020 or December 31, 2019, nor were the changes to the allowance during any of the periods presented.</w:t>
      </w:r>
    </w:p>
    <w:p>
      <w:pPr>
        <w:spacing w:after="0" w:line="70"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We do not currently expect our current or future exposures to credit losses to have a significant impact on us. However, our customers’ ability to pay us on a timely basis, or at all, could be affected by factors specific to their respective businesses and/or by economic conditions, including those related to the COVID-19 pandemic, the extent of which cannot be fully predicted.</w:t>
      </w:r>
    </w:p>
    <w:p>
      <w:pPr>
        <w:spacing w:after="0" w:line="76"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b w:val="1"/>
          <w:bCs w:val="1"/>
          <w:i w:val="1"/>
          <w:iCs w:val="1"/>
          <w:color w:val="auto"/>
        </w:rPr>
        <w:t>Inventories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Inventories consist of raw materials, work-in-process and finished goods. Inventory that is in excess of the amount expected to be sold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one year is classified as long-term inventory and is recorded in Other assets in the Consolidated Balance Sheets. The Company capitalizes inventory costs associated with certain products prior to regulatory approval and product launch when it is reasonably certain, based on management’s judgment of future commercial use and net realizable value, that the pre-launch inventories will be saleable. The determination to capitalize is made on a product-by-product basis. The Company could be required to write down previously capitalized costs related to pre-launch inventories upon a change in such judgment, a denial or delay of approval by regulatory bodies, a delay in commercialization or other potential factors. Our inventories are stated at the lower of cost or net realizable value.</w:t>
      </w:r>
    </w:p>
    <w:p>
      <w:pPr>
        <w:spacing w:after="0" w:line="87"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Cost is determined by the first-in, first-out method. It includes materials, direct labor and an allocation of overhead, but excludes certain period charges and unallocated overheads that are charged to expense in the period in which they are incurred. Unallocated overheads can occur as a consequence of abnormally low production or idle facilities.</w:t>
      </w:r>
    </w:p>
    <w:p>
      <w:pPr>
        <w:spacing w:after="0" w:line="76"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Net realizable value is determined by the estimated selling prices in the ordinary course of business, less reasonably predictable costs of completion, disposal and transportation. When necessary, we write-down inventories to net realizable value based on forecasted demand and market and regulatory conditions, which may differ from actual results.</w:t>
      </w:r>
    </w:p>
    <w:p>
      <w:pPr>
        <w:spacing w:after="0" w:line="76"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b w:val="1"/>
          <w:bCs w:val="1"/>
          <w:i w:val="1"/>
          <w:iCs w:val="1"/>
          <w:color w:val="auto"/>
        </w:rPr>
        <w:t>Property, Plant and Equipment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plant and equipment is generally stated at cost less accumulated depreciation. Major improvements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capitalized, while routine maintenance and repairs are expensed as incurred. Costs incurred during the construction or development of property, plant and equipment are capitalized as assets under construction. Once an asset has been placed into service, depreciation expense is taken on a straight-line basis over the estimated useful life of the related assets or, in the case of leasehold improvements and finance lease assets, over the shorter of the estimated useful life and the lease term. As of December 31, 2020, the useful lives of our property, plant and equipment range from 1 year to up to 30 years for buildings, 15 years for machinery and equipment, 10 years for computer equipment and software and 10 years for furniture and fixtures.</w:t>
      </w:r>
    </w:p>
    <w:p>
      <w:pPr>
        <w:spacing w:after="0" w:line="56" w:lineRule="exact"/>
        <w:rPr>
          <w:sz w:val="20"/>
          <w:szCs w:val="20"/>
          <w:color w:val="auto"/>
        </w:rPr>
      </w:pPr>
    </w:p>
    <w:p>
      <w:pPr>
        <w:ind w:right="380" w:firstLine="486"/>
        <w:spacing w:after="0" w:line="263" w:lineRule="auto"/>
        <w:rPr>
          <w:sz w:val="20"/>
          <w:szCs w:val="20"/>
          <w:color w:val="auto"/>
        </w:rPr>
      </w:pPr>
      <w:r>
        <w:rPr>
          <w:rFonts w:ascii="Arial" w:cs="Arial" w:eastAsia="Arial" w:hAnsi="Arial"/>
          <w:sz w:val="18"/>
          <w:szCs w:val="18"/>
          <w:color w:val="auto"/>
        </w:rPr>
        <w:t>Depreciation expense is not recorded on assets held for sale. Gains and losses on disposals are included in Other (income) expense, net in the Consolidated Statements of Operations. As further described below under the heading “Long-Lived Asset Impairment Testing,” our property plant and equipment assets are also subject to impairment reviews.</w:t>
      </w:r>
    </w:p>
    <w:p>
      <w:pPr>
        <w:spacing w:after="0" w:line="76"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b w:val="1"/>
          <w:bCs w:val="1"/>
          <w:i w:val="1"/>
          <w:iCs w:val="1"/>
          <w:color w:val="auto"/>
        </w:rPr>
        <w:t>Computer Software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capitalizes certain costs incurred in connection with obtaining or developing internal-use software,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external direct costs of material and services, and payroll costs for employees directly involved with the software development. Capitalized software costs are included in Property, plant and equipment, net in the Consolidated Balance Sheets and depreciated beginning when the software project is substantially complete and the asset is ready for its intended use. Costs incurred during the preliminary project stage and post-implementation stage, as well as maintenance and training costs, are expensed as incurred.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b w:val="1"/>
          <w:bCs w:val="1"/>
          <w:i w:val="1"/>
          <w:iCs w:val="1"/>
          <w:color w:val="auto"/>
        </w:rPr>
        <w:t xml:space="preserve">Lease Accounting. </w:t>
      </w:r>
      <w:r>
        <w:rPr>
          <w:rFonts w:ascii="Arial" w:cs="Arial" w:eastAsia="Arial" w:hAnsi="Arial"/>
          <w:sz w:val="17"/>
          <w:szCs w:val="17"/>
          <w:color w:val="auto"/>
        </w:rPr>
        <w:t>The Company adopted ASC 842 on January 1, 2019 using the modified retrospective approach with an effective date of January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 2019 for leases that existed on that date. The Company elected to apply certain practical expedients permitted under the transition guidance within ASC 842 to leases that commenced before January 1, 2019, including the package of practical expedients, as well as the practical expedient permitting the Company to not assess whether certain land easements contain leases. Due to the Company's election of these practical expedients, the Company carried forward certain historical conclusions for existing contracts, including conclusions relating to initial direct costs and to the existence and classification of leases. ASC 842 applies to a number of arrangements to which the Company is party.</w:t>
      </w:r>
    </w:p>
    <w:p>
      <w:pPr>
        <w:spacing w:after="0" w:line="70"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Whenever the Company enters into a new arrangement, it must determine, at the inception date, whether the arrangement is or contains a lease. This determination generally depends on whether the arrangement conveys to the Company the right to control the use of an explicitly or implicitly identified asset for a period of time in exchange for consideration. Control of an underlying asset is conveyed to the Company if the Company obtains the rights to direct the use of and to obtain substantially all of the economic benefits from using the underlying asset.</w:t>
      </w:r>
    </w:p>
    <w:p>
      <w:pPr>
        <w:spacing w:after="0" w:line="63" w:lineRule="exact"/>
        <w:rPr>
          <w:sz w:val="20"/>
          <w:szCs w:val="20"/>
          <w:color w:val="auto"/>
        </w:rPr>
      </w:pPr>
    </w:p>
    <w:p>
      <w:pPr>
        <w:ind w:right="120" w:firstLine="486"/>
        <w:spacing w:after="0" w:line="291" w:lineRule="auto"/>
        <w:rPr>
          <w:sz w:val="20"/>
          <w:szCs w:val="20"/>
          <w:color w:val="auto"/>
        </w:rPr>
      </w:pPr>
      <w:r>
        <w:rPr>
          <w:rFonts w:ascii="Arial" w:cs="Arial" w:eastAsia="Arial" w:hAnsi="Arial"/>
          <w:sz w:val="16"/>
          <w:szCs w:val="16"/>
          <w:color w:val="auto"/>
        </w:rPr>
        <w:t>If a lease exists, the Company must then determine the separate lease and nonlease components of the arrangement. Each right to use an underlying asset conveyed by a lease arrangement should generally be considered a separate lease component if it both: (i) can benefit the Company without depending on other resources not readily available to the Company and (ii) does not significantly affect and is not significantly affected by other rights of use conveyed by the lease. Aspects of a lease arrangement that transfer other goods or services to the Company but do not meet the definition of lease components are considered nonlease components. The consideration owed by the Company pursuant to a lease arrangement is generally allocated to each lease and nonlease component for accounting purposes. However, the Company has elected, for all of its leases, to not separate lease and nonlease components. Each lease component is accounted for separately from other lease components, but together with the associated nonlease components.</w:t>
      </w:r>
    </w:p>
    <w:p>
      <w:pPr>
        <w:spacing w:after="0" w:line="58"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For each lease, the Company must then determine the lease term, the present value of lease payments and the classification of the lease as either an operating or finance lease.</w:t>
      </w:r>
    </w:p>
    <w:p>
      <w:pPr>
        <w:spacing w:after="0" w:line="62"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The lease term is the period of the lease not cancellable by the Company, together with periods covered by: (i) renewal options the Company is reasonably certain to exercise, (ii) termination options the Company is reasonably certain not to exercise and (iii) renewal or termination options that are controlled by the lessor.</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present value of lease payments is calculated based on:</w:t>
      </w:r>
    </w:p>
    <w:p>
      <w:pPr>
        <w:spacing w:after="0" w:line="23" w:lineRule="exact"/>
        <w:rPr>
          <w:sz w:val="20"/>
          <w:szCs w:val="20"/>
          <w:color w:val="auto"/>
        </w:rPr>
      </w:pPr>
    </w:p>
    <w:p>
      <w:pPr>
        <w:ind w:left="900" w:right="120" w:hanging="244"/>
        <w:spacing w:after="0" w:line="250" w:lineRule="auto"/>
        <w:tabs>
          <w:tab w:leader="none" w:pos="8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Lease payments—Lease payments include fixed and certain variable payments, less lease incentives, together with amounts probable of being owed by the Company under residual value guarantees and, if reasonably certain of being paid, the cost of certain renewal options and early termination penalties set forth in the lease arrangement. Lease payments exclude consideration that is not related to the transfer of goods and services to the Company.</w:t>
      </w:r>
    </w:p>
    <w:p>
      <w:pPr>
        <w:spacing w:after="0" w:line="1" w:lineRule="exact"/>
        <w:rPr>
          <w:rFonts w:ascii="Arial" w:cs="Arial" w:eastAsia="Arial" w:hAnsi="Arial"/>
          <w:sz w:val="18"/>
          <w:szCs w:val="18"/>
          <w:color w:val="auto"/>
        </w:rPr>
      </w:pPr>
    </w:p>
    <w:p>
      <w:pPr>
        <w:ind w:left="900" w:right="80" w:hanging="244"/>
        <w:spacing w:after="0" w:line="295" w:lineRule="auto"/>
        <w:tabs>
          <w:tab w:leader="none" w:pos="895" w:val="left"/>
        </w:tabs>
        <w:numPr>
          <w:ilvl w:val="0"/>
          <w:numId w:val="60"/>
        </w:numPr>
        <w:rPr>
          <w:rFonts w:ascii="Arial" w:cs="Arial" w:eastAsia="Arial" w:hAnsi="Arial"/>
          <w:sz w:val="16"/>
          <w:szCs w:val="16"/>
          <w:color w:val="auto"/>
        </w:rPr>
      </w:pPr>
      <w:r>
        <w:rPr>
          <w:rFonts w:ascii="Arial" w:cs="Arial" w:eastAsia="Arial" w:hAnsi="Arial"/>
          <w:sz w:val="16"/>
          <w:szCs w:val="16"/>
          <w:color w:val="auto"/>
        </w:rPr>
        <w:t>Discount rate—The discount rate must be determined based on information available to the Company upon the commencement of a lease. Lessees are required to use the rate implicit in the lease whenever such rate is readily available; however, as the implicit rate in the Company’s leases is generally not readily determinable, the Company generally uses the hypothetical incremental borrowing rate it would have to pay to borrow an amount equal to the lease payments, on a collateralized basis, over a timeframe similar to the lease term.</w:t>
      </w:r>
    </w:p>
    <w:p>
      <w:pPr>
        <w:spacing w:after="0" w:line="53"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In making the determination of whether a lease is an operating lease or a finance lease, the Company considers the lease term in relation to the economic life of the leased asset, the present value of lease payments in relation to the fair value of the leased asset and certain other factors, including the lessee’s and lessor’s rights, obligations and economic incentives over the term of the lease.</w:t>
      </w:r>
    </w:p>
    <w:p>
      <w:pPr>
        <w:spacing w:after="0" w:line="76"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Generally, upon the commencement of a lease, the Company will record a lease liability and a right-of-use asset. However, the Company has elected, for all underlying assets with initial lease terms of twelve months or less (known as short-term leases), to not recognize a lease liability or right-of-use asset. Lease liabilities are initially recorded at lease commencement as the present value of future lease payments. Right-of-use assets are initially recorded at lease commencement as the initial amount of the lease liability, together with the following, if applicable: (i) initial direct costs incurred by the lessee and (ii) lease payments made by the lessor, net of lease incentives received, prior to lease commencement.</w:t>
      </w:r>
    </w:p>
    <w:p>
      <w:pPr>
        <w:spacing w:after="0" w:line="68" w:lineRule="exact"/>
        <w:rPr>
          <w:sz w:val="20"/>
          <w:szCs w:val="20"/>
          <w:color w:val="auto"/>
        </w:rPr>
      </w:pPr>
    </w:p>
    <w:p>
      <w:pPr>
        <w:ind w:right="140" w:firstLine="486"/>
        <w:spacing w:after="0" w:line="271" w:lineRule="auto"/>
        <w:rPr>
          <w:sz w:val="20"/>
          <w:szCs w:val="20"/>
          <w:color w:val="auto"/>
        </w:rPr>
      </w:pPr>
      <w:r>
        <w:rPr>
          <w:rFonts w:ascii="Arial" w:cs="Arial" w:eastAsia="Arial" w:hAnsi="Arial"/>
          <w:sz w:val="17"/>
          <w:szCs w:val="17"/>
          <w:color w:val="auto"/>
        </w:rPr>
        <w:t>Over the lease term, the Company generally increases its lease liabilities using the effective interest method and decreases its lease liabilities for lease payments made. For finance leases, amortization expense and interest expense are recognized separately in the Consolidated Statements of Operations, with amortization expense generally recorded on a straight-line basis over the lease term and interest expense recorded using the effective interest method. For operating leases, a single lease cost is generally recognized in the Consolidated Statements of Operations on a straight-line basis over the lease term unless an impairment has been recorded with respect to a leased asset. Lease costs for short-term leases not recognized in the Consolidated Balance Sheets are recognized in the Consolidated Statements of Operations on a straight-line basis over the lease term. Variable lease costs not initially included in the lease liability and right-of-use asset impairment charges are expensed as incurred. Right-of-use assets are assessed for impairment, similar to other long-lived assets.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 xml:space="preserve">Prior to the adoption of ASC 842, the Company accounted for leases under </w:t>
      </w:r>
      <w:r>
        <w:rPr>
          <w:rFonts w:ascii="Arial" w:cs="Arial" w:eastAsia="Arial" w:hAnsi="Arial"/>
          <w:sz w:val="17"/>
          <w:szCs w:val="17"/>
          <w:i w:val="1"/>
          <w:iCs w:val="1"/>
          <w:color w:val="auto"/>
        </w:rPr>
        <w:t>Accounting Standards Codification Topic 840, Leases</w:t>
      </w:r>
      <w:r>
        <w:rPr>
          <w:rFonts w:ascii="Arial" w:cs="Arial" w:eastAsia="Arial" w:hAnsi="Arial"/>
          <w:sz w:val="17"/>
          <w:szCs w:val="17"/>
          <w:color w:val="auto"/>
        </w:rPr>
        <w:t xml:space="preserve"> (ASC 840).</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b w:val="1"/>
          <w:bCs w:val="1"/>
          <w:i w:val="1"/>
          <w:iCs w:val="1"/>
          <w:color w:val="auto"/>
        </w:rPr>
        <w:t xml:space="preserve">Cloud Computing Arrangements. </w:t>
      </w:r>
      <w:r>
        <w:rPr>
          <w:rFonts w:ascii="Arial" w:cs="Arial" w:eastAsia="Arial" w:hAnsi="Arial"/>
          <w:sz w:val="18"/>
          <w:szCs w:val="18"/>
          <w:color w:val="auto"/>
        </w:rPr>
        <w:t>The Company may from time to time incur costs in connection with hosting arrangements that are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contracts. Subsequent to the Company’s January 1, 2019 adoption of Accounting Standards Update (ASU) No. 2018-15, </w:t>
      </w:r>
      <w:r>
        <w:rPr>
          <w:rFonts w:ascii="Arial" w:cs="Arial" w:eastAsia="Arial" w:hAnsi="Arial"/>
          <w:sz w:val="18"/>
          <w:szCs w:val="18"/>
          <w:i w:val="1"/>
          <w:iCs w:val="1"/>
          <w:color w:val="auto"/>
        </w:rPr>
        <w:t>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Implementation Costs Incurred in a Cloud Computing Arrangement That Is a Service Contract </w:t>
      </w:r>
      <w:r>
        <w:rPr>
          <w:rFonts w:ascii="Arial" w:cs="Arial" w:eastAsia="Arial" w:hAnsi="Arial"/>
          <w:sz w:val="18"/>
          <w:szCs w:val="18"/>
          <w:color w:val="auto"/>
        </w:rPr>
        <w:t>(ASU 2018-15), the Company capitalizes any such</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expenses them over the terms of the respective hosting arrangements and subjects them to impairment testing consistent with other long-lived assets.</w:t>
      </w:r>
    </w:p>
    <w:p>
      <w:pPr>
        <w:spacing w:after="0" w:line="80"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b w:val="1"/>
          <w:bCs w:val="1"/>
          <w:i w:val="1"/>
          <w:iCs w:val="1"/>
          <w:color w:val="auto"/>
        </w:rPr>
        <w:t>Finite-Lived Intangible Assets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finite-lived intangible assets consist of license rights and developed technology. Upon acquisition, intangible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assets are generally initially recorded at fair value if acquired in a business combination, or at cost if otherwise. There are several methods that can be used to determine fair value. For intangible assets, we typically use an income approach. This approach starts with our forecast of all of the expected future net cash flows. Revenues are estimated based on relevant market size and growth factors, expected industry trends, individual project life cycles and, if applicable, the life of any estimated period of marketing exclusivity, such as that granted by a patent. The pricing, margins and expense levels of similar products are considered if available. For certain licensed assets, our estimates of future cash flows consider periods covered by renewal options to the extent we have the intent and ability, at the date of the estimate, to renew the underlying license agreements. These cash flows are then adjusted to present value by applying an appropriate discount rate that reflects the risk factors associated with the cash flow streams.</w:t>
      </w:r>
    </w:p>
    <w:p>
      <w:pPr>
        <w:spacing w:after="0" w:line="57"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To the extent an intangible asset is deemed to have a finite life, it is then amortized over its estimated useful life using either the straight-line method or, in the case of certain developed technology assets, an accelerated amortization model. The values of these various assets are subject to continuing scientific, medical and marketplace uncertainty. Factors giving rise to our initial estimate of useful lives are subject to change. Significant changes to any of these factors may result in adjustments to the useful life of the asset and an acceleration of related amortization expense, which could cause our net income and net income per share to decrease. Amortization expense is not recorded on assets held for sale.</w:t>
      </w:r>
    </w:p>
    <w:p>
      <w:pPr>
        <w:spacing w:after="0" w:line="68" w:lineRule="exact"/>
        <w:rPr>
          <w:sz w:val="20"/>
          <w:szCs w:val="20"/>
          <w:color w:val="auto"/>
        </w:rPr>
      </w:pPr>
    </w:p>
    <w:p>
      <w:pPr>
        <w:ind w:right="740" w:firstLine="486"/>
        <w:spacing w:after="0" w:line="277" w:lineRule="auto"/>
        <w:rPr>
          <w:sz w:val="20"/>
          <w:szCs w:val="20"/>
          <w:color w:val="auto"/>
        </w:rPr>
      </w:pPr>
      <w:r>
        <w:rPr>
          <w:rFonts w:ascii="Arial" w:cs="Arial" w:eastAsia="Arial" w:hAnsi="Arial"/>
          <w:sz w:val="18"/>
          <w:szCs w:val="18"/>
          <w:color w:val="auto"/>
        </w:rPr>
        <w:t>As further described below under the heading “Long-Lived Asset Impairment Testing,” our finite-lived intangible assets are also subject to impairment reviews.</w:t>
      </w:r>
    </w:p>
    <w:p>
      <w:pPr>
        <w:spacing w:after="0" w:line="62"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b w:val="1"/>
          <w:bCs w:val="1"/>
          <w:i w:val="1"/>
          <w:iCs w:val="1"/>
          <w:color w:val="auto"/>
        </w:rPr>
        <w:t>Developed Technology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developed technology assets subject to amortization have useful lives ranging from 4 years to 20 years, with a weighted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average useful life of approximately 11 years. We determine amortization periods and methods of amortization for developed technology assets based on our assessment of various factors impacting estimated useful lives and the timing and extent of estimated cash flows of the acquired assets, including the strength of the intellectual property protection of the product (if applicable), contractual terms and various other competitive and regulatory issues.</w:t>
      </w:r>
    </w:p>
    <w:p>
      <w:pPr>
        <w:spacing w:after="0" w:line="49"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b w:val="1"/>
          <w:bCs w:val="1"/>
          <w:i w:val="1"/>
          <w:iCs w:val="1"/>
          <w:color w:val="auto"/>
        </w:rPr>
        <w:t>License Rights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license rights subject to amortization have useful lives ranging from 12 years to 15 years, with a weighted average useful life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14 years. We determine amortization periods for licenses based on our assessment of various factors including the expected launch date of the product, the strength of the intellectual property protection of the product (if applicable), contractual terms and various other competitive, developmental and regulatory issues.</w:t>
      </w:r>
    </w:p>
    <w:p>
      <w:pPr>
        <w:spacing w:after="0" w:line="79"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b w:val="1"/>
          <w:bCs w:val="1"/>
          <w:i w:val="1"/>
          <w:iCs w:val="1"/>
          <w:color w:val="auto"/>
        </w:rPr>
        <w:t>Long-Lived Asset Impairment Testing</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Long-lived assets, including property, plant and equipment and finite-lived intangible assets, are assessed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impairment whenever events or changes in circumstances indicate the assets may not be recoverable. Recoverability of an asset that will continue to be used in our operations is measured by comparing the carrying amount of the asset to the forecasted undiscounted future cash flows related to the asset. In the event the carrying amount of the asset exceeds its undiscounted future cash flows and the carrying amount is not considered recoverable, impairment may exist. An impairment loss, if any, is measured as the excess of the asset’s carrying amount over its fair value, generally based on a discounted future cash flow method, independent appraisals or offers from prospective buyers. An impairment loss would be recognized in the Consolidated Statements of Operations in the period that the impairment occurs.</w:t>
      </w:r>
    </w:p>
    <w:p>
      <w:pPr>
        <w:spacing w:after="0" w:line="69"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b w:val="1"/>
          <w:bCs w:val="1"/>
          <w:i w:val="1"/>
          <w:iCs w:val="1"/>
          <w:color w:val="auto"/>
        </w:rPr>
        <w:t>In-Process Research and Development Assets</w:t>
      </w:r>
      <w:r>
        <w:rPr>
          <w:rFonts w:ascii="Arial" w:cs="Arial" w:eastAsia="Arial" w:hAnsi="Arial"/>
          <w:sz w:val="17"/>
          <w:szCs w:val="17"/>
          <w:color w:val="auto"/>
        </w:rPr>
        <w:t>. In-process research and development assets acquired in an asset acquisition are immediately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expensed unless there is an alternative future use in other research and development projects. Otherwise, acquired in-process research and development assets are generally recognized as indefinite-lived intangible assets. Such assets are generally initially recorded at fair value if acquired in a business combination, or at cost if otherwise. Indefinite-lived intangible assets are not subject to amortization. Instead, they are tested for impairment annually and when events or changes in circumstances indicate that the asset might be impaired. Our annual assessment is performed as of October 1. If the fair value of the intangible assets is less than its carrying amount, an impairment loss is recognized for the difference. Assets that receive regulatory approval are reclassified and accounted for as finite-lived intangible assets.</w:t>
      </w:r>
    </w:p>
    <w:p>
      <w:pPr>
        <w:spacing w:after="0" w:line="69" w:lineRule="exact"/>
        <w:rPr>
          <w:sz w:val="20"/>
          <w:szCs w:val="20"/>
          <w:color w:val="auto"/>
        </w:rPr>
      </w:pPr>
    </w:p>
    <w:p>
      <w:pPr>
        <w:ind w:right="620" w:firstLine="486"/>
        <w:spacing w:after="0" w:line="342" w:lineRule="auto"/>
        <w:rPr>
          <w:sz w:val="20"/>
          <w:szCs w:val="20"/>
          <w:color w:val="auto"/>
        </w:rPr>
      </w:pPr>
      <w:r>
        <w:rPr>
          <w:rFonts w:ascii="Arial" w:cs="Arial" w:eastAsia="Arial" w:hAnsi="Arial"/>
          <w:sz w:val="16"/>
          <w:szCs w:val="16"/>
          <w:b w:val="1"/>
          <w:bCs w:val="1"/>
          <w:i w:val="1"/>
          <w:iCs w:val="1"/>
          <w:color w:val="auto"/>
        </w:rPr>
        <w:t>Goodwill</w:t>
      </w:r>
      <w:r>
        <w:rPr>
          <w:rFonts w:ascii="Arial" w:cs="Arial" w:eastAsia="Arial" w:hAnsi="Arial"/>
          <w:sz w:val="16"/>
          <w:szCs w:val="16"/>
          <w:color w:val="auto"/>
        </w:rPr>
        <w:t>. While amortization expense is not recorded on goodwill, goodwill is subject to impairment reviews. An impairment assessment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conducted as of October 1, or more frequently whenever events or changes in circumstances indicate that the asset might be impaired.</w:t>
      </w:r>
    </w:p>
    <w:p>
      <w:pPr>
        <w:spacing w:after="0" w:line="16"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We perform the goodwill impairment test by estimating the fair value of the reporting units using an income approach that utilizes a discounted cash flow model or, where appropriate, a market approach. Any goodwill impairment charge we recognize for a reporting unit is equal to the lesser of (i) the total goodwill allocated to that reporting unit and (ii) the amount by which that reporting unit’s carrying amount exceeds its fair value.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b w:val="1"/>
          <w:bCs w:val="1"/>
          <w:i w:val="1"/>
          <w:iCs w:val="1"/>
          <w:color w:val="auto"/>
        </w:rPr>
        <w:t>Contingencies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is subject to various patent challenges, product liability claims, government investigations and other legal proceedings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ordinary course of business. Contingent accruals and legal settlements are recorded in the Consolidated Statements of Operations as Litigation-related and other contingencies, net (or as Discontinued operations, net of tax in the case of vaginal mesh matters) when the Company determines that a loss is both probable and reasonably estimable. Legal fees and other expenses related to litigation are expensed as incurred and included in Selling, general and administrative expenses in the Consolidated Statements of Operations (or as Discontinued operations, net of tax in the case of vaginal mesh matters).</w:t>
      </w:r>
    </w:p>
    <w:p>
      <w:pPr>
        <w:spacing w:after="0" w:line="53"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Due to the fact that legal proceedings and other contingencies are inherently unpredictable, our estimates of the probability and amount of any such liabilities involve significant judgment regarding future events. The Company records receivables from its insurance carriers only when the realization of the potential claim for recovery is considered probable.</w:t>
      </w:r>
    </w:p>
    <w:p>
      <w:pPr>
        <w:spacing w:after="0" w:line="76"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b w:val="1"/>
          <w:bCs w:val="1"/>
          <w:i w:val="1"/>
          <w:iCs w:val="1"/>
          <w:color w:val="auto"/>
        </w:rPr>
        <w:t>Contingent Consideration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Certain of the Company’s acquisitions involve the potential for future payment of consideration that is contingent upon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occurrence of a future event, such as (i) the achievement of specified regulatory, operational and/or commercial milestones or (ii) royalty payments, such as those relating to future product sales. Contingent consideration liabilities related to an asset acquisition are initially recorded when considered probable and reasonably estimable, which may occur subsequent to the acquisition date. Subsequent changes in the recorded amounts are generally recorded as adjustments to the cost of the acquired assets. Contingent consideration liabilities related to a business combination are initially recorded at fair value on the acquisition date using unobservable inputs. These inputs include the estimated amount and timing of projected cash flows, the probability of success (achievement of the contingent event) and the risk-adjusted discount rate used to present value the probability-weighted cash flows. Subsequent to the acquisition date, at each reporting period, the Company remeasures its contingent consideration liabilities to their current estimated fair values, with changes recorded in earnings. Changes to any of the inputs used in determining fair value may result in fair value adjustments that differ significantly from the actual remeasurement adjustments recognized.</w:t>
      </w:r>
    </w:p>
    <w:p>
      <w:pPr>
        <w:spacing w:after="0" w:line="7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b w:val="1"/>
          <w:bCs w:val="1"/>
          <w:i w:val="1"/>
          <w:iCs w:val="1"/>
          <w:color w:val="auto"/>
        </w:rPr>
        <w:t>Share Repurchases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accounts for the repurchase of ordinary shares, if any, at par value. Under applicable Irish law, ordinary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repurchased are retired and not displayed separately as treasury stock. Upon retirement of the ordinary shares, the Company records the difference between the weighted average cost of such ordinary shares and the par value of the ordinary shares as an adjustment to Accumulated deficit in the Consolidated Balance Sheets.</w:t>
      </w:r>
    </w:p>
    <w:p>
      <w:pPr>
        <w:spacing w:after="0" w:line="79"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b w:val="1"/>
          <w:bCs w:val="1"/>
          <w:i w:val="1"/>
          <w:iCs w:val="1"/>
          <w:color w:val="auto"/>
        </w:rPr>
        <w:t>Advertising Costs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costs are expensed as incurred and included in Selling, general and administrative expenses in the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of Operations. Advertising costs amounted to $76.0 million, $63.1 million and $49.6 million for the years ended December 31, 2020, 2019 and 2018, respectively.</w:t>
      </w:r>
    </w:p>
    <w:p>
      <w:pPr>
        <w:spacing w:after="0" w:line="76"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b w:val="1"/>
          <w:bCs w:val="1"/>
          <w:i w:val="1"/>
          <w:iCs w:val="1"/>
          <w:color w:val="auto"/>
        </w:rPr>
        <w:t>Cost of Revenues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 of revenues includes all costs directly related to bringing both purchased and manufactured products to their final selling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destination. Amounts include purchasing and receiving costs, direct and indirect costs to manufacture products including direct materials, direct labor and direct overhead expenses necessary to acquire and convert purchased materials and supplies into finished goods, royalties paid or owed by Endo on certain in-licensed products, inspection costs, depreciation of certain property, plant and equipment, amortization of intangible assets, lease costs, warehousing costs, freight charges, costs to operate our equipment and other shipping and handling costs, among others.</w:t>
      </w:r>
    </w:p>
    <w:p>
      <w:pPr>
        <w:spacing w:after="0" w:line="68"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b w:val="1"/>
          <w:bCs w:val="1"/>
          <w:i w:val="1"/>
          <w:iCs w:val="1"/>
          <w:color w:val="auto"/>
        </w:rPr>
        <w:t>Restructuring</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Restructuring charges related to nonretirement postemployment benefits that fall under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Standards Codification Topic</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712, Compensation—Nonretirement Postemployment Benefits </w:t>
      </w:r>
      <w:r>
        <w:rPr>
          <w:rFonts w:ascii="Arial" w:cs="Arial" w:eastAsia="Arial" w:hAnsi="Arial"/>
          <w:sz w:val="18"/>
          <w:szCs w:val="18"/>
          <w:color w:val="auto"/>
        </w:rPr>
        <w:t>(ASC 712) are recognized when the severance liability is determined to be probable of being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paid and reasonably estimable. One-time benefits related to restructurings, if any, are recognized in accordance with </w:t>
      </w:r>
      <w:r>
        <w:rPr>
          <w:rFonts w:ascii="Arial" w:cs="Arial" w:eastAsia="Arial" w:hAnsi="Arial"/>
          <w:sz w:val="18"/>
          <w:szCs w:val="18"/>
          <w:i w:val="1"/>
          <w:iCs w:val="1"/>
          <w:color w:val="auto"/>
        </w:rPr>
        <w:t>Accounting Standards Codification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420, Exit or Disposal Cost Obligations </w:t>
      </w:r>
      <w:r>
        <w:rPr>
          <w:rFonts w:ascii="Arial" w:cs="Arial" w:eastAsia="Arial" w:hAnsi="Arial"/>
          <w:sz w:val="18"/>
          <w:szCs w:val="18"/>
          <w:color w:val="auto"/>
        </w:rPr>
        <w:t>(ASC 420) when the programs are approved, the affected employees are identified, the terms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are established, it is determined changes to the plan are unlikely to occur and the arrangements are communicated to employees. Other restructuring costs are generally expensed as incurred.</w:t>
      </w:r>
    </w:p>
    <w:p>
      <w:pPr>
        <w:spacing w:after="0" w:line="84"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b w:val="1"/>
          <w:bCs w:val="1"/>
          <w:i w:val="1"/>
          <w:iCs w:val="1"/>
          <w:color w:val="auto"/>
        </w:rPr>
        <w:t>Share-Based Compensation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grants share-based compensation awards to certain employees and non-employee directors. Generally,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grant-date fair value of each award is recognized as expense over the requisite service period. However, expense recognition differs in the case of certain performance share units (PSUs) where the ultimate payout is performance-based. For these awards, at each reporting period, the Company estimates the ultimate payout and adjusts the cumulative expense based on its estimate and the percent of the requisite service period that has elapsed. Share-based compensation expense is reduced for estimated future forfeitures. These estimates are revised in future periods if actual forfeitures differ from the estimates. Changes in forfeiture estimates impact compensation expense in the period in which the change in estimate occurs. New ordinary shares are generally issued upon the exercise of stock options or vesting of stock awards by employees and non-employee directors. Refer to Note 19. Share-based Compensation for additional discussion, including the accounting treatment for long-term cash incentive awards that will be settled in ordinary shares.</w:t>
      </w:r>
    </w:p>
    <w:p>
      <w:pPr>
        <w:spacing w:after="0" w:line="5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b w:val="1"/>
          <w:bCs w:val="1"/>
          <w:i w:val="1"/>
          <w:iCs w:val="1"/>
          <w:color w:val="auto"/>
        </w:rPr>
        <w:t>Foreign Currency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operates in various jurisdictions both inside and outside of the U.S. While the Company’s reporting currency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U.S. dollar, the Company has concluded that certain of its distinct and separable operations have functional currencies other than the U.S. dollar. Further, certain of the Company’s operations hold assets and liabilities and recognize income and expenses denominated in various local currencies, which may differ from their functional currencies.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Assets and liabilities are first remeasured from local currency to functional currency, generally using end-of-period exchange rates. Foreign currency income and expenses are generally remeasured using average exchange rates in effect during the year. In the case of nonmonetary assets and liabilities such as inventories, prepaid expenses, property, plant and equipment, goodwill and other intangible assets, and related income statement amounts, such as depreciation expense, historical exchange rates are used for remeasurement. The net effect of remeasurement is included in Other (income) expense, net in the Consolidated Statements of Operations.</w:t>
      </w:r>
    </w:p>
    <w:p>
      <w:pPr>
        <w:spacing w:after="0" w:line="80"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As part of the Company’s consolidation process, assets and liabilities of entities with functional currencies other than the U.S. dollar are translated into U.S. dollars at end-of-period exchange rates. Income and expenses are translated using average exchange rates in effect during the year. The net effect of translation, as well as any foreign currency gains or losses on intercompany transactions considered to be of a long-term investment nature, are recognized as foreign currency translation, a component of Other comprehensive income (loss). Upon the sale or liquidation of an investment in a foreign operation, the Company records a reclassification adjustment out of Other comprehensive income (loss) for the corresponding accumulated amount of foreign currency translation gain or loss.</w:t>
      </w:r>
    </w:p>
    <w:p>
      <w:pPr>
        <w:spacing w:after="0" w:line="84"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accounts for income taxes under the asset and liability method, which requires the recognition of deferred tax assets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 The Company records net deferred tax assets to the extent it believes these assets will more likely than not be realized. In making such a determination, the Company considers all available positive and negative evidence, including projected future taxable income, tax-planning strategies and results of recent operations. In the event that the Company were to determine that it would be able to realize its deferred tax assets in the future in excess of their net recorded amount, the Company would make an adjustment to the deferred tax asset valuation allowance, which would reduce the provision for income tax.</w:t>
      </w:r>
    </w:p>
    <w:p>
      <w:pPr>
        <w:spacing w:after="0" w:line="7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Company records uncertain tax positions on the basis of a two-step process whereby the Company first determines whether it is more likely than not that the tax positions will be sustained based on the technical merits of the position and then measures those tax positions that meet the more-likely-than-not recognition threshold. The Company recognizes the largest amount of tax benefit that is greater than 50% likely to be realized upon ultimate settlement with the tax authority. The Company recognizes interest and penalties related to unrecognized tax benefits within the Income tax (benefit) expense line in the Consolidated Statements of Operations. Accrued interest and penalties are included within the related tax liability line in the Consolidated Balance Sheets.</w:t>
      </w:r>
    </w:p>
    <w:p>
      <w:pPr>
        <w:spacing w:after="0" w:line="84" w:lineRule="exact"/>
        <w:rPr>
          <w:sz w:val="20"/>
          <w:szCs w:val="20"/>
          <w:color w:val="auto"/>
        </w:rPr>
      </w:pPr>
    </w:p>
    <w:p>
      <w:pPr>
        <w:ind w:right="200" w:firstLine="486"/>
        <w:spacing w:after="0" w:line="311" w:lineRule="auto"/>
        <w:rPr>
          <w:sz w:val="20"/>
          <w:szCs w:val="20"/>
          <w:color w:val="auto"/>
        </w:rPr>
      </w:pPr>
      <w:r>
        <w:rPr>
          <w:rFonts w:ascii="Arial" w:cs="Arial" w:eastAsia="Arial" w:hAnsi="Arial"/>
          <w:sz w:val="16"/>
          <w:szCs w:val="16"/>
          <w:b w:val="1"/>
          <w:bCs w:val="1"/>
          <w:i w:val="1"/>
          <w:iCs w:val="1"/>
          <w:color w:val="auto"/>
        </w:rPr>
        <w:t>Comprehensive Income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Comprehensive income or loss includes all changes in equity during a period except those that resulted from investments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or distributions to a company’s shareholders. Other comprehensive income or loss refers to revenues, expenses, gains and losses that are included in comprehensive income, but excluded from net income as these amounts are recorded directly as an adjustment to shareholders’ equity.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Adopted or Otherwise Effective as of December 31, 2020</w:t>
      </w:r>
    </w:p>
    <w:p>
      <w:pPr>
        <w:spacing w:after="0" w:line="117"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 xml:space="preserve">In June 2016, the Financial Accounting Standards Board (FASB) issued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(ASU 2016-13). ASU 2016-13, together with a series of subsequently-issued related ASUs, has been codified in ASC 326. ASC 326 establishes new requirements for companies to estimate expected credit losses when measuring certain financial assets, including accounts receivable. The Company adopted ASC 326 using a modified retrospective approach with an effective date of January 1, 2020. The adoption of ASC 326 did not have a material impact on the Company’s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Astora</w:t>
      </w:r>
    </w:p>
    <w:p>
      <w:pPr>
        <w:spacing w:after="0" w:line="121"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The operating results of the Company’s Astora business, which the Board resolved to wind-down in 2016, are reported as Discontinued operations, net of tax in the Consolidated Statements of Operations for all periods presented. The following table provides the operating results of Astora Discontinued operations, net of tax, for the years ended December 31, 2020, 2019 and 2018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Borders>
              <w:bottom w:val="single" w:sz="8" w:color="CCEEFF"/>
            </w:tcBorders>
          </w:tcPr>
          <w:p>
            <w:pPr>
              <w:spacing w:after="0"/>
              <w:rPr>
                <w:sz w:val="16"/>
                <w:szCs w:val="16"/>
                <w:color w:val="auto"/>
              </w:rPr>
            </w:pPr>
          </w:p>
        </w:tc>
        <w:tc>
          <w:tcPr>
            <w:tcW w:w="2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Litigation-related and other contingencies, net</w:t>
            </w:r>
          </w:p>
        </w:tc>
        <w:tc>
          <w:tcPr>
            <w:tcW w:w="2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Loss from discontinued operations before income taxes</w:t>
            </w:r>
          </w:p>
        </w:tc>
        <w:tc>
          <w:tcPr>
            <w:tcW w:w="2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(67,847)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(62,052)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(69,702)</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Discontinued operations, net of tax</w:t>
            </w:r>
          </w:p>
        </w:tc>
        <w:tc>
          <w:tcPr>
            <w:tcW w:w="2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(63,520)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(62,052)</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(69,702)</w:t>
            </w:r>
          </w:p>
        </w:tc>
      </w:tr>
      <w:tr>
        <w:trPr>
          <w:trHeight w:val="728"/>
        </w:trPr>
        <w:tc>
          <w:tcPr>
            <w:tcW w:w="4740" w:type="dxa"/>
            <w:vAlign w:val="bottom"/>
          </w:tcPr>
          <w:p>
            <w:pPr>
              <w:spacing w:after="0"/>
              <w:rPr>
                <w:sz w:val="24"/>
                <w:szCs w:val="24"/>
                <w:color w:val="auto"/>
              </w:rPr>
            </w:pPr>
          </w:p>
        </w:tc>
        <w:tc>
          <w:tcPr>
            <w:tcW w:w="2520" w:type="dxa"/>
            <w:vAlign w:val="bottom"/>
            <w:gridSpan w:val="2"/>
          </w:tcPr>
          <w:p>
            <w:pPr>
              <w:jc w:val="right"/>
              <w:ind w:right="1370"/>
              <w:spacing w:after="0"/>
              <w:rPr>
                <w:sz w:val="20"/>
                <w:szCs w:val="20"/>
                <w:color w:val="auto"/>
              </w:rPr>
            </w:pPr>
            <w:r>
              <w:rPr>
                <w:rFonts w:ascii="Arial" w:cs="Arial" w:eastAsia="Arial" w:hAnsi="Arial"/>
                <w:sz w:val="18"/>
                <w:szCs w:val="18"/>
                <w:color w:val="auto"/>
              </w:rPr>
              <w:t>F-19</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Loss from discontinued operations before income taxes includes Litigation-related and other contingencies, net, mesh-related legal defense costs and certain other items.</w:t>
      </w:r>
    </w:p>
    <w:p>
      <w:pPr>
        <w:spacing w:after="0" w:line="62"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The cash flows from discontinued operating activities related to Astora included the impact of net losses of $63.5 million, $62.1 million and $69.7 million for the years ended December 31, 2020, 2019 and 2018, respectively, and the impact of cash activity related to vaginal mesh cases. There were no material net cash flows related to Astora discontinued investing activities during the years ended December 31, 2020, 2019 and 2018. There was no depreciation or amortization during the years ended December 31, 2020, 2019 and 2018 related to Astora.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w:t>
      </w:r>
    </w:p>
    <w:p>
      <w:pPr>
        <w:spacing w:after="0" w:line="121" w:lineRule="exact"/>
        <w:rPr>
          <w:sz w:val="20"/>
          <w:szCs w:val="20"/>
          <w:color w:val="auto"/>
        </w:rPr>
      </w:pPr>
    </w:p>
    <w:p>
      <w:pPr>
        <w:ind w:right="380" w:firstLine="486"/>
        <w:spacing w:after="0" w:line="308" w:lineRule="auto"/>
        <w:rPr>
          <w:sz w:val="20"/>
          <w:szCs w:val="20"/>
          <w:color w:val="auto"/>
        </w:rPr>
      </w:pPr>
      <w:r>
        <w:rPr>
          <w:rFonts w:ascii="Arial" w:cs="Arial" w:eastAsia="Arial" w:hAnsi="Arial"/>
          <w:sz w:val="17"/>
          <w:szCs w:val="17"/>
          <w:color w:val="auto"/>
        </w:rPr>
        <w:t>Set forth below are disclosures relating to restructuring initiatives that resulted in material expenses or cash expenditures during the years ended December 31, 2020, 2019 or 2018 or had material restructuring liabilities at either December 31, 2020 or December 31, 2019.</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Generic Pharmaceuticals Restructuring Initiative</w:t>
      </w:r>
    </w:p>
    <w:p>
      <w:pPr>
        <w:spacing w:after="0" w:line="121"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On July 21, 2017, the Company announced that, after completing a comprehensive review of its manufacturing network, it would be ceasing operations and closing its manufacturing and distribution facilities in Huntsville, Alabama (the 2017 Generic Pharmaceuticals Restructuring Initiative). The closure of the facilities was completed in June 2018 and the facilities were sold in the fourth quarter of 2018 for net cash proceeds of $23.1 million, resulting in a net gain on disposal of $12.5 million, which is included in Other (income) expense, net in the Consolidated Statements of Operations.</w:t>
      </w:r>
    </w:p>
    <w:p>
      <w:pPr>
        <w:spacing w:after="0" w:line="49" w:lineRule="exact"/>
        <w:rPr>
          <w:sz w:val="20"/>
          <w:szCs w:val="20"/>
          <w:color w:val="auto"/>
        </w:rPr>
      </w:pPr>
    </w:p>
    <w:p>
      <w:pPr>
        <w:ind w:right="360" w:firstLine="486"/>
        <w:spacing w:after="0" w:line="308" w:lineRule="auto"/>
        <w:rPr>
          <w:sz w:val="20"/>
          <w:szCs w:val="20"/>
          <w:color w:val="auto"/>
        </w:rPr>
      </w:pPr>
      <w:r>
        <w:rPr>
          <w:rFonts w:ascii="Arial" w:cs="Arial" w:eastAsia="Arial" w:hAnsi="Arial"/>
          <w:sz w:val="17"/>
          <w:szCs w:val="17"/>
          <w:color w:val="auto"/>
        </w:rPr>
        <w:t>As a result of the 2017 Generic Pharmaceuticals Restructuring Initiative, the Company incurred pre-tax charges of $61.6 million during the year ended December 31, 2018. This amount does not include the $12.5 million gain on the sale of the Huntsville facilities described above.</w:t>
      </w:r>
    </w:p>
    <w:p>
      <w:pPr>
        <w:spacing w:after="0" w:line="38"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The expenses in 2018 consisted of accelerated depreciation charges of $35.2 million, employee separation, continuity and other benefit-related costs of $9.1 million, asset impairment charges of $2.6 million and certain other charges of $14.7 million. These charges are included in the Generic Pharmaceuticals segment.</w:t>
      </w:r>
    </w:p>
    <w:p>
      <w:pPr>
        <w:spacing w:after="0" w:line="76"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Accelerated depreciation charges and employee separation, continuity and other benefit-related costs are primarily included in Cost of revenues in the Consolidated Statements of Operations. Impairment charges are included in Asset impairment charges. Certain other charges are included in both Cost of revenues and Selling, general and administrative expenses.</w:t>
      </w:r>
    </w:p>
    <w:p>
      <w:pPr>
        <w:spacing w:after="0" w:line="76"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The Company did not incur any other material pre-tax charges as a result of the 2017 Generic Pharmaceuticals Restructuring Initiative during the years ended December 31, 2020, 2019 and 2018 and does not expect to incur additional material pre-tax restructuring-related expenses related to this initiative.</w:t>
      </w:r>
    </w:p>
    <w:p>
      <w:pPr>
        <w:spacing w:after="0" w:line="76"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Changes to the liability for the 2017 Generic Pharmaceuticals Restructuring Initiative during the year ended December 31, 2019 were as follows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Employee</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Separation,</w:t>
            </w: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Continuity and</w:t>
            </w:r>
          </w:p>
        </w:tc>
        <w:tc>
          <w:tcPr>
            <w:tcW w:w="180" w:type="dxa"/>
            <w:vAlign w:val="bottom"/>
          </w:tcPr>
          <w:p>
            <w:pPr>
              <w:spacing w:after="0"/>
              <w:rPr>
                <w:sz w:val="11"/>
                <w:szCs w:val="11"/>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Certain Other</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Other Benefit-</w:t>
            </w:r>
          </w:p>
        </w:tc>
        <w:tc>
          <w:tcPr>
            <w:tcW w:w="1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Related Costs</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Restructuring Costs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balance as of December 31, 2018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4,239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center"/>
              <w:ind w:left="795"/>
              <w:spacing w:after="0"/>
              <w:rPr>
                <w:sz w:val="20"/>
                <w:szCs w:val="20"/>
                <w:color w:val="auto"/>
              </w:rPr>
            </w:pPr>
            <w:r>
              <w:rPr>
                <w:rFonts w:ascii="Arial" w:cs="Arial" w:eastAsia="Arial" w:hAnsi="Arial"/>
                <w:sz w:val="18"/>
                <w:szCs w:val="18"/>
                <w:color w:val="auto"/>
                <w:w w:val="89"/>
              </w:rPr>
              <w:t>48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payments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755"/>
              <w:spacing w:after="0"/>
              <w:rPr>
                <w:sz w:val="20"/>
                <w:szCs w:val="20"/>
                <w:color w:val="auto"/>
              </w:rPr>
            </w:pPr>
            <w:r>
              <w:rPr>
                <w:rFonts w:ascii="Arial" w:cs="Arial" w:eastAsia="Arial" w:hAnsi="Arial"/>
                <w:sz w:val="18"/>
                <w:szCs w:val="18"/>
                <w:color w:val="auto"/>
                <w:w w:val="93"/>
              </w:rPr>
              <w:t>(48)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balance as of December 31,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center"/>
              <w:ind w:left="795"/>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2018 Restructuring Initiative</w:t>
      </w:r>
    </w:p>
    <w:p>
      <w:pPr>
        <w:spacing w:after="0" w:line="121"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In January 2018, the Company initiated a restructuring initiative that included a reorganization of its Generic Pharmaceuticals segment’s R&amp;D network, a further simplification of the Company’s manufacturing networks and a company-wide unification of certain corporate functions (the January 2018 Restructuring Initiative).</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a result of the January 2018 Restructuring Initiative, the Company incurred pre-tax charges of $23.5 million during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03" w:lineRule="exact"/>
        <w:rPr>
          <w:sz w:val="20"/>
          <w:szCs w:val="20"/>
          <w:color w:val="auto"/>
        </w:rPr>
      </w:pPr>
    </w:p>
    <w:p>
      <w:pPr>
        <w:ind w:right="360" w:firstLine="486"/>
        <w:spacing w:after="0" w:line="259" w:lineRule="auto"/>
        <w:rPr>
          <w:sz w:val="20"/>
          <w:szCs w:val="20"/>
          <w:color w:val="auto"/>
        </w:rPr>
      </w:pPr>
      <w:r>
        <w:rPr>
          <w:rFonts w:ascii="Arial" w:cs="Arial" w:eastAsia="Arial" w:hAnsi="Arial"/>
          <w:sz w:val="18"/>
          <w:szCs w:val="18"/>
          <w:color w:val="auto"/>
        </w:rPr>
        <w:t>The expenses in 2018 consisted primarily of employee separation, continuity and other benefit-related costs of $21.7 million and certain other charges of $1.8 million. Of the total charges incurred, $10.6 million are included in the Generic Pharmaceuticals segment, $5.2 million are included in Corporate unallocated costs, $3.9 million are included in the Sterile Injectables segment, $3.1 million are included in the International Pharmaceuticals segment and $0.7 million are included in the Branded Pharmaceuticals segment.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480" w:firstLine="486"/>
        <w:spacing w:after="0" w:line="342" w:lineRule="auto"/>
        <w:rPr>
          <w:sz w:val="20"/>
          <w:szCs w:val="20"/>
          <w:color w:val="auto"/>
        </w:rPr>
      </w:pPr>
      <w:r>
        <w:rPr>
          <w:rFonts w:ascii="Arial" w:cs="Arial" w:eastAsia="Arial" w:hAnsi="Arial"/>
          <w:sz w:val="16"/>
          <w:szCs w:val="16"/>
          <w:color w:val="auto"/>
        </w:rPr>
        <w:t>Employee separation, continuity and other benefit-related costs are included in Cost of revenues, Selling, general and administrative and R&amp;D expenses in the Consolidated Statements of Operations. Certain other charges are primarily included in Selling, general and administrative expenses.</w:t>
      </w:r>
    </w:p>
    <w:p>
      <w:pPr>
        <w:spacing w:after="0" w:line="16" w:lineRule="exact"/>
        <w:rPr>
          <w:sz w:val="20"/>
          <w:szCs w:val="20"/>
          <w:color w:val="auto"/>
        </w:rPr>
      </w:pPr>
    </w:p>
    <w:p>
      <w:pPr>
        <w:jc w:val="both"/>
        <w:ind w:right="620" w:firstLine="486"/>
        <w:spacing w:after="0" w:line="342" w:lineRule="auto"/>
        <w:rPr>
          <w:sz w:val="20"/>
          <w:szCs w:val="20"/>
          <w:color w:val="auto"/>
        </w:rPr>
      </w:pPr>
      <w:r>
        <w:rPr>
          <w:rFonts w:ascii="Arial" w:cs="Arial" w:eastAsia="Arial" w:hAnsi="Arial"/>
          <w:sz w:val="16"/>
          <w:szCs w:val="16"/>
          <w:color w:val="auto"/>
        </w:rPr>
        <w:t>The Company did not incur any other material pre-tax charges as a result of the January 2018 Restructuring Initiative during the years ended December 31, 2020, 2019 and 2018 and does not expect to incur additional material pre-tax restructuring-related expenses related to this initiative.</w:t>
      </w:r>
    </w:p>
    <w:p>
      <w:pPr>
        <w:spacing w:after="0" w:line="16"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liability related to the January 2018 Restructuring Initiative was not material at December 31, 2020 or 2019 and there were no material changes to the liability during the years ended December 31, 2020 or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Restructuring Initiative</w:t>
      </w:r>
    </w:p>
    <w:p>
      <w:pPr>
        <w:spacing w:after="0" w:line="121"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On November 5, 2020, the Company announced the initiation of several strategic actions to further optimize the Company’s operations and increase overall efficiency (the 2020 Restructuring Initiative). These actions are expected to generate significant cost savings that will be reinvested, among other things, to support the Company’s key strategic priority to expand and enhance its product portfolio. These actions include the following:</w:t>
      </w:r>
    </w:p>
    <w:p>
      <w:pPr>
        <w:ind w:left="900" w:right="20" w:hanging="244"/>
        <w:spacing w:after="0" w:line="265" w:lineRule="auto"/>
        <w:tabs>
          <w:tab w:leader="none" w:pos="895" w:val="left"/>
        </w:tabs>
        <w:numPr>
          <w:ilvl w:val="0"/>
          <w:numId w:val="61"/>
        </w:numPr>
        <w:rPr>
          <w:rFonts w:ascii="Arial" w:cs="Arial" w:eastAsia="Arial" w:hAnsi="Arial"/>
          <w:sz w:val="17"/>
          <w:szCs w:val="17"/>
          <w:color w:val="auto"/>
        </w:rPr>
      </w:pPr>
      <w:r>
        <w:rPr>
          <w:rFonts w:ascii="Arial" w:cs="Arial" w:eastAsia="Arial" w:hAnsi="Arial"/>
          <w:sz w:val="17"/>
          <w:szCs w:val="17"/>
          <w:color w:val="auto"/>
        </w:rPr>
        <w:t>Optimizing the Company’s generic retail business cost structure by exiting manufacturing sites in Irvine, California and Chestnut Ridge, New York, as well as active pharmaceutical ingredient manufacturing and bioequivalence study sites in India. The sites will be exited in a phased approach that is expected to be completed in the second half of 2022. Certain products currently manufactured at the Irvine and Chestnut Ridge sites are expected to be transferred to other internal and external sites within the Company’s manufacturing network.</w:t>
      </w:r>
    </w:p>
    <w:p>
      <w:pPr>
        <w:ind w:left="900" w:right="160" w:hanging="244"/>
        <w:spacing w:after="0" w:line="250" w:lineRule="auto"/>
        <w:tabs>
          <w:tab w:leader="none" w:pos="8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Improving operating flexibility and reducing general and administrative costs by transferring certain transaction processing activities to third-party global business process service providers.</w:t>
      </w:r>
    </w:p>
    <w:p>
      <w:pPr>
        <w:ind w:left="900" w:right="100" w:hanging="244"/>
        <w:spacing w:after="0" w:line="260" w:lineRule="auto"/>
        <w:tabs>
          <w:tab w:leader="none" w:pos="8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Increasing organizational effectiveness by further integrating the Company’s commercial, operations and research and development functions, respectively, to support the Company’s key strategic priorities.</w:t>
      </w:r>
    </w:p>
    <w:p>
      <w:pPr>
        <w:spacing w:after="0" w:line="77" w:lineRule="exact"/>
        <w:rPr>
          <w:sz w:val="20"/>
          <w:szCs w:val="20"/>
          <w:color w:val="auto"/>
        </w:rPr>
      </w:pPr>
    </w:p>
    <w:p>
      <w:pPr>
        <w:ind w:right="520" w:firstLine="486"/>
        <w:spacing w:after="0" w:line="291" w:lineRule="auto"/>
        <w:rPr>
          <w:sz w:val="20"/>
          <w:szCs w:val="20"/>
          <w:color w:val="auto"/>
        </w:rPr>
      </w:pPr>
      <w:r>
        <w:rPr>
          <w:rFonts w:ascii="Arial" w:cs="Arial" w:eastAsia="Arial" w:hAnsi="Arial"/>
          <w:sz w:val="16"/>
          <w:szCs w:val="16"/>
          <w:color w:val="auto"/>
        </w:rPr>
        <w:t>As a result of the 2020 Restructuring Initiative, the Company’s global workforce is expected to be reduced by approximately 560 net full-time positions. The Company expects to realize annualized pre-tax cash savings (without giving effect to the costs described below) of approximately</w:t>
      </w:r>
    </w:p>
    <w:p>
      <w:pPr>
        <w:ind w:right="340"/>
        <w:spacing w:after="0" w:line="323" w:lineRule="auto"/>
        <w:rPr>
          <w:sz w:val="20"/>
          <w:szCs w:val="20"/>
          <w:color w:val="auto"/>
        </w:rPr>
      </w:pPr>
      <w:r>
        <w:rPr>
          <w:rFonts w:ascii="Arial" w:cs="Arial" w:eastAsia="Arial" w:hAnsi="Arial"/>
          <w:sz w:val="16"/>
          <w:szCs w:val="16"/>
          <w:color w:val="auto"/>
        </w:rPr>
        <w:t>$85 million to $95 million by the first half of 2023, primarily related to reductions in Cost of revenues of approximately $65 million to $70 million and other expenses, including Selling, general and administrative and Research and development expenses, of approximately $20 million to $25 million.</w:t>
      </w:r>
    </w:p>
    <w:p>
      <w:pPr>
        <w:spacing w:after="0" w:line="30" w:lineRule="exact"/>
        <w:rPr>
          <w:sz w:val="20"/>
          <w:szCs w:val="20"/>
          <w:color w:val="auto"/>
        </w:rPr>
      </w:pPr>
    </w:p>
    <w:p>
      <w:pPr>
        <w:ind w:right="120" w:firstLine="486"/>
        <w:spacing w:after="0" w:line="271" w:lineRule="auto"/>
        <w:rPr>
          <w:sz w:val="20"/>
          <w:szCs w:val="20"/>
          <w:color w:val="auto"/>
        </w:rPr>
      </w:pPr>
      <w:r>
        <w:rPr>
          <w:rFonts w:ascii="Arial" w:cs="Arial" w:eastAsia="Arial" w:hAnsi="Arial"/>
          <w:sz w:val="17"/>
          <w:szCs w:val="17"/>
          <w:color w:val="auto"/>
        </w:rPr>
        <w:t>As a result of the 2020 Restructuring Initiative, the Company expects to incur total pre-tax restructuring-related expenses of approximately $163 million to $183 million, of which approximately $135 million to $150 million relates to the Generic Pharmaceuticals segment, with the remaining amounts relating to our other segments and certain corporate unallocated costs. These estimated restructuring charges consist of accelerated depreciation charges of approximately $56 million to $66 million, asset impairment charges of approximately $7 million, employee separation, continuity and other benefit-related costs of approximately $85 million to $90 million and certain other restructuring costs of approximately $15 million to $20 million. Cash outlays associated with the 2020 Restructuring Initiative are expected to be approximately $100 million to $110 million and consist primarily of employee separation, continuity and other benefit-related costs and certain other restructuring costs. The Company anticipates these actions will be substantially completed by the end of 2022, with substantially all cash payments made by then.</w:t>
      </w:r>
    </w:p>
    <w:p>
      <w:pPr>
        <w:spacing w:after="0" w:line="70" w:lineRule="exact"/>
        <w:rPr>
          <w:sz w:val="20"/>
          <w:szCs w:val="20"/>
          <w:color w:val="auto"/>
        </w:rPr>
      </w:pPr>
    </w:p>
    <w:p>
      <w:pPr>
        <w:ind w:right="200" w:firstLine="486"/>
        <w:spacing w:after="0" w:line="269" w:lineRule="auto"/>
        <w:rPr>
          <w:sz w:val="20"/>
          <w:szCs w:val="20"/>
          <w:color w:val="auto"/>
        </w:rPr>
      </w:pPr>
      <w:r>
        <w:rPr>
          <w:rFonts w:ascii="Arial" w:cs="Arial" w:eastAsia="Arial" w:hAnsi="Arial"/>
          <w:sz w:val="18"/>
          <w:szCs w:val="18"/>
          <w:color w:val="auto"/>
        </w:rPr>
        <w:t>As a result of the 2020 Restructuring Initiative, the Company incurred the following pre-tax net charges during the year ended December 31, 2020 (in thousands):</w:t>
      </w:r>
    </w:p>
    <w:tbl>
      <w:tblPr>
        <w:tblLayout w:type="fixed"/>
        <w:tblInd w:w="0" w:type="dxa"/>
        <w:tblCellMar>
          <w:top w:w="0" w:type="dxa"/>
          <w:left w:w="0" w:type="dxa"/>
          <w:bottom w:w="0" w:type="dxa"/>
          <w:right w:w="0" w:type="dxa"/>
        </w:tblCellMar>
      </w:tblPr>
      <w:tr>
        <w:trPr>
          <w:trHeight w:val="192"/>
        </w:trPr>
        <w:tc>
          <w:tcPr>
            <w:tcW w:w="98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Accelerated depreciation charges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22,459</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Asset impairment charges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7,391</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Charges to increase excess inventory reserves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Employee separation, continuity and other benefit-related costs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60,025</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Certain other restructuring costs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23"/>
        </w:trPr>
        <w:tc>
          <w:tcPr>
            <w:tcW w:w="9880" w:type="dxa"/>
            <w:vAlign w:val="bottom"/>
          </w:tcPr>
          <w:p>
            <w:pPr>
              <w:ind w:left="1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93,636</w:t>
            </w:r>
          </w:p>
        </w:tc>
      </w:tr>
      <w:tr>
        <w:trPr>
          <w:trHeight w:val="20"/>
        </w:trPr>
        <w:tc>
          <w:tcPr>
            <w:tcW w:w="9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60" w:firstLine="486"/>
        <w:spacing w:after="0" w:line="342" w:lineRule="auto"/>
        <w:rPr>
          <w:sz w:val="20"/>
          <w:szCs w:val="20"/>
          <w:color w:val="auto"/>
        </w:rPr>
      </w:pPr>
      <w:r>
        <w:rPr>
          <w:rFonts w:ascii="Arial" w:cs="Arial" w:eastAsia="Arial" w:hAnsi="Arial"/>
          <w:sz w:val="16"/>
          <w:szCs w:val="16"/>
          <w:color w:val="auto"/>
        </w:rPr>
        <w:t>During the year ended December 31, 2020, these pre-tax net charges were primarily attributable to our Generic Pharmaceuticals segment, which incurred $79.0 million of these pre-tax net charges. The remaining amounts related to our other segments and certain corporate unallocated costs.</w:t>
      </w:r>
    </w:p>
    <w:p>
      <w:pPr>
        <w:spacing w:after="0" w:line="16" w:lineRule="exact"/>
        <w:rPr>
          <w:sz w:val="20"/>
          <w:szCs w:val="20"/>
          <w:color w:val="auto"/>
        </w:rPr>
      </w:pPr>
    </w:p>
    <w:p>
      <w:pPr>
        <w:ind w:right="400" w:firstLine="486"/>
        <w:spacing w:after="0" w:line="296" w:lineRule="auto"/>
        <w:rPr>
          <w:sz w:val="20"/>
          <w:szCs w:val="20"/>
          <w:color w:val="auto"/>
        </w:rPr>
      </w:pPr>
      <w:r>
        <w:rPr>
          <w:rFonts w:ascii="Arial" w:cs="Arial" w:eastAsia="Arial" w:hAnsi="Arial"/>
          <w:sz w:val="16"/>
          <w:szCs w:val="16"/>
          <w:color w:val="auto"/>
        </w:rPr>
        <w:t>As of December 31, 2020, cumulative amounts incurred to date include accelerated depreciation charges of approximately $22.5 million, asset impairment charges related to identifiable intangible assets and certain operating lease assets of approximately $7.4 million, charges to increase excess inventory reserves of approximately $3.1 million, employee separation, continuity and other benefit-related costs of approximately $60.0 million and certain other restructuring costs of approximately $0.7 million. Of these amounts, approximately $79.0 million were attributable to the Generic Pharmaceuticals segment, with the remaining amounts relating to our other segments and certain corporate unallocated costs.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40" w:firstLine="486"/>
        <w:spacing w:after="0" w:line="269" w:lineRule="auto"/>
        <w:rPr>
          <w:sz w:val="20"/>
          <w:szCs w:val="20"/>
          <w:color w:val="auto"/>
        </w:rPr>
      </w:pPr>
      <w:r>
        <w:rPr>
          <w:rFonts w:ascii="Arial" w:cs="Arial" w:eastAsia="Arial" w:hAnsi="Arial"/>
          <w:sz w:val="18"/>
          <w:szCs w:val="18"/>
          <w:color w:val="auto"/>
        </w:rPr>
        <w:t>During the year ended December 31, 2020, the pre-tax net charges related to the 2020 Restructuring Initiative were included in our Consolidated Statements of Operations as follows (in thousands):</w:t>
      </w:r>
    </w:p>
    <w:tbl>
      <w:tblPr>
        <w:tblLayout w:type="fixed"/>
        <w:tblInd w:w="0" w:type="dxa"/>
        <w:tblCellMar>
          <w:top w:w="0" w:type="dxa"/>
          <w:left w:w="0" w:type="dxa"/>
          <w:bottom w:w="0" w:type="dxa"/>
          <w:right w:w="0" w:type="dxa"/>
        </w:tblCellMar>
      </w:tblPr>
      <w:tr>
        <w:trPr>
          <w:trHeight w:val="192"/>
        </w:trPr>
        <w:tc>
          <w:tcPr>
            <w:tcW w:w="98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53,297</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27,857</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w:t>
            </w:r>
          </w:p>
        </w:tc>
      </w:tr>
      <w:tr>
        <w:trPr>
          <w:trHeight w:val="230"/>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impairment charges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7,391</w:t>
            </w:r>
          </w:p>
        </w:tc>
      </w:tr>
      <w:tr>
        <w:trPr>
          <w:trHeight w:val="248"/>
        </w:trPr>
        <w:tc>
          <w:tcPr>
            <w:tcW w:w="9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93,636</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to the liability for the 2020 Restructuring Initiative during the year ended December 31, 2020 were as follows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Employee</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Separation,</w:t>
            </w: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Continuity and</w:t>
            </w:r>
          </w:p>
        </w:tc>
        <w:tc>
          <w:tcPr>
            <w:tcW w:w="180" w:type="dxa"/>
            <w:vAlign w:val="bottom"/>
          </w:tcPr>
          <w:p>
            <w:pPr>
              <w:spacing w:after="0"/>
              <w:rPr>
                <w:sz w:val="11"/>
                <w:szCs w:val="11"/>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Certain Other</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Other Benefit-</w:t>
            </w:r>
          </w:p>
        </w:tc>
        <w:tc>
          <w:tcPr>
            <w:tcW w:w="1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Related Costs</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Restructuring Costs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balance as of December 31, 2019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Net charges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60,689</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Liability balance as of December 31,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58,338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59,002</w:t>
            </w:r>
          </w:p>
        </w:tc>
        <w:tc>
          <w:tcPr>
            <w:tcW w:w="0" w:type="dxa"/>
            <w:vAlign w:val="bottom"/>
          </w:tcPr>
          <w:p>
            <w:pPr>
              <w:spacing w:after="0"/>
              <w:rPr>
                <w:sz w:val="1"/>
                <w:szCs w:val="1"/>
                <w:color w:val="auto"/>
              </w:rPr>
            </w:pPr>
          </w:p>
        </w:tc>
      </w:tr>
      <w:tr>
        <w:trPr>
          <w:trHeight w:val="21"/>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Of the liability at December 31, 2020, $36.4 million is classified as current and is included in Accounts payable and accrued expenses in the Consolidated Balance Sheets, with the remaining amount classified as noncurrent and included in Other liabilities.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BioSpecifics Acquisition</w:t>
      </w:r>
    </w:p>
    <w:p>
      <w:pPr>
        <w:spacing w:after="0" w:line="121"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On October 19, 2020, the Company entered into an Agreement and Plan of Merger (the Merger Agreement) with Beta Acquisition Corp., a Delaware corporation and wholly-owned indirect subsidiary of the Company (Merger Sub) and BioSpecifics. Pursuant to the Merger Agreement, and on the terms and subject to the conditions thereof, Merger Sub commenced a tender offer (the Offer) on November 2, 2020 to acquire all of BioSpecifics’ issued and outstanding shares of common stock (BioSpecifics Shares) at a purchase price of $88.50 per BioSpecifics Share (Offer Price), net to the holder thereof in cash, subject to reduction for any applicable withholding taxes and without interest.</w:t>
      </w:r>
    </w:p>
    <w:p>
      <w:pPr>
        <w:spacing w:after="0" w:line="68"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Through the expiration of the Offer on December 1, 2020, approximately 6,159,975 BioSpecifics Shares were validly tendered and not validly withdrawn in accordance with the terms of the Offer. With all conditions to the Offer satisfied, on December 2, 2020, Merger Sub accepted for purchase all of the BioSpecifics Shares that were validly tendered and not validly withdrawn in accordance with the terms of the Offer.</w:t>
      </w:r>
    </w:p>
    <w:p>
      <w:pPr>
        <w:spacing w:after="0" w:line="57" w:lineRule="exact"/>
        <w:rPr>
          <w:sz w:val="20"/>
          <w:szCs w:val="20"/>
          <w:color w:val="auto"/>
        </w:rPr>
      </w:pPr>
    </w:p>
    <w:p>
      <w:pPr>
        <w:ind w:right="360" w:firstLine="486"/>
        <w:spacing w:after="0" w:line="311" w:lineRule="auto"/>
        <w:rPr>
          <w:sz w:val="20"/>
          <w:szCs w:val="20"/>
          <w:color w:val="auto"/>
        </w:rPr>
      </w:pPr>
      <w:r>
        <w:rPr>
          <w:rFonts w:ascii="Arial" w:cs="Arial" w:eastAsia="Arial" w:hAnsi="Arial"/>
          <w:sz w:val="16"/>
          <w:szCs w:val="16"/>
          <w:color w:val="auto"/>
        </w:rPr>
        <w:t>Following consummation of the Offer, on December 2, 2020, Merger Sub merged with and into BioSpecifics (the Merger) in accordance with Section 251(h) of the Delaware General Corporation Law without a vote on the adoption of the Merger Agreement by BioSpecifics’ stockholders, with BioSpecifics continuing as the surviving corporation in the Merger and thereby becoming a wholly-owned, indirect subsidiary of the Company.</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a result of the Merger, the BioSpecifics Shares ceased to be traded on the Nasdaq, effective as of market open on December 2, 2020.</w:t>
      </w:r>
    </w:p>
    <w:p>
      <w:pPr>
        <w:spacing w:after="0" w:line="129" w:lineRule="exact"/>
        <w:rPr>
          <w:sz w:val="20"/>
          <w:szCs w:val="20"/>
          <w:color w:val="auto"/>
        </w:rPr>
      </w:pPr>
    </w:p>
    <w:p>
      <w:pPr>
        <w:ind w:right="380" w:firstLine="486"/>
        <w:spacing w:after="0" w:line="238" w:lineRule="auto"/>
        <w:rPr>
          <w:sz w:val="20"/>
          <w:szCs w:val="20"/>
          <w:color w:val="auto"/>
        </w:rPr>
      </w:pPr>
      <w:r>
        <w:rPr>
          <w:rFonts w:ascii="Arial" w:cs="Arial" w:eastAsia="Arial" w:hAnsi="Arial"/>
          <w:sz w:val="18"/>
          <w:szCs w:val="18"/>
          <w:color w:val="auto"/>
        </w:rPr>
        <w:t>Prior to the Merger, BioSpecifics was a biopharmaceutical company involved in the development of injectable CCH that generated revenue primarily from its license agreement with us. We had a strategic relationship with BioSpecifics since 2004 pursuant to which BioSpecifics was, among other things, entitled to a royalty stream from us related to our collagenase-based therapies, including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QWO</w:t>
      </w:r>
      <w:r>
        <w:rPr>
          <w:rFonts w:ascii="Arial" w:cs="Arial" w:eastAsia="Arial" w:hAnsi="Arial"/>
          <w:sz w:val="23"/>
          <w:szCs w:val="23"/>
          <w:color w:val="auto"/>
          <w:vertAlign w:val="superscript"/>
        </w:rPr>
        <w:t>®</w:t>
      </w:r>
      <w:r>
        <w:rPr>
          <w:rFonts w:ascii="Arial" w:cs="Arial" w:eastAsia="Arial" w:hAnsi="Arial"/>
          <w:sz w:val="18"/>
          <w:szCs w:val="18"/>
          <w:color w:val="auto"/>
        </w:rPr>
        <w:t>. Subsequent to the acquisition, BioSpecifics became our wholly-owned consolidated subsidiary.</w:t>
      </w:r>
    </w:p>
    <w:p>
      <w:pPr>
        <w:spacing w:after="0" w:line="94"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color w:val="auto"/>
        </w:rPr>
        <w:t>The operating results of BioSpecifics are included in the accompanying Consolidated Statements of Operations from December 2, 2020 and the assets and liabilities of BioSpecifics are included in the Consolidated Balance Sheets as of December 31, 2020. Additionally, beginning in December 2020, the BioSpecifics acquisition had the effect of reducing future royalty payments, which had previously been recognized in Cost of revenues. The BioSpecifics acquisition also eliminates certain milestones and royalties we may otherwise have been required to pay for potential future indications of products or product candidates containing CCH, including those associated with our plantar fibromatosis and adhesive capsulitis development programs.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0" w:firstLine="486"/>
        <w:spacing w:after="0" w:line="292" w:lineRule="auto"/>
        <w:rPr>
          <w:sz w:val="20"/>
          <w:szCs w:val="20"/>
          <w:color w:val="auto"/>
        </w:rPr>
      </w:pPr>
      <w:r>
        <w:rPr>
          <w:rFonts w:ascii="Arial" w:cs="Arial" w:eastAsia="Arial" w:hAnsi="Arial"/>
          <w:sz w:val="16"/>
          <w:szCs w:val="16"/>
          <w:color w:val="auto"/>
        </w:rPr>
        <w:t>The acquired set of BioSpecifics assets and activities did not meet the definition of a business based on our assessment that the acquired set of activities lacks substantive processes that significantly contribute to the conversion of inputs into outputs. As a result, we accounted for the transaction as an asset acquisition. The consideration transferred in the asset acquisition was measured at cost, including transaction costs, assets transferred by the Company and royalty obligations discharged by the seller. The following table represents the costs accumulated to acquire BioSpecifics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1"/>
              </w:rPr>
              <w:t>December 2, 2020</w:t>
            </w:r>
          </w:p>
        </w:tc>
      </w:tr>
      <w:tr>
        <w:trPr>
          <w:trHeight w:val="229"/>
        </w:trPr>
        <w:tc>
          <w:tcPr>
            <w:tcW w:w="9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Base purchase price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650,029</w:t>
            </w:r>
          </w:p>
        </w:tc>
      </w:tr>
      <w:tr>
        <w:trPr>
          <w:trHeight w:val="229"/>
        </w:trPr>
        <w:tc>
          <w:tcPr>
            <w:tcW w:w="9880" w:type="dxa"/>
            <w:vAlign w:val="bottom"/>
          </w:tcPr>
          <w:p>
            <w:pPr>
              <w:ind w:left="40"/>
              <w:spacing w:after="0"/>
              <w:rPr>
                <w:sz w:val="20"/>
                <w:szCs w:val="20"/>
                <w:color w:val="auto"/>
              </w:rPr>
            </w:pPr>
            <w:r>
              <w:rPr>
                <w:rFonts w:ascii="Arial" w:cs="Arial" w:eastAsia="Arial" w:hAnsi="Arial"/>
                <w:sz w:val="18"/>
                <w:szCs w:val="18"/>
                <w:color w:val="auto"/>
              </w:rPr>
              <w:t>Vested employee options and benefits (2)</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10,280</w:t>
            </w:r>
          </w:p>
        </w:tc>
      </w:tr>
      <w:tr>
        <w:trPr>
          <w:trHeight w:val="230"/>
        </w:trPr>
        <w:tc>
          <w:tcPr>
            <w:tcW w:w="9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Transaction costs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10,268</w:t>
            </w:r>
          </w:p>
        </w:tc>
      </w:tr>
      <w:tr>
        <w:trPr>
          <w:trHeight w:val="229"/>
        </w:trPr>
        <w:tc>
          <w:tcPr>
            <w:tcW w:w="9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royalty obligations discharged (3)</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(14,909)</w:t>
            </w:r>
          </w:p>
        </w:tc>
      </w:tr>
      <w:tr>
        <w:trPr>
          <w:trHeight w:val="248"/>
        </w:trPr>
        <w:tc>
          <w:tcPr>
            <w:tcW w:w="9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acquisition consideration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655,668</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62"/>
        </w:numPr>
        <w:rPr>
          <w:rFonts w:ascii="Arial" w:cs="Arial" w:eastAsia="Arial" w:hAnsi="Arial"/>
          <w:sz w:val="13"/>
          <w:szCs w:val="13"/>
          <w:color w:val="auto"/>
        </w:rPr>
      </w:pPr>
      <w:r>
        <w:rPr>
          <w:rFonts w:ascii="Arial" w:cs="Arial" w:eastAsia="Arial" w:hAnsi="Arial"/>
          <w:sz w:val="13"/>
          <w:szCs w:val="13"/>
          <w:color w:val="auto"/>
        </w:rPr>
        <w:t>Represents cash consideration paid for 6,159,975 shares tendered and 1,184,980 remaining shares not tendered, but automatically cancelled and funded in an escrow account.</w:t>
      </w:r>
    </w:p>
    <w:p>
      <w:pPr>
        <w:spacing w:after="0" w:line="12" w:lineRule="exact"/>
        <w:rPr>
          <w:rFonts w:ascii="Arial" w:cs="Arial" w:eastAsia="Arial" w:hAnsi="Arial"/>
          <w:sz w:val="13"/>
          <w:szCs w:val="13"/>
          <w:color w:val="auto"/>
        </w:rPr>
      </w:pPr>
    </w:p>
    <w:p>
      <w:pPr>
        <w:ind w:left="580" w:right="220" w:hanging="329"/>
        <w:spacing w:after="0" w:line="241" w:lineRule="auto"/>
        <w:tabs>
          <w:tab w:leader="none" w:pos="572"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 accordance with BioSpecifics’ stock plan and employment arrangements, certain unvested options and employee bonus compensation immediately vested and accelerated, with no future service requirement, upon change in control. We have accounted for the accelerated vestings as a component of consideration transferred.</w:t>
      </w:r>
    </w:p>
    <w:p>
      <w:pPr>
        <w:ind w:left="560" w:hanging="309"/>
        <w:spacing w:after="0"/>
        <w:tabs>
          <w:tab w:leader="none" w:pos="5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Represents the total reduction to the base purchase price for the pre-acquisition accrued and unpaid royalty liability discharged on the date of closing.</w:t>
      </w:r>
    </w:p>
    <w:p>
      <w:pPr>
        <w:spacing w:after="0" w:line="101" w:lineRule="exact"/>
        <w:rPr>
          <w:sz w:val="20"/>
          <w:szCs w:val="20"/>
          <w:color w:val="auto"/>
        </w:rPr>
      </w:pPr>
    </w:p>
    <w:p>
      <w:pPr>
        <w:ind w:right="100" w:firstLine="486"/>
        <w:spacing w:after="0" w:line="269" w:lineRule="auto"/>
        <w:rPr>
          <w:sz w:val="20"/>
          <w:szCs w:val="20"/>
          <w:color w:val="auto"/>
        </w:rPr>
      </w:pPr>
      <w:r>
        <w:rPr>
          <w:rFonts w:ascii="Arial" w:cs="Arial" w:eastAsia="Arial" w:hAnsi="Arial"/>
          <w:sz w:val="18"/>
          <w:szCs w:val="18"/>
          <w:color w:val="auto"/>
        </w:rPr>
        <w:t>The following table summarizes the allocation of consideration transferred on a relative fair value basis to identifiable tangible and intangible assets and other information about the assets and liabilities acquired at the BioSpecifics acquisition date (in thousands):</w:t>
      </w:r>
    </w:p>
    <w:tbl>
      <w:tblPr>
        <w:tblLayout w:type="fixed"/>
        <w:tblInd w:w="0" w:type="dxa"/>
        <w:tblCellMar>
          <w:top w:w="0" w:type="dxa"/>
          <w:left w:w="0" w:type="dxa"/>
          <w:bottom w:w="0" w:type="dxa"/>
          <w:right w:w="0" w:type="dxa"/>
        </w:tblCellMar>
      </w:tblPr>
      <w:tr>
        <w:trPr>
          <w:trHeight w:val="192"/>
        </w:trPr>
        <w:tc>
          <w:tcPr>
            <w:tcW w:w="98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December 2, 2020</w:t>
            </w:r>
          </w:p>
        </w:tc>
      </w:tr>
      <w:tr>
        <w:trPr>
          <w:trHeight w:val="229"/>
        </w:trPr>
        <w:tc>
          <w:tcPr>
            <w:tcW w:w="9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21,073</w:t>
            </w:r>
          </w:p>
        </w:tc>
      </w:tr>
      <w:tr>
        <w:trPr>
          <w:trHeight w:val="229"/>
        </w:trPr>
        <w:tc>
          <w:tcPr>
            <w:tcW w:w="9880" w:type="dxa"/>
            <w:vAlign w:val="bottom"/>
          </w:tcPr>
          <w:p>
            <w:pPr>
              <w:ind w:left="40"/>
              <w:spacing w:after="0"/>
              <w:rPr>
                <w:sz w:val="20"/>
                <w:szCs w:val="20"/>
                <w:color w:val="auto"/>
              </w:rPr>
            </w:pPr>
            <w:r>
              <w:rPr>
                <w:rFonts w:ascii="Arial" w:cs="Arial" w:eastAsia="Arial" w:hAnsi="Arial"/>
                <w:sz w:val="18"/>
                <w:szCs w:val="18"/>
                <w:color w:val="auto"/>
              </w:rPr>
              <w:t>Investments (1)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89,050</w:t>
            </w:r>
          </w:p>
        </w:tc>
      </w:tr>
      <w:tr>
        <w:trPr>
          <w:trHeight w:val="229"/>
        </w:trPr>
        <w:tc>
          <w:tcPr>
            <w:tcW w:w="9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assets—developed technology</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673,796</w:t>
            </w:r>
          </w:p>
        </w:tc>
      </w:tr>
      <w:tr>
        <w:trPr>
          <w:trHeight w:val="230"/>
        </w:trPr>
        <w:tc>
          <w:tcPr>
            <w:tcW w:w="9880" w:type="dxa"/>
            <w:vAlign w:val="bottom"/>
          </w:tcPr>
          <w:p>
            <w:pPr>
              <w:ind w:left="40"/>
              <w:spacing w:after="0"/>
              <w:rPr>
                <w:sz w:val="20"/>
                <w:szCs w:val="20"/>
                <w:color w:val="auto"/>
              </w:rPr>
            </w:pPr>
            <w:r>
              <w:rPr>
                <w:rFonts w:ascii="Arial" w:cs="Arial" w:eastAsia="Arial" w:hAnsi="Arial"/>
                <w:sz w:val="18"/>
                <w:szCs w:val="18"/>
                <w:color w:val="auto"/>
              </w:rPr>
              <w:t>Intangible assets—in-process research and development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28,602</w:t>
            </w:r>
          </w:p>
        </w:tc>
      </w:tr>
      <w:tr>
        <w:trPr>
          <w:trHeight w:val="229"/>
        </w:trPr>
        <w:tc>
          <w:tcPr>
            <w:tcW w:w="9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acquired assets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(156,441)</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assumed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Net identifiable assets acquired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655,668</w:t>
            </w:r>
          </w:p>
        </w:tc>
      </w:tr>
      <w:tr>
        <w:trPr>
          <w:trHeight w:val="20"/>
        </w:trPr>
        <w:tc>
          <w:tcPr>
            <w:tcW w:w="9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200" w:hanging="329"/>
        <w:spacing w:after="0" w:line="255" w:lineRule="auto"/>
        <w:tabs>
          <w:tab w:leader="none" w:pos="572"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Investments acquired primarily consisted of debt securities acquired from BioSpecifics on December 2, 2020. Investments acquired were fully liquidated prior to December 31, 2020. No material gains or losses were recognized upon liquidation.</w:t>
      </w:r>
    </w:p>
    <w:p>
      <w:pPr>
        <w:spacing w:after="0" w:line="82" w:lineRule="exact"/>
        <w:rPr>
          <w:sz w:val="20"/>
          <w:szCs w:val="20"/>
          <w:color w:val="auto"/>
        </w:rPr>
      </w:pPr>
    </w:p>
    <w:p>
      <w:pPr>
        <w:ind w:right="60" w:firstLine="486"/>
        <w:spacing w:after="0" w:line="259" w:lineRule="auto"/>
        <w:rPr>
          <w:sz w:val="20"/>
          <w:szCs w:val="20"/>
          <w:color w:val="auto"/>
        </w:rPr>
      </w:pPr>
      <w:r>
        <w:rPr>
          <w:rFonts w:ascii="Arial" w:cs="Arial" w:eastAsia="Arial" w:hAnsi="Arial"/>
          <w:sz w:val="17"/>
          <w:szCs w:val="17"/>
          <w:color w:val="auto"/>
        </w:rPr>
        <w:t>The in-process research and development assets noted in the table above were expensed on the acquisition date and are included in Research and development in the Consolidated Statements of Operations. The Company concluded that the consideration allocable to developed technology acquired represented incremental costs associated with the Company’s existing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QWO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intangible assets (the Existing Intangible Assets). The Existing Intangible Assets were acquired by the Company as part of its acquisition of Auxilium Pharmaceuticals, Inc. (Auxilium), accounted for as a business combination at fair value during 2015. Auxilium had a pre-existing development and license agreement with BioSpecifics. The following table summarizes changes to the gross carrying amount, accumulated amortization and net book amount of the Existing Intangible Assets and the new intangible assets resulting from the BioSpecifics acquisition (in thousands):</w:t>
      </w:r>
    </w:p>
    <w:tbl>
      <w:tblPr>
        <w:tblLayout w:type="fixed"/>
        <w:tblInd w:w="0" w:type="dxa"/>
        <w:tblCellMar>
          <w:top w:w="0" w:type="dxa"/>
          <w:left w:w="0" w:type="dxa"/>
          <w:bottom w:w="0" w:type="dxa"/>
          <w:right w:w="0" w:type="dxa"/>
        </w:tblCellMar>
      </w:tblPr>
      <w:tr>
        <w:trPr>
          <w:trHeight w:val="150"/>
        </w:trPr>
        <w:tc>
          <w:tcPr>
            <w:tcW w:w="6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0" w:lineRule="exact"/>
              <w:rPr>
                <w:sz w:val="20"/>
                <w:szCs w:val="20"/>
                <w:color w:val="auto"/>
              </w:rPr>
            </w:pPr>
            <w:r>
              <w:rPr>
                <w:rFonts w:ascii="Arial" w:cs="Arial" w:eastAsia="Arial" w:hAnsi="Arial"/>
                <w:sz w:val="14"/>
                <w:szCs w:val="14"/>
                <w:b w:val="1"/>
                <w:bCs w:val="1"/>
                <w:color w:val="auto"/>
                <w:w w:val="94"/>
              </w:rPr>
              <w:t>Gross Carrying</w:t>
            </w:r>
          </w:p>
        </w:tc>
        <w:tc>
          <w:tcPr>
            <w:tcW w:w="200" w:type="dxa"/>
            <w:vAlign w:val="bottom"/>
          </w:tcPr>
          <w:p>
            <w:pPr>
              <w:spacing w:after="0"/>
              <w:rPr>
                <w:sz w:val="13"/>
                <w:szCs w:val="13"/>
                <w:color w:val="auto"/>
              </w:rPr>
            </w:pPr>
          </w:p>
        </w:tc>
        <w:tc>
          <w:tcPr>
            <w:tcW w:w="1280" w:type="dxa"/>
            <w:vAlign w:val="bottom"/>
            <w:gridSpan w:val="2"/>
          </w:tcPr>
          <w:p>
            <w:pPr>
              <w:ind w:left="80"/>
              <w:spacing w:after="0" w:line="150"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124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3"/>
              </w:rPr>
              <w:t>Net Book Amount</w:t>
            </w:r>
          </w:p>
        </w:tc>
        <w:tc>
          <w:tcPr>
            <w:tcW w:w="0" w:type="dxa"/>
            <w:vAlign w:val="bottom"/>
          </w:tcPr>
          <w:p>
            <w:pPr>
              <w:spacing w:after="0"/>
              <w:rPr>
                <w:sz w:val="1"/>
                <w:szCs w:val="1"/>
                <w:color w:val="auto"/>
              </w:rPr>
            </w:pPr>
          </w:p>
        </w:tc>
      </w:tr>
      <w:tr>
        <w:trPr>
          <w:trHeight w:val="188"/>
        </w:trPr>
        <w:tc>
          <w:tcPr>
            <w:tcW w:w="6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balances immediately prior to BioSpecifics acquisition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1,580,600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(725,123)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855,477</w:t>
            </w:r>
          </w:p>
        </w:tc>
        <w:tc>
          <w:tcPr>
            <w:tcW w:w="0" w:type="dxa"/>
            <w:vAlign w:val="bottom"/>
          </w:tcPr>
          <w:p>
            <w:pPr>
              <w:spacing w:after="0"/>
              <w:rPr>
                <w:sz w:val="1"/>
                <w:szCs w:val="1"/>
                <w:color w:val="auto"/>
              </w:rPr>
            </w:pPr>
          </w:p>
        </w:tc>
      </w:tr>
      <w:tr>
        <w:trPr>
          <w:trHeight w:val="230"/>
        </w:trPr>
        <w:tc>
          <w:tcPr>
            <w:tcW w:w="6940" w:type="dxa"/>
            <w:vAlign w:val="bottom"/>
          </w:tcPr>
          <w:p>
            <w:pPr>
              <w:ind w:left="40"/>
              <w:spacing w:after="0"/>
              <w:rPr>
                <w:sz w:val="20"/>
                <w:szCs w:val="20"/>
                <w:color w:val="auto"/>
              </w:rPr>
            </w:pPr>
            <w:r>
              <w:rPr>
                <w:rFonts w:ascii="Arial" w:cs="Arial" w:eastAsia="Arial" w:hAnsi="Arial"/>
                <w:sz w:val="18"/>
                <w:szCs w:val="18"/>
                <w:color w:val="auto"/>
              </w:rPr>
              <w:t>Additional costs incurred in connection with BioSpecifics acquisition</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673,796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673,796</w:t>
            </w:r>
          </w:p>
        </w:tc>
        <w:tc>
          <w:tcPr>
            <w:tcW w:w="0" w:type="dxa"/>
            <w:vAlign w:val="bottom"/>
          </w:tcPr>
          <w:p>
            <w:pPr>
              <w:spacing w:after="0"/>
              <w:rPr>
                <w:sz w:val="1"/>
                <w:szCs w:val="1"/>
                <w:color w:val="auto"/>
              </w:rPr>
            </w:pPr>
          </w:p>
        </w:tc>
      </w:tr>
      <w:tr>
        <w:trPr>
          <w:trHeight w:val="248"/>
        </w:trPr>
        <w:tc>
          <w:tcPr>
            <w:tcW w:w="6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balances immediately following BioSpecifics acquisition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2,254,396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(725,123)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1,529,273</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486"/>
        <w:spacing w:after="0" w:line="225" w:lineRule="auto"/>
        <w:rPr>
          <w:sz w:val="20"/>
          <w:szCs w:val="20"/>
          <w:color w:val="auto"/>
        </w:rPr>
      </w:pPr>
      <w:r>
        <w:rPr>
          <w:rFonts w:ascii="Arial" w:cs="Arial" w:eastAsia="Arial" w:hAnsi="Arial"/>
          <w:sz w:val="18"/>
          <w:szCs w:val="18"/>
          <w:color w:val="auto"/>
        </w:rPr>
        <w:t>Prior to the BioSpecifics acquisition, the Company had been amortizing the Existing Intangible Assets over their respective useful lives, which are the periods over which the assets are expected to contribute directly or indirectly to the future cash flows of the Company. The BioSpecifics acquisition significantly impacted the timing and amount of estimated future cash flows from sales of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QWO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therefore, the Company considered the acquisition to be a triggering event to remeasure the expected useful lives of the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QWO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intangible assets. Following the BioSpecifics acquisition, the Company determined that the weighted average useful life for the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QWO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intangible assets was approximately 13.6 years from the closing date of the BioSpecifics acquisition and, accordingly, the intangible assets will be amortized prospectively on a straight-line basis over their revised useful lives, which approximate the periods of economic benefits expected to be realized from future cash flows from sales of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QWO</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SEGMENT RESULTS</w:t>
      </w:r>
    </w:p>
    <w:p>
      <w:pPr>
        <w:spacing w:after="0" w:line="121"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The Company’s four reportable business segments are Branded Pharmaceuticals, Sterile Injectables, Generic Pharmaceuticals and International Pharmaceuticals. These segments reflect the level at which the CODM regularly reviews financial information to assess performance and to make decisions about resources to be allocated. Each segment derives revenue from the sales or licensing of its respective products and is discussed in more detail below.</w:t>
      </w:r>
    </w:p>
    <w:p>
      <w:pPr>
        <w:spacing w:after="0" w:line="41"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We evaluate segment performance based on Segment adjusted income from continuing operations before income tax, which we define as Loss from continuing operations before income tax and before certain upfront and milestone payments to partners; acquisition-related and integration items, including transaction costs and changes in the fair value of contingent consideration; cost reduction and integration-related initiatives such as separation benefits, continuity payments, other exit costs and certain costs associated with integrating an acquired company’s operations; asset impairment charges; amortization of intangible assets; inventory step-up recorded as part of our acquisitions; litigation-related and other contingent matters; certain legal costs; gains or losses from early termination of debt; debt modification costs; gains or losses from the sales of businesses and other assets; foreign currency gains or losses on intercompany financing arrangements; and certain other items. Effective January 1, 2020, the Company revised its definition of Segment adjusted income from continuing operations before income tax to exclude certain legal costs in order to reflect changes in how the CODM reviews segment performance. The Company believes that such costs are not indicative of business performance and that excluding them more accurately reflects each segment’s results and better enables management to compare financial results between periods. Prior period results have been adjusted to reflect this change. Specifically, for the year ended December 31, 2019, certain legal costs of $64.0 million and $1.3 million have been excluded from our Branded Pharmaceuticals and Generic Pharmaceuticals segments, respectively, and for the year ended December 31, 2018, certain legal costs of $43.8 million have been excluded from our Branded Pharmaceuticals segment, resulting in increases to the Segment adjusted income from continuing operations before income tax for these segments. This change had no impact on our Total consolidated loss from continuing operations before income tax.</w:t>
      </w:r>
    </w:p>
    <w:p>
      <w:pPr>
        <w:spacing w:after="0" w:line="63"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Certain of the corporate expenses incurred by the Company are not directly attributable to any specific segment. Accordingly, these costs are not allocated to any of the Company’s segments and are included in the results below as “Corporate unallocated costs.” Interest income and expense are also considered corporate items and not allocated to any of the Company’s segments. The Company’s Total segment adjusted income from continuing operations before income tax is equal to the combined results of each of its segments.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Branded Pharmaceuticals</w:t>
      </w:r>
    </w:p>
    <w:p>
      <w:pPr>
        <w:spacing w:after="0" w:line="121" w:lineRule="exact"/>
        <w:rPr>
          <w:sz w:val="20"/>
          <w:szCs w:val="20"/>
          <w:color w:val="auto"/>
        </w:rPr>
      </w:pPr>
    </w:p>
    <w:p>
      <w:pPr>
        <w:jc w:val="both"/>
        <w:ind w:right="160" w:firstLine="486"/>
        <w:spacing w:after="0" w:line="238" w:lineRule="auto"/>
        <w:rPr>
          <w:sz w:val="20"/>
          <w:szCs w:val="20"/>
          <w:color w:val="auto"/>
        </w:rPr>
      </w:pPr>
      <w:r>
        <w:rPr>
          <w:rFonts w:ascii="Arial" w:cs="Arial" w:eastAsia="Arial" w:hAnsi="Arial"/>
          <w:sz w:val="18"/>
          <w:szCs w:val="18"/>
          <w:color w:val="auto"/>
        </w:rPr>
        <w:t>Our Branded Pharmaceuticals segment includes a variety of branded products to treat and manage conditions in the areas of urology, orthopedics, endocrinology and bariatrics, among others. The products in this segment include XIAFLEX</w:t>
      </w:r>
      <w:r>
        <w:rPr>
          <w:rFonts w:ascii="Arial" w:cs="Arial" w:eastAsia="Arial" w:hAnsi="Arial"/>
          <w:sz w:val="23"/>
          <w:szCs w:val="23"/>
          <w:color w:val="auto"/>
          <w:vertAlign w:val="superscript"/>
        </w:rPr>
        <w:t>®</w:t>
      </w:r>
      <w:r>
        <w:rPr>
          <w:rFonts w:ascii="Arial" w:cs="Arial" w:eastAsia="Arial" w:hAnsi="Arial"/>
          <w:sz w:val="18"/>
          <w:szCs w:val="18"/>
          <w:color w:val="auto"/>
        </w:rPr>
        <w:t>, 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 NASCOBAL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Nasal Spray, AVEED</w:t>
      </w:r>
      <w:r>
        <w:rPr>
          <w:rFonts w:ascii="Arial" w:cs="Arial" w:eastAsia="Arial" w:hAnsi="Arial"/>
          <w:sz w:val="23"/>
          <w:szCs w:val="23"/>
          <w:color w:val="auto"/>
          <w:vertAlign w:val="superscript"/>
        </w:rPr>
        <w:t>®</w:t>
      </w:r>
      <w:r>
        <w:rPr>
          <w:rFonts w:ascii="Arial" w:cs="Arial" w:eastAsia="Arial" w:hAnsi="Arial"/>
          <w:sz w:val="18"/>
          <w:szCs w:val="18"/>
          <w:color w:val="auto"/>
        </w:rPr>
        <w:t>, PERCOCET</w:t>
      </w:r>
      <w:r>
        <w:rPr>
          <w:rFonts w:ascii="Arial" w:cs="Arial" w:eastAsia="Arial" w:hAnsi="Arial"/>
          <w:sz w:val="23"/>
          <w:szCs w:val="23"/>
          <w:color w:val="auto"/>
          <w:vertAlign w:val="superscript"/>
        </w:rPr>
        <w:t>®</w:t>
      </w:r>
      <w:r>
        <w:rPr>
          <w:rFonts w:ascii="Arial" w:cs="Arial" w:eastAsia="Arial" w:hAnsi="Arial"/>
          <w:sz w:val="18"/>
          <w:szCs w:val="18"/>
          <w:color w:val="auto"/>
        </w:rPr>
        <w:t>, TESTOPEL</w:t>
      </w:r>
      <w:r>
        <w:rPr>
          <w:rFonts w:ascii="Arial" w:cs="Arial" w:eastAsia="Arial" w:hAnsi="Arial"/>
          <w:sz w:val="23"/>
          <w:szCs w:val="23"/>
          <w:color w:val="auto"/>
          <w:vertAlign w:val="superscript"/>
        </w:rPr>
        <w:t>®</w:t>
      </w:r>
      <w:r>
        <w:rPr>
          <w:rFonts w:ascii="Arial" w:cs="Arial" w:eastAsia="Arial" w:hAnsi="Arial"/>
          <w:sz w:val="18"/>
          <w:szCs w:val="18"/>
          <w:color w:val="auto"/>
        </w:rPr>
        <w:t>, EDEX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LIDODERM</w:t>
      </w:r>
      <w:r>
        <w:rPr>
          <w:rFonts w:ascii="Arial" w:cs="Arial" w:eastAsia="Arial" w:hAnsi="Arial"/>
          <w:sz w:val="23"/>
          <w:szCs w:val="23"/>
          <w:color w:val="auto"/>
          <w:vertAlign w:val="superscript"/>
        </w:rPr>
        <w:t>®</w:t>
      </w:r>
      <w:r>
        <w:rPr>
          <w:rFonts w:ascii="Arial" w:cs="Arial" w:eastAsia="Arial" w:hAnsi="Arial"/>
          <w:sz w:val="18"/>
          <w:szCs w:val="18"/>
          <w:color w:val="auto"/>
        </w:rPr>
        <w:t>, among others.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Sterile Injectables</w:t>
      </w:r>
    </w:p>
    <w:p>
      <w:pPr>
        <w:spacing w:after="0" w:line="116" w:lineRule="exact"/>
        <w:rPr>
          <w:sz w:val="20"/>
          <w:szCs w:val="20"/>
          <w:color w:val="auto"/>
        </w:rPr>
      </w:pPr>
    </w:p>
    <w:p>
      <w:pPr>
        <w:jc w:val="both"/>
        <w:ind w:right="120" w:firstLine="486"/>
        <w:spacing w:after="0" w:line="201" w:lineRule="auto"/>
        <w:rPr>
          <w:sz w:val="20"/>
          <w:szCs w:val="20"/>
          <w:color w:val="auto"/>
        </w:rPr>
      </w:pPr>
      <w:r>
        <w:rPr>
          <w:rFonts w:ascii="Arial" w:cs="Arial" w:eastAsia="Arial" w:hAnsi="Arial"/>
          <w:sz w:val="18"/>
          <w:szCs w:val="18"/>
          <w:color w:val="auto"/>
        </w:rPr>
        <w:t>Our Sterile Injectables segment consists primarily of branded sterile injectable products such as VASOSTRICT</w:t>
      </w:r>
      <w:r>
        <w:rPr>
          <w:rFonts w:ascii="Arial" w:cs="Arial" w:eastAsia="Arial" w:hAnsi="Arial"/>
          <w:sz w:val="23"/>
          <w:szCs w:val="23"/>
          <w:color w:val="auto"/>
          <w:vertAlign w:val="superscript"/>
        </w:rPr>
        <w:t>®</w:t>
      </w:r>
      <w:r>
        <w:rPr>
          <w:rFonts w:ascii="Arial" w:cs="Arial" w:eastAsia="Arial" w:hAnsi="Arial"/>
          <w:sz w:val="18"/>
          <w:szCs w:val="18"/>
          <w:color w:val="auto"/>
        </w:rPr>
        <w:t>, ADRENALIN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APLISOL</w:t>
      </w:r>
      <w:r>
        <w:rPr>
          <w:rFonts w:ascii="Arial" w:cs="Arial" w:eastAsia="Arial" w:hAnsi="Arial"/>
          <w:sz w:val="23"/>
          <w:szCs w:val="23"/>
          <w:color w:val="auto"/>
          <w:vertAlign w:val="superscript"/>
        </w:rPr>
        <w:t>®</w:t>
      </w:r>
      <w:r>
        <w:rPr>
          <w:rFonts w:ascii="Arial" w:cs="Arial" w:eastAsia="Arial" w:hAnsi="Arial"/>
          <w:sz w:val="18"/>
          <w:szCs w:val="18"/>
          <w:color w:val="auto"/>
        </w:rPr>
        <w:t>, among others, and certain generic sterile injectable products, including ertapenem for injection (the authorized generic of Merck’s Invanz</w:t>
      </w:r>
      <w:r>
        <w:rPr>
          <w:rFonts w:ascii="Arial" w:cs="Arial" w:eastAsia="Arial" w:hAnsi="Arial"/>
          <w:sz w:val="23"/>
          <w:szCs w:val="23"/>
          <w:color w:val="auto"/>
          <w:vertAlign w:val="superscript"/>
        </w:rPr>
        <w:t>®</w:t>
      </w:r>
      <w:r>
        <w:rPr>
          <w:rFonts w:ascii="Arial" w:cs="Arial" w:eastAsia="Arial" w:hAnsi="Arial"/>
          <w:sz w:val="18"/>
          <w:szCs w:val="18"/>
          <w:color w:val="auto"/>
        </w:rPr>
        <w:t>) and ephedrine sulfate injection, among others.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Generic Pharmaceuticals</w:t>
      </w:r>
    </w:p>
    <w:p>
      <w:pPr>
        <w:spacing w:after="0" w:line="121" w:lineRule="exact"/>
        <w:rPr>
          <w:sz w:val="20"/>
          <w:szCs w:val="20"/>
          <w:color w:val="auto"/>
        </w:rPr>
      </w:pPr>
    </w:p>
    <w:p>
      <w:pPr>
        <w:ind w:right="300" w:firstLine="486"/>
        <w:spacing w:after="0" w:line="308" w:lineRule="auto"/>
        <w:rPr>
          <w:sz w:val="20"/>
          <w:szCs w:val="20"/>
          <w:color w:val="auto"/>
        </w:rPr>
      </w:pPr>
      <w:r>
        <w:rPr>
          <w:rFonts w:ascii="Arial" w:cs="Arial" w:eastAsia="Arial" w:hAnsi="Arial"/>
          <w:sz w:val="17"/>
          <w:szCs w:val="17"/>
          <w:color w:val="auto"/>
        </w:rPr>
        <w:t>Our Generic Pharmaceuticals segment consists of a product portfolio including solid oral extended-release, solid oral immediate-release, liquids, semi-solids, patches, powders, ophthalmics and sprays and includes products that treat and manage a wide of medical conditions.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Pharmaceuticals</w:t>
      </w:r>
    </w:p>
    <w:p>
      <w:pPr>
        <w:spacing w:after="0" w:line="12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Our International Pharmaceuticals segment includes a variety of specialty pharmaceutical products sold outside the U.S., primarily in Canada through our operating company Paladin. The key products of this segment serve various therapeutic areas, including attention deficit hyperactivity disorder, pain, women’s health, oncology and transplantation.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following represents selected information for the Company’s reportable segments for the years ended December 31, 2020, 2019 and 2018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 from external customers: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Branded Pharmaceuticals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781,780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855,402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862,832</w:t>
            </w:r>
          </w:p>
        </w:tc>
      </w:tr>
      <w:tr>
        <w:trPr>
          <w:trHeight w:val="230"/>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Sterile Injectables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1,238,847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1,063,131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929,566</w:t>
            </w: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Generic Pharmaceuticals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783,110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879,882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1,012,215</w:t>
            </w:r>
          </w:p>
        </w:tc>
      </w:tr>
      <w:tr>
        <w:trPr>
          <w:trHeight w:val="230"/>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 Pharmaceuticals (1)</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115,949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142,465</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Total net revenues from external customers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2,903,074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2,914,364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2,947,078</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6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adjusted income from continuing operations before income tax:</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Branded Pharmaceuticals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377,526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426,677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412,543</w:t>
            </w:r>
          </w:p>
        </w:tc>
      </w:tr>
      <w:tr>
        <w:trPr>
          <w:trHeight w:val="230"/>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Sterile Injectables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695,363</w:t>
            </w: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Generic Pharmaceuticals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87,178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159,716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317,892</w:t>
            </w:r>
          </w:p>
        </w:tc>
      </w:tr>
      <w:tr>
        <w:trPr>
          <w:trHeight w:val="229"/>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 Pharmaceuticals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59,094</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Total segment adjusted income from continuing operations before income tax</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1,455,871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1,411,950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1,484,892</w:t>
            </w:r>
          </w:p>
        </w:tc>
      </w:tr>
      <w:tr>
        <w:trPr>
          <w:trHeight w:val="21"/>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Revenues generated by our International Pharmaceuticals segment are primarily attributable to external customers located in Canada.</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were no material revenues from external customers attributed to an individual country outside of the U.S. during any of the periods presented.</w:t>
      </w:r>
    </w:p>
    <w:p>
      <w:pPr>
        <w:spacing w:after="0" w:line="14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table below provides reconciliations of our Total consolidated loss from continuing operations before income tax, which is determined in</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accordance with U.S. GAAP, to our Total segment adjusted income from continuing operations before income tax for the years ended December 31, 2020,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2019 and 2018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consolidated loss from continuing operations before income tax</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(938,832)</w:t>
            </w:r>
          </w:p>
        </w:tc>
      </w:tr>
      <w:tr>
        <w:trPr>
          <w:trHeight w:val="229"/>
        </w:trPr>
        <w:tc>
          <w:tcPr>
            <w:tcW w:w="69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532,939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538,734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521,656</w:t>
            </w:r>
          </w:p>
        </w:tc>
      </w:tr>
      <w:tr>
        <w:trPr>
          <w:trHeight w:val="23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unallocated costs (1)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200,592</w:t>
            </w:r>
          </w:p>
        </w:tc>
      </w:tr>
      <w:tr>
        <w:trPr>
          <w:trHeight w:val="230"/>
        </w:trPr>
        <w:tc>
          <w:tcPr>
            <w:tcW w:w="694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427,543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543,862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622,339</w:t>
            </w:r>
          </w:p>
        </w:tc>
      </w:tr>
      <w:tr>
        <w:trPr>
          <w:trHeight w:val="23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Inventory step-up</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29"/>
        </w:trPr>
        <w:tc>
          <w:tcPr>
            <w:tcW w:w="6940" w:type="dxa"/>
            <w:vAlign w:val="bottom"/>
          </w:tcPr>
          <w:p>
            <w:pPr>
              <w:ind w:left="40"/>
              <w:spacing w:after="0"/>
              <w:rPr>
                <w:sz w:val="20"/>
                <w:szCs w:val="20"/>
                <w:color w:val="auto"/>
              </w:rPr>
            </w:pPr>
            <w:r>
              <w:rPr>
                <w:rFonts w:ascii="Arial" w:cs="Arial" w:eastAsia="Arial" w:hAnsi="Arial"/>
                <w:sz w:val="18"/>
                <w:szCs w:val="18"/>
                <w:color w:val="auto"/>
              </w:rPr>
              <w:t>Upfront and milestone payments to partners (2)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45,108</w:t>
            </w:r>
          </w:p>
        </w:tc>
      </w:tr>
      <w:tr>
        <w:trPr>
          <w:trHeight w:val="23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Continuity and separation benefits and other cost reduction initiatives (3)</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86,295</w:t>
            </w:r>
          </w:p>
        </w:tc>
      </w:tr>
      <w:tr>
        <w:trPr>
          <w:trHeight w:val="230"/>
        </w:trPr>
        <w:tc>
          <w:tcPr>
            <w:tcW w:w="6940" w:type="dxa"/>
            <w:vAlign w:val="bottom"/>
          </w:tcPr>
          <w:p>
            <w:pPr>
              <w:ind w:left="40"/>
              <w:spacing w:after="0"/>
              <w:rPr>
                <w:sz w:val="20"/>
                <w:szCs w:val="20"/>
                <w:color w:val="auto"/>
              </w:rPr>
            </w:pPr>
            <w:r>
              <w:rPr>
                <w:rFonts w:ascii="Arial" w:cs="Arial" w:eastAsia="Arial" w:hAnsi="Arial"/>
                <w:sz w:val="18"/>
                <w:szCs w:val="18"/>
                <w:color w:val="auto"/>
              </w:rPr>
              <w:t>Certain litigation-related and other contingencies, net (4)</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13,809</w:t>
            </w:r>
          </w:p>
        </w:tc>
      </w:tr>
      <w:tr>
        <w:trPr>
          <w:trHeight w:val="23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Certain legal costs (5)</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43,753</w:t>
            </w:r>
          </w:p>
        </w:tc>
      </w:tr>
      <w:tr>
        <w:trPr>
          <w:trHeight w:val="229"/>
        </w:trPr>
        <w:tc>
          <w:tcPr>
            <w:tcW w:w="6940" w:type="dxa"/>
            <w:vAlign w:val="bottom"/>
          </w:tcPr>
          <w:p>
            <w:pPr>
              <w:ind w:left="40"/>
              <w:spacing w:after="0"/>
              <w:rPr>
                <w:sz w:val="20"/>
                <w:szCs w:val="20"/>
                <w:color w:val="auto"/>
              </w:rPr>
            </w:pPr>
            <w:r>
              <w:rPr>
                <w:rFonts w:ascii="Arial" w:cs="Arial" w:eastAsia="Arial" w:hAnsi="Arial"/>
                <w:sz w:val="18"/>
                <w:szCs w:val="18"/>
                <w:color w:val="auto"/>
              </w:rPr>
              <w:t>Asset impairment charges (6)</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120,344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526,082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916,939</w:t>
            </w:r>
          </w:p>
        </w:tc>
      </w:tr>
      <w:tr>
        <w:trPr>
          <w:trHeight w:val="23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Acquisition-related and integration items, net (7)</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21,914</w:t>
            </w:r>
          </w:p>
        </w:tc>
      </w:tr>
      <w:tr>
        <w:trPr>
          <w:trHeight w:val="230"/>
        </w:trPr>
        <w:tc>
          <w:tcPr>
            <w:tcW w:w="6940" w:type="dxa"/>
            <w:vAlign w:val="bottom"/>
          </w:tcPr>
          <w:p>
            <w:pPr>
              <w:ind w:left="40"/>
              <w:spacing w:after="0"/>
              <w:rPr>
                <w:sz w:val="20"/>
                <w:szCs w:val="20"/>
                <w:color w:val="auto"/>
              </w:rPr>
            </w:pPr>
            <w:r>
              <w:rPr>
                <w:rFonts w:ascii="Arial" w:cs="Arial" w:eastAsia="Arial" w:hAnsi="Arial"/>
                <w:sz w:val="18"/>
                <w:szCs w:val="18"/>
                <w:color w:val="auto"/>
              </w:rPr>
              <w:t>Gain on extinguishment of debt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(119,828)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Foreign currency impact related to the remeasurement of intercompany debt instruments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w:t>
            </w:r>
          </w:p>
        </w:tc>
      </w:tr>
      <w:tr>
        <w:trPr>
          <w:trHeight w:val="229"/>
        </w:trPr>
        <w:tc>
          <w:tcPr>
            <w:tcW w:w="6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net (8)</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(43,456)</w:t>
            </w:r>
          </w:p>
        </w:tc>
      </w:tr>
      <w:tr>
        <w:trPr>
          <w:trHeight w:val="248"/>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segment adjusted income from continuing operations before income tax</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1,455,871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1,411,950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1,484,892</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Amounts include certain corporate overhead costs, such as headcount, facility and corporate litigation expenses and certain other income and expenses.</w:t>
      </w:r>
    </w:p>
    <w:p>
      <w:pPr>
        <w:spacing w:after="0" w:line="1" w:lineRule="exact"/>
        <w:rPr>
          <w:rFonts w:ascii="Arial" w:cs="Arial" w:eastAsia="Arial" w:hAnsi="Arial"/>
          <w:sz w:val="14"/>
          <w:szCs w:val="14"/>
          <w:color w:val="auto"/>
        </w:rPr>
      </w:pPr>
    </w:p>
    <w:p>
      <w:pPr>
        <w:ind w:left="580" w:right="220" w:hanging="329"/>
        <w:spacing w:after="0" w:line="241" w:lineRule="auto"/>
        <w:tabs>
          <w:tab w:leader="none" w:pos="572" w:val="left"/>
        </w:tabs>
        <w:numPr>
          <w:ilvl w:val="0"/>
          <w:numId w:val="65"/>
        </w:numPr>
        <w:rPr>
          <w:rFonts w:ascii="Arial" w:cs="Arial" w:eastAsia="Arial" w:hAnsi="Arial"/>
          <w:sz w:val="14"/>
          <w:szCs w:val="14"/>
          <w:color w:val="auto"/>
        </w:rPr>
      </w:pPr>
      <w:r>
        <w:rPr>
          <w:rFonts w:ascii="Arial" w:cs="Arial" w:eastAsia="Arial" w:hAnsi="Arial"/>
          <w:sz w:val="14"/>
          <w:szCs w:val="14"/>
          <w:color w:val="auto"/>
        </w:rPr>
        <w:t>Amounts in 2020 include a $28.6 million charge related to in-process research and development assets expensed in connection with the acquisition of BioSpecifics. Amounts in 2018 include a $35.0 million upfront payment related to the development, license and commercialization agreement with Nevakar, Inc.</w:t>
      </w:r>
    </w:p>
    <w:p>
      <w:pPr>
        <w:ind w:left="580" w:right="120" w:hanging="329"/>
        <w:spacing w:after="0" w:line="260" w:lineRule="auto"/>
        <w:tabs>
          <w:tab w:leader="none" w:pos="572" w:val="left"/>
        </w:tabs>
        <w:numPr>
          <w:ilvl w:val="0"/>
          <w:numId w:val="65"/>
        </w:numPr>
        <w:rPr>
          <w:rFonts w:ascii="Arial" w:cs="Arial" w:eastAsia="Arial" w:hAnsi="Arial"/>
          <w:sz w:val="13"/>
          <w:szCs w:val="13"/>
          <w:color w:val="auto"/>
        </w:rPr>
      </w:pPr>
      <w:r>
        <w:rPr>
          <w:rFonts w:ascii="Arial" w:cs="Arial" w:eastAsia="Arial" w:hAnsi="Arial"/>
          <w:sz w:val="13"/>
          <w:szCs w:val="13"/>
          <w:color w:val="auto"/>
        </w:rPr>
        <w:t>Amounts in 2020 include employee separation, continuity and other benefit-related costs of $86.9 million, accelerated depreciation charges of $22.5 million and miscellaneous charges of $16.9 million. Amounts in 2019 include employee separation, continuity and other benefit-related costs of $23.6 million and miscellaneous charges of $11.0 million. Amounts in 2018 include employee separation, continuity and other benefit-related costs of $31.7 million, accelerated depreciation charges of $35.2 million, charges to increase excess inventory reserves of $2.9 million and miscellaneous charges of $16.5 million. These costs relate primarily to our restructuring activities as further described in Note 4. Restructuring, certain continuity and transitional compensation arrangements for certain senior management of the Company and certain other cost reduction initiatives.</w:t>
      </w:r>
    </w:p>
    <w:p>
      <w:pPr>
        <w:ind w:left="580" w:right="520" w:hanging="329"/>
        <w:spacing w:after="0" w:line="241" w:lineRule="auto"/>
        <w:tabs>
          <w:tab w:leader="none" w:pos="572" w:val="left"/>
        </w:tabs>
        <w:numPr>
          <w:ilvl w:val="0"/>
          <w:numId w:val="65"/>
        </w:numPr>
        <w:rPr>
          <w:rFonts w:ascii="Arial" w:cs="Arial" w:eastAsia="Arial" w:hAnsi="Arial"/>
          <w:sz w:val="14"/>
          <w:szCs w:val="14"/>
          <w:color w:val="auto"/>
        </w:rPr>
      </w:pPr>
      <w:r>
        <w:rPr>
          <w:rFonts w:ascii="Arial" w:cs="Arial" w:eastAsia="Arial" w:hAnsi="Arial"/>
          <w:sz w:val="14"/>
          <w:szCs w:val="14"/>
          <w:color w:val="auto"/>
        </w:rPr>
        <w:t>Amounts include adjustments to our accruals for litigation-related settlement charges and certain settlement proceeds related to suits filed by our subsidiaries. Our material legal proceedings and other contingent matters are described in more detail in Note 16. Commitments and Contingencies.</w:t>
      </w:r>
    </w:p>
    <w:p>
      <w:pPr>
        <w:ind w:left="560" w:hanging="309"/>
        <w:spacing w:after="0"/>
        <w:tabs>
          <w:tab w:leader="none" w:pos="5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Amounts relate to opioid-related legal expenses.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0" w:lineRule="exact"/>
        <w:rPr>
          <w:sz w:val="20"/>
          <w:szCs w:val="20"/>
          <w:color w:val="auto"/>
        </w:rPr>
      </w:pPr>
    </w:p>
    <w:p>
      <w:pPr>
        <w:ind w:left="580" w:right="140" w:hanging="329"/>
        <w:spacing w:after="0" w:line="269" w:lineRule="auto"/>
        <w:tabs>
          <w:tab w:leader="none" w:pos="572" w:val="left"/>
        </w:tabs>
        <w:numPr>
          <w:ilvl w:val="0"/>
          <w:numId w:val="66"/>
        </w:numPr>
        <w:rPr>
          <w:rFonts w:ascii="Arial" w:cs="Arial" w:eastAsia="Arial" w:hAnsi="Arial"/>
          <w:sz w:val="13"/>
          <w:szCs w:val="13"/>
          <w:color w:val="auto"/>
        </w:rPr>
      </w:pPr>
      <w:r>
        <w:rPr>
          <w:rFonts w:ascii="Arial" w:cs="Arial" w:eastAsia="Arial" w:hAnsi="Arial"/>
          <w:sz w:val="13"/>
          <w:szCs w:val="13"/>
          <w:color w:val="auto"/>
        </w:rPr>
        <w:t>Amounts primarily relate to charges to impair goodwill and intangible assets, property, plant and equipment and operating lease right-of-use assets. For additional information, refer to Note 4. Restructuring, Note 7. Fair Value Measurements, Note 9. Leases, Note 10. Property, Plant and Equipment and Note 11. Goodwill and Other Intangibles.</w:t>
      </w:r>
    </w:p>
    <w:p>
      <w:pPr>
        <w:ind w:left="560" w:hanging="309"/>
        <w:spacing w:after="0"/>
        <w:tabs>
          <w:tab w:leader="none" w:pos="5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Amounts primarily relate to changes in the fair value of contingent consideration.</w:t>
      </w:r>
    </w:p>
    <w:p>
      <w:pPr>
        <w:spacing w:after="0" w:line="1" w:lineRule="exact"/>
        <w:rPr>
          <w:rFonts w:ascii="Arial" w:cs="Arial" w:eastAsia="Arial" w:hAnsi="Arial"/>
          <w:sz w:val="14"/>
          <w:szCs w:val="14"/>
          <w:color w:val="auto"/>
        </w:rPr>
      </w:pPr>
    </w:p>
    <w:p>
      <w:pPr>
        <w:ind w:left="580" w:right="60" w:hanging="329"/>
        <w:spacing w:after="0" w:line="271" w:lineRule="auto"/>
        <w:tabs>
          <w:tab w:leader="none" w:pos="572" w:val="left"/>
        </w:tabs>
        <w:numPr>
          <w:ilvl w:val="0"/>
          <w:numId w:val="66"/>
        </w:numPr>
        <w:rPr>
          <w:rFonts w:ascii="Arial" w:cs="Arial" w:eastAsia="Arial" w:hAnsi="Arial"/>
          <w:sz w:val="13"/>
          <w:szCs w:val="13"/>
          <w:color w:val="auto"/>
        </w:rPr>
      </w:pPr>
      <w:r>
        <w:rPr>
          <w:rFonts w:ascii="Arial" w:cs="Arial" w:eastAsia="Arial" w:hAnsi="Arial"/>
          <w:sz w:val="13"/>
          <w:szCs w:val="13"/>
          <w:color w:val="auto"/>
        </w:rPr>
        <w:t>Amounts in 2020 include $31.1 million of third-party fees incurred in connection with the June 2020 Refinancing Transactions, which were accounted for as debt modifications. Refer to Note 15. Debt for additional information. Amounts in 2019 include $17.5 million for contract termination costs incurred as a result of certain product discontinuation activities in our International Pharmaceuticals segment and $14.1 million for a premium associated with an extended reporting period endorsement on an expiring insurance program. Remaining amounts in this row primarily relate to gains or losses on sales of businesses and other assets, as further described in Note 20. Other (Income) Expense, Net.</w:t>
      </w:r>
    </w:p>
    <w:p>
      <w:pPr>
        <w:spacing w:after="0" w:line="73" w:lineRule="exact"/>
        <w:rPr>
          <w:sz w:val="20"/>
          <w:szCs w:val="20"/>
          <w:color w:val="auto"/>
        </w:rPr>
      </w:pPr>
    </w:p>
    <w:p>
      <w:pPr>
        <w:ind w:right="880" w:firstLine="486"/>
        <w:spacing w:after="0" w:line="277" w:lineRule="auto"/>
        <w:rPr>
          <w:sz w:val="20"/>
          <w:szCs w:val="20"/>
          <w:color w:val="auto"/>
        </w:rPr>
      </w:pPr>
      <w:r>
        <w:rPr>
          <w:rFonts w:ascii="Arial" w:cs="Arial" w:eastAsia="Arial" w:hAnsi="Arial"/>
          <w:sz w:val="18"/>
          <w:szCs w:val="18"/>
          <w:color w:val="auto"/>
        </w:rPr>
        <w:t>Asset information is not reviewed or included within our internal management reporting. Therefore, the Company has not disclosed asset information for each reportable segment.</w:t>
      </w:r>
    </w:p>
    <w:p>
      <w:pPr>
        <w:spacing w:after="0" w:line="62"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During the years ended December 31, 2020, 2019 and 2018, the Company disaggregated its revenue from contracts with customers into the categories included in the table below (in thousands). The Company believes these categories depict how the nature, timing and uncertainty of revenue and cash flows are affected by economic factors.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Branded Pharmaceuticals: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i w:val="1"/>
                <w:iCs w:val="1"/>
                <w:color w:val="auto"/>
              </w:rPr>
              <w:t>Specialty Products: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XIAFLEX®</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264,638</w:t>
            </w: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SUPPRELIN® LA</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88,182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86,797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81,707</w:t>
            </w:r>
          </w:p>
        </w:tc>
      </w:tr>
      <w:tr>
        <w:trPr>
          <w:trHeight w:val="229"/>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Specialty (1)</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98,230</w:t>
            </w:r>
          </w:p>
        </w:tc>
      </w:tr>
      <w:tr>
        <w:trPr>
          <w:trHeight w:val="223"/>
        </w:trPr>
        <w:tc>
          <w:tcPr>
            <w:tcW w:w="6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Specialty Products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497,078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519,676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444,575</w:t>
            </w:r>
          </w:p>
        </w:tc>
      </w:tr>
      <w:tr>
        <w:trPr>
          <w:trHeight w:val="209"/>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Established Products: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PERCOCET®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110,112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116,012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122,901</w:t>
            </w:r>
          </w:p>
        </w:tc>
      </w:tr>
      <w:tr>
        <w:trPr>
          <w:trHeight w:val="229"/>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TESTOPEL®</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58,377</w:t>
            </w:r>
          </w:p>
        </w:tc>
      </w:tr>
      <w:tr>
        <w:trPr>
          <w:trHeight w:val="229"/>
        </w:trPr>
        <w:tc>
          <w:tcPr>
            <w:tcW w:w="69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Established (2)</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164,470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236,979</w:t>
            </w:r>
          </w:p>
        </w:tc>
      </w:tr>
      <w:tr>
        <w:trPr>
          <w:trHeight w:val="223"/>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Established Products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335,726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418,257</w:t>
            </w:r>
          </w:p>
        </w:tc>
      </w:tr>
      <w:tr>
        <w:trPr>
          <w:trHeight w:val="22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Branded Pharmaceuticals (3)</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781,780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855,402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862,832</w:t>
            </w:r>
          </w:p>
        </w:tc>
      </w:tr>
      <w:tr>
        <w:trPr>
          <w:trHeight w:val="20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Sterile Injectables: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VASOSTRICT®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785,646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531,737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453,767</w:t>
            </w:r>
          </w:p>
        </w:tc>
      </w:tr>
      <w:tr>
        <w:trPr>
          <w:trHeight w:val="230"/>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ADRENALIN®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143,489</w:t>
            </w: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Ertapenem for injection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65,607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104,679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57,668</w:t>
            </w:r>
          </w:p>
        </w:tc>
      </w:tr>
      <w:tr>
        <w:trPr>
          <w:trHeight w:val="230"/>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APLISOL®</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64,913</w:t>
            </w:r>
          </w:p>
        </w:tc>
      </w:tr>
      <w:tr>
        <w:trPr>
          <w:trHeight w:val="230"/>
        </w:trPr>
        <w:tc>
          <w:tcPr>
            <w:tcW w:w="69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Sterile Injectables (4)</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185,594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209,729</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Sterile Injectables (3)</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1,238,847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1,063,131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929,566</w:t>
            </w:r>
          </w:p>
        </w:tc>
      </w:tr>
      <w:tr>
        <w:trPr>
          <w:trHeight w:val="22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Generic Pharmaceuticals (5)</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783,110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879,882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1,012,215</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International Pharmaceuticals (6)</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115,949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142,465</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Total revenues, net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2,903,074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2,914,364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2,947,078</w:t>
            </w:r>
          </w:p>
        </w:tc>
      </w:tr>
      <w:tr>
        <w:trPr>
          <w:trHeight w:val="21"/>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Products included within Other Specialty are NASCOBAL</w:t>
      </w:r>
      <w:r>
        <w:rPr>
          <w:rFonts w:ascii="Arial" w:cs="Arial" w:eastAsia="Arial" w:hAnsi="Arial"/>
          <w:sz w:val="9"/>
          <w:szCs w:val="9"/>
          <w:color w:val="auto"/>
        </w:rPr>
        <w:t>®</w:t>
      </w:r>
      <w:r>
        <w:rPr>
          <w:rFonts w:ascii="Arial" w:cs="Arial" w:eastAsia="Arial" w:hAnsi="Arial"/>
          <w:sz w:val="14"/>
          <w:szCs w:val="14"/>
          <w:color w:val="auto"/>
        </w:rPr>
        <w:t xml:space="preserve"> Nasal Spray and AVEED</w:t>
      </w:r>
      <w:r>
        <w:rPr>
          <w:rFonts w:ascii="Arial" w:cs="Arial" w:eastAsia="Arial" w:hAnsi="Arial"/>
          <w:sz w:val="9"/>
          <w:szCs w:val="9"/>
          <w:color w:val="auto"/>
        </w:rPr>
        <w:t>®</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560" w:hanging="309"/>
        <w:spacing w:after="0"/>
        <w:tabs>
          <w:tab w:leader="none" w:pos="5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EDEX</w:t>
      </w:r>
      <w:r>
        <w:rPr>
          <w:rFonts w:ascii="Arial" w:cs="Arial" w:eastAsia="Arial" w:hAnsi="Arial"/>
          <w:sz w:val="9"/>
          <w:szCs w:val="9"/>
          <w:color w:val="auto"/>
        </w:rPr>
        <w:t>®</w:t>
      </w:r>
      <w:r>
        <w:rPr>
          <w:rFonts w:ascii="Arial" w:cs="Arial" w:eastAsia="Arial" w:hAnsi="Arial"/>
          <w:sz w:val="14"/>
          <w:szCs w:val="14"/>
          <w:color w:val="auto"/>
        </w:rPr>
        <w:t xml:space="preserve"> and LIDODERM</w:t>
      </w:r>
      <w:r>
        <w:rPr>
          <w:rFonts w:ascii="Arial" w:cs="Arial" w:eastAsia="Arial" w:hAnsi="Arial"/>
          <w:sz w:val="9"/>
          <w:szCs w:val="9"/>
          <w:color w:val="auto"/>
        </w:rPr>
        <w:t>®</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580" w:right="180" w:hanging="329"/>
        <w:spacing w:after="0" w:line="241" w:lineRule="auto"/>
        <w:tabs>
          <w:tab w:leader="none" w:pos="572"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for the year ended December 31, 2020 and/or any product having revenues in excess of $100 million during any of the years ended December 31, 2020, 2019 or 2018 or $25 million during any quarterly period in 2020 or 2019.</w:t>
      </w:r>
    </w:p>
    <w:p>
      <w:pPr>
        <w:ind w:left="560" w:hanging="309"/>
        <w:spacing w:after="0"/>
        <w:tabs>
          <w:tab w:leader="none" w:pos="5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Products included within Other Sterile Injectables include ephedrine sulfate injection and others.</w:t>
      </w:r>
    </w:p>
    <w:p>
      <w:pPr>
        <w:spacing w:after="0" w:line="1" w:lineRule="exact"/>
        <w:rPr>
          <w:rFonts w:ascii="Arial" w:cs="Arial" w:eastAsia="Arial" w:hAnsi="Arial"/>
          <w:sz w:val="14"/>
          <w:szCs w:val="14"/>
          <w:color w:val="auto"/>
        </w:rPr>
      </w:pPr>
    </w:p>
    <w:p>
      <w:pPr>
        <w:ind w:left="580" w:right="200" w:hanging="329"/>
        <w:spacing w:after="0" w:line="241" w:lineRule="auto"/>
        <w:tabs>
          <w:tab w:leader="none" w:pos="572"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Generic Pharmaceuticals segment is comprised of a portfolio of products that are generic versions of branded products, are distributed primarily through the same wholesalers, generally have no intellectual property protection and are sold within the U.S. During the year ended December 31, 2019, colchicine tablets (the authorized generic of Takeda’s Colcrys</w:t>
      </w:r>
      <w:r>
        <w:rPr>
          <w:rFonts w:ascii="Arial" w:cs="Arial" w:eastAsia="Arial" w:hAnsi="Arial"/>
          <w:sz w:val="9"/>
          <w:szCs w:val="9"/>
          <w:color w:val="auto"/>
        </w:rPr>
        <w:t>®</w:t>
      </w:r>
      <w:r>
        <w:rPr>
          <w:rFonts w:ascii="Arial" w:cs="Arial" w:eastAsia="Arial" w:hAnsi="Arial"/>
          <w:sz w:val="14"/>
          <w:szCs w:val="14"/>
          <w:color w:val="auto"/>
        </w:rPr>
        <w:t>), which launched in July 2018, made up 6% of consolidated total revenues. No other individual product within this segment has exceeded 5% of consolidated total revenues for the periods presented.</w:t>
      </w:r>
    </w:p>
    <w:p>
      <w:pPr>
        <w:spacing w:after="0" w:line="1" w:lineRule="exact"/>
        <w:rPr>
          <w:rFonts w:ascii="Arial" w:cs="Arial" w:eastAsia="Arial" w:hAnsi="Arial"/>
          <w:sz w:val="14"/>
          <w:szCs w:val="14"/>
          <w:color w:val="auto"/>
        </w:rPr>
      </w:pPr>
    </w:p>
    <w:p>
      <w:pPr>
        <w:ind w:left="580" w:right="720" w:hanging="329"/>
        <w:spacing w:after="0" w:line="255" w:lineRule="auto"/>
        <w:tabs>
          <w:tab w:leader="none" w:pos="572"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International Pharmaceuticals segment, which accounted for less than 5% of consolidated total revenues for each of the periods presented, includes a variety of specialty pharmaceutical products sold outside the U.S., primarily in Canada through our operating company Paladin.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represents depreciation expense for our reportable segments for the years ended December 31, 2020, 2019 and 2018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Branded Pharmaceuticals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14,542</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Sterile Injectables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10,500</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 Pharmaceuticals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66,016</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International Pharmaceuticals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4,925</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unallocated</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w:t>
            </w:r>
          </w:p>
        </w:tc>
      </w:tr>
      <w:tr>
        <w:trPr>
          <w:trHeight w:val="223"/>
        </w:trPr>
        <w:tc>
          <w:tcPr>
            <w:tcW w:w="6940" w:type="dxa"/>
            <w:vAlign w:val="bottom"/>
          </w:tcPr>
          <w:p>
            <w:pPr>
              <w:ind w:left="140"/>
              <w:spacing w:after="0"/>
              <w:rPr>
                <w:sz w:val="20"/>
                <w:szCs w:val="20"/>
                <w:color w:val="auto"/>
              </w:rPr>
            </w:pPr>
            <w:r>
              <w:rPr>
                <w:rFonts w:ascii="Arial" w:cs="Arial" w:eastAsia="Arial" w:hAnsi="Arial"/>
                <w:sz w:val="18"/>
                <w:szCs w:val="18"/>
                <w:color w:val="auto"/>
              </w:rPr>
              <w:t>Total depreciation expense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91,264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69,000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101,368</w:t>
            </w:r>
          </w:p>
        </w:tc>
      </w:tr>
      <w:tr>
        <w:trPr>
          <w:trHeight w:val="21"/>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Fair value guidance establishes a three-tier fair value hierarchy, which prioritizes the inputs used in measuring fair value. These tiers include:</w:t>
      </w:r>
    </w:p>
    <w:p>
      <w:pPr>
        <w:spacing w:after="0" w:line="35" w:lineRule="exact"/>
        <w:rPr>
          <w:sz w:val="20"/>
          <w:szCs w:val="20"/>
          <w:color w:val="auto"/>
        </w:rPr>
      </w:pPr>
    </w:p>
    <w:p>
      <w:pPr>
        <w:ind w:left="900" w:hanging="244"/>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9" w:lineRule="exact"/>
        <w:rPr>
          <w:rFonts w:ascii="Arial" w:cs="Arial" w:eastAsia="Arial" w:hAnsi="Arial"/>
          <w:sz w:val="18"/>
          <w:szCs w:val="18"/>
          <w:color w:val="auto"/>
        </w:rPr>
      </w:pPr>
    </w:p>
    <w:p>
      <w:pPr>
        <w:ind w:left="900" w:right="20" w:hanging="244"/>
        <w:spacing w:after="0" w:line="250" w:lineRule="auto"/>
        <w:tabs>
          <w:tab w:leader="none" w:pos="8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 w:lineRule="exact"/>
        <w:rPr>
          <w:rFonts w:ascii="Arial" w:cs="Arial" w:eastAsia="Arial" w:hAnsi="Arial"/>
          <w:sz w:val="18"/>
          <w:szCs w:val="18"/>
          <w:color w:val="auto"/>
        </w:rPr>
      </w:pPr>
    </w:p>
    <w:p>
      <w:pPr>
        <w:ind w:left="900" w:right="660" w:hanging="244"/>
        <w:spacing w:after="0" w:line="260" w:lineRule="auto"/>
        <w:tabs>
          <w:tab w:leader="none" w:pos="8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The financial instruments recorded in our Consolidated Balance Sheets include cash and cash equivalents, restricted cash and cash equivalents, accounts receivable, equity method investments, accounts payable and accrued expenses, acquisition-related contingent consideration and debt obligations. Included in cash and cash equivalents and restricted cash and cash equivalents are money market funds representing a type of mutual fund required by law to invest in low-risk securities (for example, U.S. government bonds, U.S. Treasury Bills and commercial paper). Money market funds pay dividends that generally reflect short-term interest rates. Due to their initial maturities, the carrying amounts of non-restricted and restricted cash and cash equivalents (including money market funds), accounts receivable, accounts payable and accrued expenses approximate their fair values.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17"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following table presents current and noncurrent restricted cash and cash equivalent balances at December 31, 2020 and December 31, 2019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 Balance Sheets Line Items</w:t>
            </w: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2020</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2019</w:t>
            </w:r>
          </w:p>
        </w:tc>
      </w:tr>
      <w:tr>
        <w:trPr>
          <w:trHeight w:val="22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and cash equivalents—current</w:t>
            </w:r>
          </w:p>
        </w:tc>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 and cash equivalents</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171,563</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247,457</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Restricted cash and cash equivalents—noncurrent</w:t>
            </w:r>
          </w:p>
        </w:tc>
        <w:tc>
          <w:tcPr>
            <w:tcW w:w="400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18,400</w:t>
            </w:r>
          </w:p>
        </w:tc>
      </w:tr>
      <w:tr>
        <w:trPr>
          <w:trHeight w:val="248"/>
        </w:trPr>
        <w:tc>
          <w:tcPr>
            <w:tcW w:w="44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restricted cash and cash equivalents</w:t>
            </w:r>
          </w:p>
        </w:tc>
        <w:tc>
          <w:tcPr>
            <w:tcW w:w="39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265,857</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60" w:firstLine="486"/>
        <w:spacing w:after="0" w:line="279" w:lineRule="auto"/>
        <w:rPr>
          <w:sz w:val="20"/>
          <w:szCs w:val="20"/>
          <w:color w:val="auto"/>
        </w:rPr>
      </w:pPr>
      <w:r>
        <w:rPr>
          <w:rFonts w:ascii="Arial" w:cs="Arial" w:eastAsia="Arial" w:hAnsi="Arial"/>
          <w:sz w:val="17"/>
          <w:szCs w:val="17"/>
          <w:color w:val="auto"/>
        </w:rPr>
        <w:t>The restricted cash and cash equivalents amounts primarily relate to litigation-related matters, including approximately $127.0 million and $242.8 million held in QSFs for mesh-related matters at December 31, 2020 and December 31, 2019, respectively. See Note 16. Commitments and Contingencies for further information about mesh-related and other litigation-related matters. Additionally, at December 31, 2020, approximately $25.0 million of restricted cash and cash equivalents related to certain insurance-related matters.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11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fair value of contingent consideration liabilities is determined using unobservable inputs; hence, these instruments represent Level 3 measurements within the above-defined fair value hierarchy. These inputs include the estimated amount and timing of projected cash flows, the probability of success (achievement of the contingent event) and the risk-adjusted discount rate used to present value the probability-weighted cash flows. Subsequent to the acquisition date, at each reporting period, the contingent consideration liability is remeasured at current fair value with changes recorded in earnings. The estimates of fair value are uncertain and changes in any of the estimated inputs used as of the date of this report could have resulted in significant adjustments to fair value. See the “Recurring Fair Value Measurements” section below for additional information on acquisition-related contingent consideration.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The Company’s financial assets and liabilities measured at fair value on a recurring basis at December 31, 2020 and December 31, 2019 were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gridSpan w:val="9"/>
          </w:tcPr>
          <w:p>
            <w:pPr>
              <w:jc w:val="right"/>
              <w:ind w:right="90"/>
              <w:spacing w:after="0"/>
              <w:rPr>
                <w:sz w:val="20"/>
                <w:szCs w:val="20"/>
                <w:color w:val="auto"/>
              </w:rPr>
            </w:pPr>
            <w:r>
              <w:rPr>
                <w:rFonts w:ascii="Arial" w:cs="Arial" w:eastAsia="Arial" w:hAnsi="Arial"/>
                <w:sz w:val="14"/>
                <w:szCs w:val="14"/>
                <w:b w:val="1"/>
                <w:bCs w:val="1"/>
                <w:color w:val="auto"/>
              </w:rPr>
              <w:t>Fair Value Measurements at December 31, 2020 using:</w:t>
            </w:r>
          </w:p>
        </w:tc>
        <w:tc>
          <w:tcPr>
            <w:tcW w:w="1020" w:type="dxa"/>
            <w:vAlign w:val="bottom"/>
            <w:tcBorders>
              <w:bottom w:val="single" w:sz="8" w:color="auto"/>
            </w:tcBorders>
          </w:tcPr>
          <w:p>
            <w:pPr>
              <w:spacing w:after="0"/>
              <w:rPr>
                <w:sz w:val="16"/>
                <w:szCs w:val="16"/>
                <w:color w:val="auto"/>
              </w:rPr>
            </w:pPr>
          </w:p>
        </w:tc>
      </w:tr>
      <w:tr>
        <w:trPr>
          <w:trHeight w:val="187"/>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 Inputs</w:t>
            </w: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 Inputs</w:t>
            </w: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 Inputs</w:t>
            </w:r>
          </w:p>
        </w:tc>
        <w:tc>
          <w:tcPr>
            <w:tcW w:w="34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Total</w:t>
            </w:r>
          </w:p>
        </w:tc>
      </w:tr>
      <w:tr>
        <w:trPr>
          <w:trHeight w:val="211"/>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214,120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214,120</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Acquisition-related contingent consideration—current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8,566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8,566</w:t>
            </w: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contingent consideration—noncurrent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27,683</w:t>
            </w:r>
          </w:p>
        </w:tc>
      </w:tr>
      <w:tr>
        <w:trPr>
          <w:trHeight w:val="291"/>
        </w:trPr>
        <w:tc>
          <w:tcPr>
            <w:tcW w:w="5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9"/>
          </w:tcPr>
          <w:p>
            <w:pPr>
              <w:jc w:val="right"/>
              <w:ind w:right="90"/>
              <w:spacing w:after="0"/>
              <w:rPr>
                <w:sz w:val="20"/>
                <w:szCs w:val="20"/>
                <w:color w:val="auto"/>
              </w:rPr>
            </w:pPr>
            <w:r>
              <w:rPr>
                <w:rFonts w:ascii="Arial" w:cs="Arial" w:eastAsia="Arial" w:hAnsi="Arial"/>
                <w:sz w:val="14"/>
                <w:szCs w:val="14"/>
                <w:b w:val="1"/>
                <w:bCs w:val="1"/>
                <w:color w:val="auto"/>
              </w:rPr>
              <w:t>Fair Value Measurements at December 31, 2019 using:</w:t>
            </w:r>
          </w:p>
        </w:tc>
        <w:tc>
          <w:tcPr>
            <w:tcW w:w="1020" w:type="dxa"/>
            <w:vAlign w:val="bottom"/>
            <w:tcBorders>
              <w:bottom w:val="single" w:sz="8" w:color="auto"/>
            </w:tcBorders>
          </w:tcPr>
          <w:p>
            <w:pPr>
              <w:spacing w:after="0"/>
              <w:rPr>
                <w:sz w:val="24"/>
                <w:szCs w:val="24"/>
                <w:color w:val="auto"/>
              </w:rPr>
            </w:pPr>
          </w:p>
        </w:tc>
      </w:tr>
      <w:tr>
        <w:trPr>
          <w:trHeight w:val="187"/>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 Inputs</w:t>
            </w: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 Inputs</w:t>
            </w: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 Inputs</w:t>
            </w:r>
          </w:p>
        </w:tc>
        <w:tc>
          <w:tcPr>
            <w:tcW w:w="34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Total</w:t>
            </w:r>
          </w:p>
        </w:tc>
      </w:tr>
      <w:tr>
        <w:trPr>
          <w:trHeight w:val="211"/>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427,033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427,033</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Acquisition-related contingent consideration—current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6,534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6,534</w:t>
            </w: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contingent consideration—noncurrent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23,123</w:t>
            </w:r>
          </w:p>
        </w:tc>
      </w:tr>
    </w:tbl>
    <w:p>
      <w:pPr>
        <w:spacing w:after="0" w:line="94"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At December 31, 2020 and December 31, 2019, money market funds include $26.5 million and $70.2 million, respectively, in QSFs to be disbursed to mesh-related or other product liability claimants. Amounts in QSFs are considered restricted cash equivalents. See Note 16. Commitments and Contingencies for further discussion of our product liability cases. At December 31, 2020 and December 31, 2019, the differences between the amortized cost and the fair value of our money market funds were not material, individually or in the aggregate.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Using Significant Unobservable Inputs</w:t>
      </w:r>
    </w:p>
    <w:p>
      <w:pPr>
        <w:spacing w:after="0" w:line="117"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The following table presents changes to the Company’s liability for acquisition-related contingent consideration, which is measured at fair value on a recurring basis using significant unobservable inputs (Level 3), for the years ended December 31, 2020 and 2019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116,703</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Amounts settled</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(41,448)</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(46,098)</w:t>
            </w:r>
          </w:p>
        </w:tc>
      </w:tr>
      <w:tr>
        <w:trPr>
          <w:trHeight w:val="23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currency translation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29,657</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At December 31, 2020, the fair value measurements of the contingent consideration obligations were determined using risk-adjusted discount rates ranging from approximately 10.0% to 15.0% (weighted average rate of approximately 11.8%, weighted based on relative fair value). Changes in fair value recorded in earnings related to acquisition-related contingent consideration are included in our Consolidated Statements of Operations as Acquisition-related and integration items, net. Amounts recorded for the current and noncurrent portions of acquisition-related contingent consideration are included in Accounts payable and accrued expenses and Other liabilities, respectively, in our Consolidated Balance Sheets.</w:t>
      </w:r>
    </w:p>
    <w:p>
      <w:pPr>
        <w:spacing w:after="0" w:line="68"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table presents changes to the Company’s liability for acquisition-related contingent consideration during the year ended December 31, 2020 by acquisition (in thousands):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Auxilium acquisition</w:t>
      </w:r>
    </w:p>
    <w:p>
      <w:pPr>
        <w:spacing w:after="0" w:line="23" w:lineRule="exact"/>
        <w:rPr>
          <w:sz w:val="20"/>
          <w:szCs w:val="20"/>
          <w:color w:val="auto"/>
        </w:rPr>
      </w:pPr>
    </w:p>
    <w:p>
      <w:pPr>
        <w:ind w:left="20" w:right="1440"/>
        <w:spacing w:after="0" w:line="289" w:lineRule="auto"/>
        <w:rPr>
          <w:sz w:val="20"/>
          <w:szCs w:val="20"/>
          <w:color w:val="auto"/>
        </w:rPr>
      </w:pPr>
      <w:r>
        <w:rPr>
          <w:rFonts w:ascii="Arial" w:cs="Arial" w:eastAsia="Arial" w:hAnsi="Arial"/>
          <w:sz w:val="18"/>
          <w:szCs w:val="18"/>
          <w:color w:val="auto"/>
        </w:rPr>
        <w:t>Lehigh Valley Technologies, Inc. acquisitions Other</w:t>
      </w:r>
    </w:p>
    <w:p>
      <w:pPr>
        <w:ind w:left="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Balance as of</w:t>
            </w:r>
          </w:p>
        </w:tc>
        <w:tc>
          <w:tcPr>
            <w:tcW w:w="12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Changes in Fair</w:t>
            </w:r>
          </w:p>
        </w:tc>
        <w:tc>
          <w:tcPr>
            <w:tcW w:w="14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Amounts Settled and</w:t>
            </w:r>
          </w:p>
        </w:tc>
        <w:tc>
          <w:tcPr>
            <w:tcW w:w="180" w:type="dxa"/>
            <w:vAlign w:val="bottom"/>
          </w:tcPr>
          <w:p>
            <w:pPr>
              <w:spacing w:after="0"/>
              <w:rPr>
                <w:sz w:val="14"/>
                <w:szCs w:val="14"/>
                <w:color w:val="auto"/>
              </w:rPr>
            </w:pPr>
          </w:p>
        </w:tc>
        <w:tc>
          <w:tcPr>
            <w:tcW w:w="11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7"/>
              </w:rPr>
              <w:t>Balance as of</w:t>
            </w: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Value Recorded in</w:t>
            </w:r>
          </w:p>
        </w:tc>
        <w:tc>
          <w:tcPr>
            <w:tcW w:w="14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2019</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30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Other</w:t>
            </w:r>
          </w:p>
        </w:tc>
        <w:tc>
          <w:tcPr>
            <w:tcW w:w="13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24"/>
        </w:trPr>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13,207</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2,921</w:t>
            </w:r>
          </w:p>
        </w:tc>
        <w:tc>
          <w:tcPr>
            <w:tcW w:w="100" w:type="dxa"/>
            <w:vAlign w:val="bottom"/>
          </w:tcPr>
          <w:p>
            <w:pPr>
              <w:spacing w:after="0"/>
              <w:rPr>
                <w:sz w:val="19"/>
                <w:szCs w:val="19"/>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(1,644)</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14,484</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13,100</w:t>
            </w:r>
          </w:p>
        </w:tc>
        <w:tc>
          <w:tcPr>
            <w:tcW w:w="0" w:type="dxa"/>
            <w:vAlign w:val="bottom"/>
          </w:tcPr>
          <w:p>
            <w:pPr>
              <w:spacing w:after="0"/>
              <w:rPr>
                <w:sz w:val="1"/>
                <w:szCs w:val="1"/>
                <w:color w:val="auto"/>
              </w:rPr>
            </w:pPr>
          </w:p>
        </w:tc>
      </w:tr>
      <w:tr>
        <w:trPr>
          <w:trHeight w:val="230"/>
        </w:trPr>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8,665</w:t>
            </w: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16,353</w:t>
            </w:r>
          </w:p>
        </w:tc>
        <w:tc>
          <w:tcPr>
            <w:tcW w:w="1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36,249</w:t>
            </w:r>
          </w:p>
        </w:tc>
        <w:tc>
          <w:tcPr>
            <w:tcW w:w="0" w:type="dxa"/>
            <w:vAlign w:val="bottom"/>
          </w:tcPr>
          <w:p>
            <w:pPr>
              <w:spacing w:after="0"/>
              <w:rPr>
                <w:sz w:val="1"/>
                <w:szCs w:val="1"/>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-633730</wp:posOffset>
            </wp:positionV>
            <wp:extent cx="713232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-333375</wp:posOffset>
            </wp:positionV>
            <wp:extent cx="7132320" cy="145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60" w:space="720"/>
            <w:col w:w="5760"/>
          </w:cols>
          <w:pgMar w:left="320" w:top="118" w:right="339" w:bottom="1440" w:gutter="0" w:footer="0" w:header="0"/>
          <w:type w:val="continuous"/>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4" w:name="page115"/>
    <w:bookmarkEnd w:id="1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table presents changes to the Company’s liability for acquisition-related contingent consideration during the year ended December 31, 2019 by acquisition (in thousands):</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Balance as of</w:t>
            </w: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Changes in Fair</w:t>
            </w: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Amounts Settled and</w:t>
            </w:r>
          </w:p>
        </w:tc>
        <w:tc>
          <w:tcPr>
            <w:tcW w:w="120" w:type="dxa"/>
            <w:vAlign w:val="bottom"/>
          </w:tcPr>
          <w:p>
            <w:pPr>
              <w:spacing w:after="0"/>
              <w:rPr>
                <w:sz w:val="14"/>
                <w:szCs w:val="14"/>
                <w:color w:val="auto"/>
              </w:rPr>
            </w:pPr>
          </w:p>
        </w:tc>
        <w:tc>
          <w:tcPr>
            <w:tcW w:w="126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Value Recorded in</w:t>
            </w:r>
          </w:p>
        </w:tc>
        <w:tc>
          <w:tcPr>
            <w:tcW w:w="14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380" w:type="dxa"/>
            <w:vAlign w:val="bottom"/>
          </w:tcPr>
          <w:p>
            <w:pPr>
              <w:spacing w:after="0"/>
              <w:rPr>
                <w:sz w:val="16"/>
                <w:szCs w:val="16"/>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December 31, 2018</w:t>
            </w: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320" w:type="dxa"/>
            <w:vAlign w:val="bottom"/>
          </w:tcPr>
          <w:p>
            <w:pPr>
              <w:spacing w:after="0"/>
              <w:rPr>
                <w:sz w:val="16"/>
                <w:szCs w:val="16"/>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1260" w:type="dxa"/>
            <w:vAlign w:val="bottom"/>
          </w:tcPr>
          <w:p>
            <w:pPr>
              <w:jc w:val="right"/>
              <w:ind w:right="15"/>
              <w:spacing w:after="0"/>
              <w:rPr>
                <w:sz w:val="20"/>
                <w:szCs w:val="20"/>
                <w:color w:val="auto"/>
              </w:rPr>
            </w:pPr>
            <w:r>
              <w:rPr>
                <w:rFonts w:ascii="Arial" w:cs="Arial" w:eastAsia="Arial" w:hAnsi="Arial"/>
                <w:sz w:val="14"/>
                <w:szCs w:val="14"/>
                <w:b w:val="1"/>
                <w:bCs w:val="1"/>
                <w:color w:val="auto"/>
                <w:w w:val="90"/>
              </w:rPr>
              <w:t>December 31, 2019</w:t>
            </w:r>
          </w:p>
        </w:tc>
        <w:tc>
          <w:tcPr>
            <w:tcW w:w="0" w:type="dxa"/>
            <w:vAlign w:val="bottom"/>
          </w:tcPr>
          <w:p>
            <w:pPr>
              <w:spacing w:after="0"/>
              <w:rPr>
                <w:sz w:val="1"/>
                <w:szCs w:val="1"/>
                <w:color w:val="auto"/>
              </w:rPr>
            </w:pPr>
          </w:p>
        </w:tc>
      </w:tr>
      <w:tr>
        <w:trPr>
          <w:trHeight w:val="224"/>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Auxilium acquisition</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13,207</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Lehigh Valley Technologies, Inc. acquisitions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34,700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VOLTAREN</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xml:space="preserve"> Gel acquisition (1)</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9,464</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29,657</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change in fair value recorded in earnings includes the impact of certain competitive events occurring during 2019.</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121"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Company’s financial assets and liabilities measured at fair value on a nonrecurring basis during the years ended December 31, 2020 and 2019 were as follows (in thousands):</w:t>
      </w:r>
    </w:p>
    <w:p>
      <w:pPr>
        <w:spacing w:after="0" w:line="118" w:lineRule="exact"/>
        <w:rPr>
          <w:sz w:val="20"/>
          <w:szCs w:val="20"/>
          <w:color w:val="auto"/>
        </w:rPr>
      </w:pPr>
    </w:p>
    <w:tbl>
      <w:tblPr>
        <w:tblLayout w:type="fixed"/>
        <w:tblInd w:w="5480" w:type="dxa"/>
        <w:tblCellMar>
          <w:top w:w="0" w:type="dxa"/>
          <w:left w:w="0" w:type="dxa"/>
          <w:bottom w:w="0" w:type="dxa"/>
          <w:right w:w="0" w:type="dxa"/>
        </w:tblCellMar>
      </w:tblPr>
      <w:tr>
        <w:trPr>
          <w:trHeight w:val="161"/>
        </w:trPr>
        <w:tc>
          <w:tcPr>
            <w:tcW w:w="4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Fair Value Measurements during the Year Ended December 31, 2020</w:t>
            </w:r>
          </w:p>
        </w:tc>
        <w:tc>
          <w:tcPr>
            <w:tcW w:w="1460" w:type="dxa"/>
            <w:vAlign w:val="bottom"/>
            <w:vMerge w:val="restart"/>
          </w:tcPr>
          <w:p>
            <w:pPr>
              <w:jc w:val="center"/>
              <w:ind w:left="71"/>
              <w:spacing w:after="0"/>
              <w:rPr>
                <w:sz w:val="20"/>
                <w:szCs w:val="20"/>
                <w:color w:val="auto"/>
              </w:rPr>
            </w:pPr>
            <w:r>
              <w:rPr>
                <w:rFonts w:ascii="Arial" w:cs="Arial" w:eastAsia="Arial" w:hAnsi="Arial"/>
                <w:sz w:val="14"/>
                <w:szCs w:val="14"/>
                <w:b w:val="1"/>
                <w:bCs w:val="1"/>
                <w:color w:val="auto"/>
                <w:w w:val="92"/>
              </w:rPr>
              <w:t>Total Expense for the</w:t>
            </w:r>
          </w:p>
        </w:tc>
        <w:tc>
          <w:tcPr>
            <w:tcW w:w="0" w:type="dxa"/>
            <w:vAlign w:val="bottom"/>
          </w:tcPr>
          <w:p>
            <w:pPr>
              <w:spacing w:after="0"/>
              <w:rPr>
                <w:sz w:val="1"/>
                <w:szCs w:val="1"/>
                <w:color w:val="auto"/>
              </w:rPr>
            </w:pPr>
          </w:p>
        </w:tc>
      </w:tr>
      <w:tr>
        <w:trPr>
          <w:trHeight w:val="81"/>
        </w:trPr>
        <w:tc>
          <w:tcPr>
            <w:tcW w:w="1420" w:type="dxa"/>
            <w:vAlign w:val="bottom"/>
          </w:tcPr>
          <w:p>
            <w:pPr>
              <w:spacing w:after="0"/>
              <w:rPr>
                <w:sz w:val="7"/>
                <w:szCs w:val="7"/>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(1) using:</w:t>
            </w:r>
          </w:p>
        </w:tc>
        <w:tc>
          <w:tcPr>
            <w:tcW w:w="140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4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460" w:type="dxa"/>
            <w:vAlign w:val="bottom"/>
          </w:tcPr>
          <w:p>
            <w:pPr>
              <w:jc w:val="center"/>
              <w:ind w:left="71"/>
              <w:spacing w:after="0" w:line="107" w:lineRule="exact"/>
              <w:rPr>
                <w:sz w:val="20"/>
                <w:szCs w:val="20"/>
                <w:color w:val="auto"/>
              </w:rPr>
            </w:pPr>
            <w:r>
              <w:rPr>
                <w:rFonts w:ascii="Arial" w:cs="Arial" w:eastAsia="Arial" w:hAnsi="Arial"/>
                <w:sz w:val="12"/>
                <w:szCs w:val="12"/>
                <w:b w:val="1"/>
                <w:bCs w:val="1"/>
                <w:color w:val="auto"/>
              </w:rPr>
              <w:t>Year Ended</w:t>
            </w:r>
          </w:p>
        </w:tc>
        <w:tc>
          <w:tcPr>
            <w:tcW w:w="0" w:type="dxa"/>
            <w:vAlign w:val="bottom"/>
          </w:tcPr>
          <w:p>
            <w:pPr>
              <w:spacing w:after="0"/>
              <w:rPr>
                <w:sz w:val="1"/>
                <w:szCs w:val="1"/>
                <w:color w:val="auto"/>
              </w:rPr>
            </w:pPr>
          </w:p>
        </w:tc>
      </w:tr>
      <w:tr>
        <w:trPr>
          <w:trHeight w:val="195"/>
        </w:trPr>
        <w:tc>
          <w:tcPr>
            <w:tcW w:w="1420" w:type="dxa"/>
            <w:vAlign w:val="bottom"/>
          </w:tcPr>
          <w:p>
            <w:pPr>
              <w:ind w:left="240"/>
              <w:spacing w:after="0"/>
              <w:rPr>
                <w:sz w:val="20"/>
                <w:szCs w:val="20"/>
                <w:color w:val="auto"/>
              </w:rPr>
            </w:pPr>
            <w:r>
              <w:rPr>
                <w:rFonts w:ascii="Arial" w:cs="Arial" w:eastAsia="Arial" w:hAnsi="Arial"/>
                <w:sz w:val="14"/>
                <w:szCs w:val="14"/>
                <w:b w:val="1"/>
                <w:bCs w:val="1"/>
                <w:color w:val="auto"/>
              </w:rPr>
              <w:t>Level 1 Inputs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Level 2 Inputs</w:t>
            </w:r>
          </w:p>
        </w:tc>
        <w:tc>
          <w:tcPr>
            <w:tcW w:w="1400" w:type="dxa"/>
            <w:vAlign w:val="bottom"/>
          </w:tcPr>
          <w:p>
            <w:pPr>
              <w:ind w:left="280"/>
              <w:spacing w:after="0"/>
              <w:rPr>
                <w:sz w:val="20"/>
                <w:szCs w:val="20"/>
                <w:color w:val="auto"/>
              </w:rPr>
            </w:pPr>
            <w:r>
              <w:rPr>
                <w:rFonts w:ascii="Arial" w:cs="Arial" w:eastAsia="Arial" w:hAnsi="Arial"/>
                <w:sz w:val="14"/>
                <w:szCs w:val="14"/>
                <w:b w:val="1"/>
                <w:bCs w:val="1"/>
                <w:color w:val="auto"/>
              </w:rPr>
              <w:t>Level 3 Inputs</w:t>
            </w:r>
          </w:p>
        </w:tc>
        <w:tc>
          <w:tcPr>
            <w:tcW w:w="1460" w:type="dxa"/>
            <w:vAlign w:val="bottom"/>
          </w:tcPr>
          <w:p>
            <w:pPr>
              <w:jc w:val="center"/>
              <w:ind w:left="71"/>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Intangible assets, excluding goodwill (2)(3)</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Certain property, plant and equipment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right-of-use assets</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15,463</w:t>
            </w:r>
          </w:p>
        </w:tc>
        <w:tc>
          <w:tcPr>
            <w:tcW w:w="120" w:type="dxa"/>
            <w:vAlign w:val="bottom"/>
          </w:tcPr>
          <w:p>
            <w:pPr>
              <w:spacing w:after="0"/>
              <w:rPr>
                <w:sz w:val="19"/>
                <w:szCs w:val="19"/>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(79,917)</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(6,392)</w:t>
            </w:r>
          </w:p>
        </w:tc>
        <w:tc>
          <w:tcPr>
            <w:tcW w:w="0" w:type="dxa"/>
            <w:vAlign w:val="bottom"/>
          </w:tcPr>
          <w:p>
            <w:pPr>
              <w:spacing w:after="0"/>
              <w:rPr>
                <w:sz w:val="1"/>
                <w:szCs w:val="1"/>
                <w:color w:val="auto"/>
              </w:rPr>
            </w:pPr>
          </w:p>
        </w:tc>
      </w:tr>
      <w:tr>
        <w:trPr>
          <w:trHeight w:val="223"/>
        </w:trPr>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(87,558)</w:t>
            </w:r>
          </w:p>
        </w:tc>
        <w:tc>
          <w:tcPr>
            <w:tcW w:w="0" w:type="dxa"/>
            <w:vAlign w:val="bottom"/>
          </w:tcPr>
          <w:p>
            <w:pPr>
              <w:spacing w:after="0"/>
              <w:rPr>
                <w:sz w:val="1"/>
                <w:szCs w:val="1"/>
                <w:color w:val="auto"/>
              </w:rPr>
            </w:pPr>
          </w:p>
        </w:tc>
      </w:tr>
      <w:tr>
        <w:trPr>
          <w:trHeight w:val="21"/>
        </w:trPr>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4400" w:type="dxa"/>
            <w:vAlign w:val="bottom"/>
            <w:gridSpan w:val="9"/>
          </w:tcPr>
          <w:p>
            <w:pPr>
              <w:ind w:left="40"/>
              <w:spacing w:after="0"/>
              <w:rPr>
                <w:sz w:val="20"/>
                <w:szCs w:val="20"/>
                <w:color w:val="auto"/>
              </w:rPr>
            </w:pPr>
            <w:r>
              <w:rPr>
                <w:rFonts w:ascii="Arial" w:cs="Arial" w:eastAsia="Arial" w:hAnsi="Arial"/>
                <w:sz w:val="14"/>
                <w:szCs w:val="14"/>
                <w:b w:val="1"/>
                <w:bCs w:val="1"/>
                <w:color w:val="auto"/>
                <w:w w:val="95"/>
              </w:rPr>
              <w:t>Fair Value Measurements during the Year Ended December 31, 2019</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Total Expense for the</w:t>
            </w: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(1) using:</w:t>
            </w: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gridSpan w:val="2"/>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jc w:val="right"/>
              <w:ind w:right="236"/>
              <w:spacing w:after="0" w:line="107" w:lineRule="exact"/>
              <w:rPr>
                <w:sz w:val="20"/>
                <w:szCs w:val="20"/>
                <w:color w:val="auto"/>
              </w:rPr>
            </w:pPr>
            <w:r>
              <w:rPr>
                <w:rFonts w:ascii="Arial" w:cs="Arial" w:eastAsia="Arial" w:hAnsi="Arial"/>
                <w:sz w:val="12"/>
                <w:szCs w:val="12"/>
                <w:b w:val="1"/>
                <w:bCs w:val="1"/>
                <w:color w:val="auto"/>
              </w:rPr>
              <w:t>Year Ended</w:t>
            </w: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 Inputs</w:t>
            </w: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 Inputs</w:t>
            </w: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 Inputs</w:t>
            </w:r>
          </w:p>
        </w:tc>
        <w:tc>
          <w:tcPr>
            <w:tcW w:w="136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-786130</wp:posOffset>
            </wp:positionV>
            <wp:extent cx="7132320" cy="145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760" w:space="720"/>
            <w:col w:w="576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26"/>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excluding goodwill (3)</w:t>
            </w: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229,680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(347,706)</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Certain property, plant and equipment</w:t>
            </w:r>
          </w:p>
        </w:tc>
        <w:tc>
          <w:tcPr>
            <w:tcW w:w="62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(6,468)</w:t>
            </w:r>
          </w:p>
        </w:tc>
      </w:tr>
      <w:tr>
        <w:trPr>
          <w:trHeight w:val="248"/>
        </w:trPr>
        <w:tc>
          <w:tcPr>
            <w:tcW w:w="5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62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(354,174)</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80" w:hanging="329"/>
        <w:spacing w:after="0" w:line="241" w:lineRule="auto"/>
        <w:tabs>
          <w:tab w:leader="none" w:pos="572"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fair value amounts are presented as of the date of the fair value measurement as these assets are not measured at fair value on a recurring basis. Such measurements generally occur in connection with our quarter-end financial reporting close procedures.</w:t>
      </w:r>
    </w:p>
    <w:p>
      <w:pPr>
        <w:ind w:left="580" w:right="500" w:hanging="329"/>
        <w:spacing w:after="0" w:line="241" w:lineRule="auto"/>
        <w:tabs>
          <w:tab w:leader="none" w:pos="572"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These fair value measurements were determined using risk-adjusted discount rates ranging from approximately 10.0% to 12.0% (weighted average rate of approximately 11.3%, weighted based on relative fair value).</w:t>
      </w:r>
    </w:p>
    <w:p>
      <w:pPr>
        <w:ind w:left="580" w:right="60" w:hanging="329"/>
        <w:spacing w:after="0" w:line="255" w:lineRule="auto"/>
        <w:tabs>
          <w:tab w:leader="none" w:pos="572"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Company also performed fair value measurements in connection with its goodwill impairment tests. Refer to Note 11. Goodwill and Other Intangibles for additional information on goodwill and other intangible asset impairment tests, including information about the valuation methodologies utilized.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INVENTORIES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consist of the following at December 31, 2020 and December 31, 2019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2020</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2019</w:t>
            </w:r>
          </w:p>
        </w:tc>
      </w:tr>
      <w:tr>
        <w:trPr>
          <w:trHeight w:val="229"/>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 (1)</w:t>
            </w:r>
          </w:p>
        </w:tc>
        <w:tc>
          <w:tcPr>
            <w:tcW w:w="42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99,495</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124,171</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Work-in-process (1)</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98,753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65,392</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 (1)</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154,012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138,302</w:t>
            </w:r>
          </w:p>
        </w:tc>
      </w:tr>
      <w:tr>
        <w:trPr>
          <w:trHeight w:val="223"/>
        </w:trPr>
        <w:tc>
          <w:tcPr>
            <w:tcW w:w="8400" w:type="dxa"/>
            <w:vAlign w:val="bottom"/>
          </w:tcPr>
          <w:p>
            <w:pPr>
              <w:ind w:left="1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352,260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327,865</w:t>
            </w:r>
          </w:p>
        </w:tc>
      </w:tr>
      <w:tr>
        <w:trPr>
          <w:trHeight w:val="21"/>
        </w:trPr>
        <w:tc>
          <w:tcPr>
            <w:tcW w:w="8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components of inventory shown in the table above are net of allowance for obsolescence.</w:t>
      </w:r>
    </w:p>
    <w:p>
      <w:pPr>
        <w:spacing w:after="0" w:line="101" w:lineRule="exact"/>
        <w:rPr>
          <w:sz w:val="20"/>
          <w:szCs w:val="20"/>
          <w:color w:val="auto"/>
        </w:rPr>
      </w:pPr>
    </w:p>
    <w:p>
      <w:pPr>
        <w:ind w:right="80" w:firstLine="486"/>
        <w:spacing w:after="0" w:line="301" w:lineRule="auto"/>
        <w:rPr>
          <w:sz w:val="20"/>
          <w:szCs w:val="20"/>
          <w:color w:val="auto"/>
        </w:rPr>
      </w:pPr>
      <w:r>
        <w:rPr>
          <w:rFonts w:ascii="Arial" w:cs="Arial" w:eastAsia="Arial" w:hAnsi="Arial"/>
          <w:sz w:val="16"/>
          <w:szCs w:val="16"/>
          <w:color w:val="auto"/>
        </w:rPr>
        <w:t>Inventory that is in excess of the amount expected to be sold within one year is classified as noncurrent inventory and is not included in the table above. At December 31, 2020 and December 31, 2019, $13.2 million and $29.0 million, respectively, of noncurrent inventory was included in Other assets in the Consolidated Balance Sheets. As of December 31, 2020 and December 31, 2019, the Company’s Consolidated Balance Sheets included approximately $37.5 million and $17.6 million, respectively, of capitalized pre-launch inventories related to products that were not yet available to be sold.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5" w:name="page116"/>
    <w:bookmarkEnd w:id="1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121"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We have entered into contracts with third parties to lease a variety of assets, including certain real estate, machinery, equipment, automobiles and other assets.</w:t>
      </w:r>
    </w:p>
    <w:p>
      <w:pPr>
        <w:spacing w:after="0" w:line="62"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Our leases frequently allow for lease payments that could vary based on factors such as inflation or the degree of utilization of the underlying asset and the incurrence of contractual charges such as those for common area maintenance or utilities.</w:t>
      </w:r>
    </w:p>
    <w:p>
      <w:pPr>
        <w:spacing w:after="0" w:line="62"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Renewal and/or early termination options are common in our lease arrangements, particularly with respect to our real estate leases. Our right-of-use assets and lease liabilities generally exclude periods covered by renewal options and include periods covered by early termination options (based on our conclusion that it is not reasonably certain that we will exercise such options).</w:t>
      </w:r>
    </w:p>
    <w:p>
      <w:pPr>
        <w:spacing w:after="0" w:line="76"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Our most significant lease is for our Malvern, Pennsylvania location. The initial term of the lease is through 2024 and includes three renewal options, each for an additional 60-month period. These renewal options are not considered reasonably certain of exercise and are therefore excluded from the right-of-use asset and lease liability.</w:t>
      </w:r>
    </w:p>
    <w:p>
      <w:pPr>
        <w:spacing w:after="0" w:line="76"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We are party to certain sublease arrangements, primarily related to our real estate leases, where we act as the lessee and intermediate lessor. For example, we sublease portions of our Malvern, Pennsylvania facility to multiple tenants through sublease arrangements ending in 2024, with certain limited renewal and early termination options.</w:t>
      </w:r>
    </w:p>
    <w:p>
      <w:pPr>
        <w:spacing w:after="0" w:line="76"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following table presents information about the Company’s right-of-use assets and lease liabilities at December 31, 2020 and December 31, 2019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 Balance Sheets Line Items</w:t>
            </w: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2020</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3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Operating lease right-of-use assets</w:t>
            </w:r>
          </w:p>
        </w:tc>
        <w:tc>
          <w:tcPr>
            <w:tcW w:w="4000" w:type="dxa"/>
            <w:vAlign w:val="bottom"/>
            <w:gridSpan w:val="2"/>
          </w:tcPr>
          <w:p>
            <w:pPr>
              <w:ind w:left="20"/>
              <w:spacing w:after="0"/>
              <w:rPr>
                <w:sz w:val="20"/>
                <w:szCs w:val="20"/>
                <w:color w:val="auto"/>
              </w:rPr>
            </w:pPr>
            <w:r>
              <w:rPr>
                <w:rFonts w:ascii="Arial" w:cs="Arial" w:eastAsia="Arial" w:hAnsi="Arial"/>
                <w:sz w:val="18"/>
                <w:szCs w:val="18"/>
                <w:color w:val="auto"/>
              </w:rPr>
              <w:t>Operating lease assets</w:t>
            </w:r>
          </w:p>
        </w:tc>
        <w:tc>
          <w:tcPr>
            <w:tcW w:w="460" w:type="dxa"/>
            <w:vAlign w:val="bottom"/>
          </w:tcPr>
          <w:p>
            <w:pPr>
              <w:jc w:val="right"/>
              <w:ind w:right="25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37,030</w:t>
            </w:r>
          </w:p>
        </w:tc>
        <w:tc>
          <w:tcPr>
            <w:tcW w:w="12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51,700</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 right-of-use assets</w:t>
            </w: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56,793</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Arial" w:cs="Arial" w:eastAsia="Arial" w:hAnsi="Arial"/>
                <w:sz w:val="18"/>
                <w:szCs w:val="18"/>
                <w:color w:val="auto"/>
              </w:rPr>
              <w:t>Total right-of-use assets</w:t>
            </w:r>
          </w:p>
        </w:tc>
        <w:tc>
          <w:tcPr>
            <w:tcW w:w="3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84,579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108,493</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lease liabilities:</w:t>
            </w:r>
          </w:p>
        </w:tc>
        <w:tc>
          <w:tcPr>
            <w:tcW w:w="3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Current operating lease liabilities</w:t>
            </w:r>
          </w:p>
        </w:tc>
        <w:tc>
          <w:tcPr>
            <w:tcW w:w="4000" w:type="dxa"/>
            <w:vAlign w:val="bottom"/>
            <w:gridSpan w:val="2"/>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460" w:type="dxa"/>
            <w:vAlign w:val="bottom"/>
          </w:tcPr>
          <w:p>
            <w:pPr>
              <w:jc w:val="right"/>
              <w:ind w:right="25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11,613</w:t>
            </w:r>
          </w:p>
        </w:tc>
        <w:tc>
          <w:tcPr>
            <w:tcW w:w="12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10,763</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operating lease liabilities</w:t>
            </w: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48,299</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Arial" w:cs="Arial" w:eastAsia="Arial" w:hAnsi="Arial"/>
                <w:sz w:val="18"/>
                <w:szCs w:val="18"/>
                <w:color w:val="auto"/>
              </w:rPr>
              <w:t>Total operating lease liabilities</w:t>
            </w:r>
          </w:p>
        </w:tc>
        <w:tc>
          <w:tcPr>
            <w:tcW w:w="3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49,745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59,062</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Finance lease liabilities:</w:t>
            </w:r>
          </w:p>
        </w:tc>
        <w:tc>
          <w:tcPr>
            <w:tcW w:w="3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Current finance lease liabilities</w:t>
            </w:r>
          </w:p>
        </w:tc>
        <w:tc>
          <w:tcPr>
            <w:tcW w:w="4000" w:type="dxa"/>
            <w:vAlign w:val="bottom"/>
            <w:gridSpan w:val="2"/>
          </w:tcPr>
          <w:p>
            <w:pPr>
              <w:ind w:left="2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tcPr>
          <w:p>
            <w:pPr>
              <w:jc w:val="right"/>
              <w:ind w:right="25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6,227</w:t>
            </w:r>
          </w:p>
        </w:tc>
        <w:tc>
          <w:tcPr>
            <w:tcW w:w="12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finance lease liabilities</w:t>
            </w: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31,312</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Arial" w:cs="Arial" w:eastAsia="Arial" w:hAnsi="Arial"/>
                <w:sz w:val="18"/>
                <w:szCs w:val="18"/>
                <w:color w:val="auto"/>
              </w:rPr>
              <w:t>Total finance lease liabilities</w:t>
            </w:r>
          </w:p>
        </w:tc>
        <w:tc>
          <w:tcPr>
            <w:tcW w:w="3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36,984</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4000" w:type="dxa"/>
            <w:vAlign w:val="bottom"/>
            <w:gridSpan w:val="2"/>
            <w:vMerge w:val="restart"/>
          </w:tcPr>
          <w:p>
            <w:pPr>
              <w:ind w:left="1060"/>
              <w:spacing w:after="0"/>
              <w:rPr>
                <w:sz w:val="20"/>
                <w:szCs w:val="20"/>
                <w:color w:val="auto"/>
              </w:rPr>
            </w:pPr>
            <w:r>
              <w:rPr>
                <w:rFonts w:ascii="Arial" w:cs="Arial" w:eastAsia="Arial" w:hAnsi="Arial"/>
                <w:sz w:val="18"/>
                <w:szCs w:val="18"/>
                <w:color w:val="auto"/>
              </w:rPr>
              <w:t>F-30</w:t>
            </w: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4400" w:type="dxa"/>
            <w:vAlign w:val="bottom"/>
          </w:tcPr>
          <w:p>
            <w:pPr>
              <w:spacing w:after="0"/>
              <w:rPr>
                <w:sz w:val="24"/>
                <w:szCs w:val="24"/>
                <w:color w:val="auto"/>
              </w:rPr>
            </w:pPr>
          </w:p>
        </w:tc>
        <w:tc>
          <w:tcPr>
            <w:tcW w:w="400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following table presents information about lease costs and expenses and sublease income for the years ended December 31, 2020 and 2019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394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 Statements of Operations Line Items</w:t>
            </w:r>
          </w:p>
        </w:tc>
        <w:tc>
          <w:tcPr>
            <w:tcW w:w="320" w:type="dxa"/>
            <w:vAlign w:val="bottom"/>
          </w:tcPr>
          <w:p>
            <w:pPr>
              <w:spacing w:after="0"/>
              <w:rPr>
                <w:sz w:val="16"/>
                <w:szCs w:val="16"/>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29"/>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Various (1)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13,648</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right-of-use assets</w:t>
            </w: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Various (1)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9,407</w:t>
            </w: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1,716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1,986</w:t>
            </w: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lease costs and income:</w:t>
            </w:r>
          </w:p>
        </w:tc>
        <w:tc>
          <w:tcPr>
            <w:tcW w:w="3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4460" w:type="dxa"/>
            <w:vAlign w:val="bottom"/>
          </w:tcPr>
          <w:p>
            <w:pPr>
              <w:ind w:left="140"/>
              <w:spacing w:after="0"/>
              <w:rPr>
                <w:sz w:val="20"/>
                <w:szCs w:val="20"/>
                <w:color w:val="auto"/>
              </w:rPr>
            </w:pPr>
            <w:r>
              <w:rPr>
                <w:rFonts w:ascii="Arial" w:cs="Arial" w:eastAsia="Arial" w:hAnsi="Arial"/>
                <w:sz w:val="18"/>
                <w:szCs w:val="18"/>
                <w:color w:val="auto"/>
              </w:rPr>
              <w:t>Variable lease costs (2)</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Various (1)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10,305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9,653</w:t>
            </w:r>
          </w:p>
        </w:tc>
      </w:tr>
      <w:tr>
        <w:trPr>
          <w:trHeight w:val="230"/>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Operating lease right-of-use asset impairment charges</w:t>
            </w: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impairment charges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Sublease income</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Various (1)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(3,803)</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(3,689)</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20" w:hanging="329"/>
        <w:spacing w:after="0" w:line="255" w:lineRule="auto"/>
        <w:tabs>
          <w:tab w:leader="none" w:pos="572" w:val="left"/>
        </w:tabs>
        <w:numPr>
          <w:ilvl w:val="0"/>
          <w:numId w:val="72"/>
        </w:numPr>
        <w:rPr>
          <w:rFonts w:ascii="Arial" w:cs="Arial" w:eastAsia="Arial" w:hAnsi="Arial"/>
          <w:sz w:val="14"/>
          <w:szCs w:val="14"/>
          <w:color w:val="auto"/>
        </w:rPr>
      </w:pPr>
      <w:r>
        <w:rPr>
          <w:rFonts w:ascii="Arial" w:cs="Arial" w:eastAsia="Arial" w:hAnsi="Arial"/>
          <w:sz w:val="14"/>
          <w:szCs w:val="14"/>
          <w:color w:val="auto"/>
        </w:rPr>
        <w:t>Amounts are included in the Consolidated Statements of Operations based on the function that the underlying leased asset supports. The following table presents the components of such aggregate amounts for the years ended December 31, 2020 and 2019 (in thousands):</w:t>
      </w:r>
    </w:p>
    <w:p>
      <w:pPr>
        <w:spacing w:after="0" w:line="101"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73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r>
      <w:tr>
        <w:trPr>
          <w:trHeight w:val="189"/>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revenues</w:t>
            </w:r>
          </w:p>
        </w:tc>
        <w:tc>
          <w:tcPr>
            <w:tcW w:w="80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11,610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11,168</w:t>
            </w:r>
          </w:p>
        </w:tc>
      </w:tr>
      <w:tr>
        <w:trPr>
          <w:trHeight w:val="186"/>
        </w:trPr>
        <w:tc>
          <w:tcPr>
            <w:tcW w:w="732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18,108</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17,648</w:t>
            </w:r>
          </w:p>
        </w:tc>
      </w:tr>
      <w:tr>
        <w:trPr>
          <w:trHeight w:val="192"/>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80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r>
    </w:tbl>
    <w:p>
      <w:pPr>
        <w:spacing w:after="0" w:line="76" w:lineRule="exact"/>
        <w:rPr>
          <w:sz w:val="20"/>
          <w:szCs w:val="20"/>
          <w:color w:val="auto"/>
        </w:rPr>
      </w:pPr>
    </w:p>
    <w:p>
      <w:pPr>
        <w:ind w:left="580" w:right="200" w:hanging="329"/>
        <w:spacing w:after="0" w:line="273" w:lineRule="auto"/>
        <w:tabs>
          <w:tab w:leader="none" w:pos="572" w:val="left"/>
        </w:tabs>
        <w:numPr>
          <w:ilvl w:val="0"/>
          <w:numId w:val="73"/>
        </w:numPr>
        <w:rPr>
          <w:rFonts w:ascii="Arial" w:cs="Arial" w:eastAsia="Arial" w:hAnsi="Arial"/>
          <w:sz w:val="14"/>
          <w:szCs w:val="14"/>
          <w:color w:val="auto"/>
        </w:rPr>
      </w:pPr>
      <w:r>
        <w:rPr>
          <w:rFonts w:ascii="Arial" w:cs="Arial" w:eastAsia="Arial" w:hAnsi="Arial"/>
          <w:sz w:val="14"/>
          <w:szCs w:val="14"/>
          <w:color w:val="auto"/>
        </w:rPr>
        <w:t>Amounts represent variable lease costs incurred that were not included in the initial measurement of the lease liability such as common area maintenance and utilities costs associated with leased real estate and certain costs associated with our automobile leases.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Expenses incurred under operating leases, determined in accordance with ASC 840, were $18.7 million in 2018.</w:t>
      </w:r>
    </w:p>
    <w:p>
      <w:pPr>
        <w:spacing w:after="0" w:line="117"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following table provides the undiscounted amount of future cash flows included in our lease liabilities at December 31, 2020 for each of the five years subsequent to December 31, 2020 and thereafter, as well as a reconciliation of such undiscounted cash flows to our lease liabilities at December 31, 2020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Operating Leases</w:t>
            </w:r>
          </w:p>
        </w:tc>
        <w:tc>
          <w:tcPr>
            <w:tcW w:w="160" w:type="dxa"/>
            <w:vAlign w:val="bottom"/>
          </w:tcPr>
          <w:p>
            <w:pPr>
              <w:spacing w:after="0"/>
              <w:rPr>
                <w:sz w:val="16"/>
                <w:szCs w:val="16"/>
                <w:color w:val="auto"/>
              </w:rPr>
            </w:pPr>
          </w:p>
        </w:tc>
        <w:tc>
          <w:tcPr>
            <w:tcW w:w="1200" w:type="dxa"/>
            <w:vAlign w:val="bottom"/>
          </w:tcPr>
          <w:p>
            <w:pPr>
              <w:jc w:val="right"/>
              <w:ind w:right="132"/>
              <w:spacing w:after="0"/>
              <w:rPr>
                <w:sz w:val="20"/>
                <w:szCs w:val="20"/>
                <w:color w:val="auto"/>
              </w:rPr>
            </w:pPr>
            <w:r>
              <w:rPr>
                <w:rFonts w:ascii="Arial" w:cs="Arial" w:eastAsia="Arial" w:hAnsi="Arial"/>
                <w:sz w:val="14"/>
                <w:szCs w:val="14"/>
                <w:b w:val="1"/>
                <w:bCs w:val="1"/>
                <w:color w:val="auto"/>
                <w:w w:val="92"/>
              </w:rPr>
              <w:t>Finance Leases</w:t>
            </w:r>
          </w:p>
        </w:tc>
      </w:tr>
      <w:tr>
        <w:trPr>
          <w:trHeight w:val="229"/>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7,740</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7,894</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8,051</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r>
      <w:tr>
        <w:trPr>
          <w:trHeight w:val="23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12,299</w:t>
            </w: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58,418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44,483</w:t>
            </w:r>
          </w:p>
        </w:tc>
      </w:tr>
      <w:tr>
        <w:trPr>
          <w:trHeight w:val="22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 representing interest</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13,229</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future lease payments (lease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31,254</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provides the weighted average remaining lease term and weighted average discount rates for our leases as of December 31, 2020 and December 31, 2019:</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 2020</w:t>
            </w:r>
          </w:p>
        </w:tc>
        <w:tc>
          <w:tcPr>
            <w:tcW w:w="1500" w:type="dxa"/>
            <w:vAlign w:val="bottom"/>
          </w:tcPr>
          <w:p>
            <w:pPr>
              <w:jc w:val="right"/>
              <w:ind w:right="74"/>
              <w:spacing w:after="0"/>
              <w:rPr>
                <w:sz w:val="20"/>
                <w:szCs w:val="20"/>
                <w:color w:val="auto"/>
              </w:rPr>
            </w:pPr>
            <w:r>
              <w:rPr>
                <w:rFonts w:ascii="Arial" w:cs="Arial" w:eastAsia="Arial" w:hAnsi="Arial"/>
                <w:sz w:val="14"/>
                <w:szCs w:val="14"/>
                <w:b w:val="1"/>
                <w:bCs w:val="1"/>
                <w:color w:val="auto"/>
              </w:rPr>
              <w:t>December 31, 2019</w:t>
            </w:r>
          </w:p>
        </w:tc>
      </w:tr>
      <w:tr>
        <w:trPr>
          <w:trHeight w:val="216"/>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 weighted based on lease liability balances:</w:t>
            </w:r>
          </w:p>
        </w:tc>
        <w:tc>
          <w:tcPr>
            <w:tcW w:w="1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5.1 years</w:t>
            </w:r>
          </w:p>
        </w:tc>
        <w:tc>
          <w:tcPr>
            <w:tcW w:w="1500" w:type="dxa"/>
            <w:vAlign w:val="bottom"/>
          </w:tcPr>
          <w:p>
            <w:pPr>
              <w:jc w:val="right"/>
              <w:spacing w:after="0"/>
              <w:rPr>
                <w:sz w:val="20"/>
                <w:szCs w:val="20"/>
                <w:color w:val="auto"/>
              </w:rPr>
            </w:pPr>
            <w:r>
              <w:rPr>
                <w:rFonts w:ascii="Arial" w:cs="Arial" w:eastAsia="Arial" w:hAnsi="Arial"/>
                <w:sz w:val="18"/>
                <w:szCs w:val="18"/>
                <w:color w:val="auto"/>
              </w:rPr>
              <w:t>5.9 years</w:t>
            </w: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 years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years</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w w:val="93"/>
              </w:rPr>
              <w:t>Weighted average discount rate (percentages), weighted based on the remaining balance of lease payments:</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1500" w:type="dxa"/>
            <w:vAlign w:val="bottom"/>
          </w:tcPr>
          <w:p>
            <w:pPr>
              <w:jc w:val="right"/>
              <w:spacing w:after="0"/>
              <w:rPr>
                <w:sz w:val="20"/>
                <w:szCs w:val="20"/>
                <w:color w:val="auto"/>
              </w:rPr>
            </w:pPr>
            <w:r>
              <w:rPr>
                <w:rFonts w:ascii="Arial" w:cs="Arial" w:eastAsia="Arial" w:hAnsi="Arial"/>
                <w:sz w:val="18"/>
                <w:szCs w:val="18"/>
                <w:color w:val="auto"/>
              </w:rPr>
              <w:t>5.6 %</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5.5 %</w:t>
            </w:r>
          </w:p>
        </w:tc>
      </w:tr>
      <w:tr>
        <w:trPr>
          <w:trHeight w:val="742"/>
        </w:trPr>
        <w:tc>
          <w:tcPr>
            <w:tcW w:w="8160" w:type="dxa"/>
            <w:vAlign w:val="bottom"/>
          </w:tcPr>
          <w:p>
            <w:pPr>
              <w:ind w:left="5460"/>
              <w:spacing w:after="0"/>
              <w:rPr>
                <w:sz w:val="20"/>
                <w:szCs w:val="20"/>
                <w:color w:val="auto"/>
              </w:rPr>
            </w:pPr>
            <w:r>
              <w:rPr>
                <w:rFonts w:ascii="Arial" w:cs="Arial" w:eastAsia="Arial" w:hAnsi="Arial"/>
                <w:sz w:val="18"/>
                <w:szCs w:val="18"/>
                <w:color w:val="auto"/>
              </w:rPr>
              <w:t>F-31</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15"/>
        </w:trPr>
        <w:tc>
          <w:tcPr>
            <w:tcW w:w="8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following table provides certain cash flow and supplemental noncash information related to our lease liabilities for the years ended December 31, 2020 and 2019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15"/>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Operating cash payments for operating leases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14,598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14,940</w:t>
            </w: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payments for finance leases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Financing cash payments for finance leases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4,884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9,196</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arising from obtaining right-of-use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623</w:t>
            </w: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PROPERTY, PLANT AND EQUIPMENT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plant and equipment, net consists of the following at December 31, 2020 and December 31, 2019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2020</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2019</w:t>
            </w:r>
          </w:p>
        </w:tc>
      </w:tr>
      <w:tr>
        <w:trPr>
          <w:trHeight w:val="229"/>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buildings</w:t>
            </w:r>
          </w:p>
        </w:tc>
        <w:tc>
          <w:tcPr>
            <w:tcW w:w="38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291,212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285,866</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275,846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262,056</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70,324</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126,437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117,037</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13,443</w:t>
            </w: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Assets under construction</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84,759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73,213</w:t>
            </w:r>
          </w:p>
        </w:tc>
      </w:tr>
      <w:tr>
        <w:trPr>
          <w:trHeight w:val="223"/>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property, plant and equipment, gross</w:t>
            </w: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866,646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821,939</w:t>
            </w:r>
          </w:p>
        </w:tc>
      </w:tr>
      <w:tr>
        <w:trPr>
          <w:trHeight w:val="22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(408,175)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(317,074)</w:t>
            </w:r>
          </w:p>
        </w:tc>
      </w:tr>
      <w:tr>
        <w:trPr>
          <w:trHeight w:val="248"/>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property, plant and equipment, net</w:t>
            </w: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504,865</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Depreciation expense was $91.3 million, $69.0 million and $101.4 million for the years ended December 31, 2020, 2019 and 2018, respectively.</w:t>
      </w:r>
    </w:p>
    <w:p>
      <w:pPr>
        <w:spacing w:after="0" w:line="140"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During the years ended December 31, 2020, 2019 and 2018, the Company recorded property, plant and equipment impairment charges totaling $1.2 million, $6.5 million and $6.5 million, respectively. These charges are included in the Asset impairment charges line item in our Consolidated Statement of Operations and primarily reflect the write-off of certain property, plant and equipment.</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At December 31, 2020 and December 31, 2019, $141.4 million and $104.3 million of the Company’s Property, plant and equipment, representing net book amounts, were located in India. At December 31, 2020 and December 31, 2019, there were no other material tangible long-lived assets located outside of the U.S., individually or in the aggregate.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GOODWILL AND OTHER INTANGIBLES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the carrying amount of our goodwill for the years ended December 31, 2020 and 2019 were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334"/>
              <w:spacing w:after="0"/>
              <w:rPr>
                <w:sz w:val="20"/>
                <w:szCs w:val="20"/>
                <w:color w:val="auto"/>
              </w:rPr>
            </w:pPr>
            <w:r>
              <w:rPr>
                <w:rFonts w:ascii="Arial" w:cs="Arial" w:eastAsia="Arial" w:hAnsi="Arial"/>
                <w:sz w:val="14"/>
                <w:szCs w:val="14"/>
                <w:b w:val="1"/>
                <w:bCs w:val="1"/>
                <w:color w:val="auto"/>
              </w:rPr>
              <w:t>Branded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Sterile Injectables</w:t>
            </w: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Generic</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International</w:t>
            </w:r>
          </w:p>
        </w:tc>
        <w:tc>
          <w:tcPr>
            <w:tcW w:w="32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74"/>
              <w:spacing w:after="0"/>
              <w:rPr>
                <w:sz w:val="20"/>
                <w:szCs w:val="20"/>
                <w:color w:val="auto"/>
              </w:rPr>
            </w:pPr>
            <w:r>
              <w:rPr>
                <w:rFonts w:ascii="Arial" w:cs="Arial" w:eastAsia="Arial" w:hAnsi="Arial"/>
                <w:sz w:val="14"/>
                <w:szCs w:val="14"/>
                <w:b w:val="1"/>
                <w:bCs w:val="1"/>
                <w:color w:val="auto"/>
                <w:w w:val="93"/>
              </w:rPr>
              <w:t>Pharmaceuticals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Pharmaceuticals</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Pharmaceuticals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as of 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828,818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2,731,193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3,764,636</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Effect of currency translation</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charges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(171,908)</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Goodwill as of December 31,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828,818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2,731,193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35,173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3,595,184</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currency translation</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Goodwill impairment charges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(32,786)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(32,786)</w:t>
            </w:r>
          </w:p>
        </w:tc>
        <w:tc>
          <w:tcPr>
            <w:tcW w:w="0" w:type="dxa"/>
            <w:vAlign w:val="bottom"/>
          </w:tcPr>
          <w:p>
            <w:pPr>
              <w:spacing w:after="0"/>
              <w:rPr>
                <w:sz w:val="1"/>
                <w:szCs w:val="1"/>
                <w:color w:val="auto"/>
              </w:rPr>
            </w:pPr>
          </w:p>
        </w:tc>
      </w:tr>
      <w:tr>
        <w:trPr>
          <w:trHeight w:val="24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as of December 31,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828,818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2,731,193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3,560,011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gridSpan w:val="4"/>
          </w:tcPr>
          <w:p>
            <w:pPr>
              <w:ind w:left="80"/>
              <w:spacing w:after="0"/>
              <w:rPr>
                <w:sz w:val="20"/>
                <w:szCs w:val="20"/>
                <w:color w:val="auto"/>
              </w:rPr>
            </w:pPr>
            <w:r>
              <w:rPr>
                <w:rFonts w:ascii="Arial" w:cs="Arial" w:eastAsia="Arial" w:hAnsi="Arial"/>
                <w:sz w:val="18"/>
                <w:szCs w:val="18"/>
                <w:color w:val="auto"/>
              </w:rPr>
              <w:t>F-32</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carrying amounts of goodwill at December 31, 2020 and December 31, 2019 are net of the following accumulated impairments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Branded</w:t>
            </w:r>
          </w:p>
        </w:tc>
        <w:tc>
          <w:tcPr>
            <w:tcW w:w="120" w:type="dxa"/>
            <w:vAlign w:val="bottom"/>
          </w:tcPr>
          <w:p>
            <w:pPr>
              <w:spacing w:after="0"/>
              <w:rPr>
                <w:sz w:val="14"/>
                <w:szCs w:val="14"/>
                <w:color w:val="auto"/>
              </w:rPr>
            </w:pPr>
          </w:p>
        </w:tc>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Sterile Injectables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Generic</w:t>
            </w:r>
          </w:p>
        </w:tc>
        <w:tc>
          <w:tcPr>
            <w:tcW w:w="14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International</w:t>
            </w:r>
          </w:p>
        </w:tc>
        <w:tc>
          <w:tcPr>
            <w:tcW w:w="320" w:type="dxa"/>
            <w:vAlign w:val="bottom"/>
          </w:tcPr>
          <w:p>
            <w:pPr>
              <w:spacing w:after="0"/>
              <w:rPr>
                <w:sz w:val="14"/>
                <w:szCs w:val="14"/>
                <w:color w:val="auto"/>
              </w:rPr>
            </w:pPr>
          </w:p>
        </w:tc>
        <w:tc>
          <w:tcPr>
            <w:tcW w:w="104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3"/>
              </w:rPr>
              <w:t>Pharmaceuticals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3"/>
              </w:rPr>
              <w:t>Pharmaceuticals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3"/>
              </w:rPr>
              <w:t>Pharmaceuticals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w w:val="95"/>
              </w:rPr>
              <w:t>Accumulated impairment losses as of December 31,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855,810</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3,142,657</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500,417</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4,498,884</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line="176" w:lineRule="exact"/>
              <w:rPr>
                <w:sz w:val="20"/>
                <w:szCs w:val="20"/>
                <w:color w:val="auto"/>
              </w:rPr>
            </w:pPr>
            <w:r>
              <w:rPr>
                <w:rFonts w:ascii="Arial" w:cs="Arial" w:eastAsia="Arial" w:hAnsi="Arial"/>
                <w:sz w:val="18"/>
                <w:szCs w:val="18"/>
                <w:color w:val="auto"/>
                <w:w w:val="95"/>
              </w:rPr>
              <w:t>Accumulated impairment losses as of December 31,</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855,810</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tcPr>
          <w:p>
            <w:pPr>
              <w:ind w:left="9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3,142,657</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546,251</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4,544,718</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2020</w:t>
            </w:r>
          </w:p>
        </w:tc>
        <w:tc>
          <w:tcPr>
            <w:tcW w:w="14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Changes in the amount of other intangible assets for the year ended December 31, 2020 are set forth in the table below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Cost basis:</w:t>
            </w:r>
          </w:p>
        </w:tc>
        <w:tc>
          <w:tcPr>
            <w:tcW w:w="180" w:type="dxa"/>
            <w:vAlign w:val="bottom"/>
          </w:tcPr>
          <w:p>
            <w:pPr>
              <w:spacing w:after="0"/>
              <w:rPr>
                <w:sz w:val="14"/>
                <w:szCs w:val="14"/>
                <w:color w:val="auto"/>
              </w:rPr>
            </w:pPr>
          </w:p>
        </w:tc>
        <w:tc>
          <w:tcPr>
            <w:tcW w:w="1160" w:type="dxa"/>
            <w:vAlign w:val="bottom"/>
          </w:tcPr>
          <w:p>
            <w:pPr>
              <w:jc w:val="center"/>
              <w:ind w:right="73"/>
              <w:spacing w:after="0"/>
              <w:rPr>
                <w:sz w:val="20"/>
                <w:szCs w:val="20"/>
                <w:color w:val="auto"/>
              </w:rPr>
            </w:pPr>
            <w:r>
              <w:rPr>
                <w:rFonts w:ascii="Arial" w:cs="Arial" w:eastAsia="Arial" w:hAnsi="Arial"/>
                <w:sz w:val="14"/>
                <w:szCs w:val="14"/>
                <w:b w:val="1"/>
                <w:bCs w:val="1"/>
                <w:color w:val="auto"/>
                <w:w w:val="88"/>
              </w:rPr>
              <w:t>Balance as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Acquisitions</w:t>
            </w:r>
          </w:p>
        </w:tc>
        <w:tc>
          <w:tcPr>
            <w:tcW w:w="18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Impairments</w:t>
            </w:r>
          </w:p>
        </w:tc>
        <w:tc>
          <w:tcPr>
            <w:tcW w:w="24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Other (1)</w:t>
            </w: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Effect of Currency</w:t>
            </w:r>
          </w:p>
        </w:tc>
        <w:tc>
          <w:tcPr>
            <w:tcW w:w="200" w:type="dxa"/>
            <w:vAlign w:val="bottom"/>
          </w:tcPr>
          <w:p>
            <w:pPr>
              <w:spacing w:after="0"/>
              <w:rPr>
                <w:sz w:val="14"/>
                <w:szCs w:val="14"/>
                <w:color w:val="auto"/>
              </w:rPr>
            </w:pPr>
          </w:p>
        </w:tc>
        <w:tc>
          <w:tcPr>
            <w:tcW w:w="1160" w:type="dxa"/>
            <w:vAlign w:val="bottom"/>
          </w:tcPr>
          <w:p>
            <w:pPr>
              <w:jc w:val="center"/>
              <w:ind w:right="113"/>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89"/>
        </w:trPr>
        <w:tc>
          <w:tcPr>
            <w:tcW w:w="2600" w:type="dxa"/>
            <w:vAlign w:val="bottom"/>
            <w:vMerge w:val="continue"/>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Translation</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09"/>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Indefinite-lived intangibles:</w:t>
            </w: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600" w:type="dxa"/>
            <w:vAlign w:val="bottom"/>
          </w:tcPr>
          <w:p>
            <w:pPr>
              <w:ind w:left="140"/>
              <w:spacing w:after="0" w:line="176" w:lineRule="exact"/>
              <w:rPr>
                <w:sz w:val="20"/>
                <w:szCs w:val="20"/>
                <w:color w:val="auto"/>
              </w:rPr>
            </w:pPr>
            <w:r>
              <w:rPr>
                <w:rFonts w:ascii="Arial" w:cs="Arial" w:eastAsia="Arial" w:hAnsi="Arial"/>
                <w:sz w:val="18"/>
                <w:szCs w:val="18"/>
                <w:color w:val="auto"/>
              </w:rPr>
              <w:t>In-process research and</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93,900</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tcPr>
          <w:p>
            <w:pPr>
              <w:ind w:left="92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(90,900)</w:t>
            </w:r>
          </w:p>
        </w:tc>
        <w:tc>
          <w:tcPr>
            <w:tcW w:w="120" w:type="dxa"/>
            <w:vAlign w:val="bottom"/>
          </w:tcPr>
          <w:p>
            <w:pPr>
              <w:spacing w:after="0"/>
              <w:rPr>
                <w:sz w:val="15"/>
                <w:szCs w:val="15"/>
                <w:color w:val="auto"/>
              </w:rPr>
            </w:pPr>
          </w:p>
        </w:tc>
        <w:tc>
          <w:tcPr>
            <w:tcW w:w="200" w:type="dxa"/>
            <w:vAlign w:val="bottom"/>
            <w:vMerge w:val="restart"/>
          </w:tcPr>
          <w:p>
            <w:pPr>
              <w:jc w:val="right"/>
              <w:ind w:right="14"/>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2600" w:type="dxa"/>
            <w:vAlign w:val="bottom"/>
          </w:tcPr>
          <w:p>
            <w:pPr>
              <w:ind w:left="140"/>
              <w:spacing w:after="0"/>
              <w:rPr>
                <w:sz w:val="20"/>
                <w:szCs w:val="20"/>
                <w:color w:val="auto"/>
              </w:rPr>
            </w:pPr>
            <w:r>
              <w:rPr>
                <w:rFonts w:ascii="Arial" w:cs="Arial" w:eastAsia="Arial" w:hAnsi="Arial"/>
                <w:sz w:val="18"/>
                <w:szCs w:val="18"/>
                <w:color w:val="auto"/>
              </w:rPr>
              <w:t>development</w:t>
            </w:r>
          </w:p>
        </w:tc>
        <w:tc>
          <w:tcPr>
            <w:tcW w:w="18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7"/>
              </w:rPr>
              <w:t>Total indefinite-lived intangibles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93,900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0"/>
        </w:trPr>
        <w:tc>
          <w:tcPr>
            <w:tcW w:w="2600" w:type="dxa"/>
            <w:vAlign w:val="bottom"/>
          </w:tcPr>
          <w:p>
            <w:pPr>
              <w:ind w:left="20"/>
              <w:spacing w:after="0"/>
              <w:rPr>
                <w:sz w:val="20"/>
                <w:szCs w:val="20"/>
                <w:color w:val="auto"/>
              </w:rPr>
            </w:pPr>
            <w:r>
              <w:rPr>
                <w:rFonts w:ascii="Arial" w:cs="Arial" w:eastAsia="Arial" w:hAnsi="Arial"/>
                <w:sz w:val="18"/>
                <w:szCs w:val="18"/>
                <w:color w:val="auto"/>
              </w:rPr>
              <w:t>Finite-lived intangibles: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6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Licenses (weighted average life</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457,402</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ind w:left="520"/>
              <w:spacing w:after="0"/>
              <w:rPr>
                <w:sz w:val="20"/>
                <w:szCs w:val="20"/>
                <w:color w:val="auto"/>
              </w:rPr>
            </w:pPr>
            <w:r>
              <w:rPr>
                <w:rFonts w:ascii="Arial" w:cs="Arial" w:eastAsia="Arial" w:hAnsi="Arial"/>
                <w:sz w:val="18"/>
                <w:szCs w:val="18"/>
                <w:color w:val="auto"/>
                <w:w w:val="92"/>
              </w:rPr>
              <w:t>(15,000)</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439,230</w:t>
            </w: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14 years)</w:t>
            </w:r>
          </w:p>
        </w:tc>
        <w:tc>
          <w:tcPr>
            <w:tcW w:w="18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140"/>
              <w:spacing w:after="0"/>
              <w:rPr>
                <w:sz w:val="20"/>
                <w:szCs w:val="20"/>
                <w:color w:val="auto"/>
              </w:rPr>
            </w:pPr>
            <w:r>
              <w:rPr>
                <w:rFonts w:ascii="Arial" w:cs="Arial" w:eastAsia="Arial" w:hAnsi="Arial"/>
                <w:sz w:val="18"/>
                <w:szCs w:val="18"/>
                <w:color w:val="auto"/>
              </w:rPr>
              <w:t>Tradenames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176"/>
        </w:trPr>
        <w:tc>
          <w:tcPr>
            <w:tcW w:w="26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Developed technology (weighted</w:t>
            </w: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5,844,439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673,796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ind w:left="520"/>
              <w:spacing w:after="0"/>
              <w:rPr>
                <w:sz w:val="20"/>
                <w:szCs w:val="20"/>
                <w:color w:val="auto"/>
              </w:rPr>
            </w:pPr>
            <w:r>
              <w:rPr>
                <w:rFonts w:ascii="Arial" w:cs="Arial" w:eastAsia="Arial" w:hAnsi="Arial"/>
                <w:sz w:val="18"/>
                <w:szCs w:val="18"/>
                <w:color w:val="auto"/>
                <w:w w:val="92"/>
              </w:rPr>
              <w:t>(64,917)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(15,428)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4,844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6,442,734</w:t>
            </w: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average life of 11 years)</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600" w:type="dxa"/>
            <w:vAlign w:val="bottom"/>
          </w:tcPr>
          <w:p>
            <w:pPr>
              <w:ind w:left="140"/>
              <w:spacing w:after="0" w:line="156" w:lineRule="exact"/>
              <w:rPr>
                <w:sz w:val="20"/>
                <w:szCs w:val="20"/>
                <w:color w:val="auto"/>
              </w:rPr>
            </w:pPr>
            <w:r>
              <w:rPr>
                <w:rFonts w:ascii="Arial" w:cs="Arial" w:eastAsia="Arial" w:hAnsi="Arial"/>
                <w:sz w:val="18"/>
                <w:szCs w:val="18"/>
                <w:color w:val="auto"/>
              </w:rPr>
              <w:t>Total finite-lived intangibles</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00" w:type="dxa"/>
            <w:vAlign w:val="bottom"/>
          </w:tcPr>
          <w:p>
            <w:pPr>
              <w:ind w:left="140"/>
              <w:spacing w:after="0" w:line="176" w:lineRule="exact"/>
              <w:rPr>
                <w:sz w:val="20"/>
                <w:szCs w:val="20"/>
                <w:color w:val="auto"/>
              </w:rPr>
            </w:pPr>
            <w:r>
              <w:rPr>
                <w:rFonts w:ascii="Arial" w:cs="Arial" w:eastAsia="Arial" w:hAnsi="Arial"/>
                <w:sz w:val="18"/>
                <w:szCs w:val="18"/>
                <w:color w:val="auto"/>
              </w:rPr>
              <w:t>(weighted average life of 11</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6,308,250</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673,796</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ind w:left="520"/>
              <w:spacing w:after="0"/>
              <w:rPr>
                <w:sz w:val="20"/>
                <w:szCs w:val="20"/>
                <w:color w:val="auto"/>
              </w:rPr>
            </w:pPr>
            <w:r>
              <w:rPr>
                <w:rFonts w:ascii="Arial" w:cs="Arial" w:eastAsia="Arial" w:hAnsi="Arial"/>
                <w:sz w:val="18"/>
                <w:szCs w:val="18"/>
                <w:color w:val="auto"/>
                <w:w w:val="92"/>
              </w:rPr>
              <w:t>(79,917)</w:t>
            </w:r>
          </w:p>
        </w:tc>
        <w:tc>
          <w:tcPr>
            <w:tcW w:w="12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(18,600)</w:t>
            </w:r>
          </w:p>
        </w:tc>
        <w:tc>
          <w:tcPr>
            <w:tcW w:w="120" w:type="dxa"/>
            <w:vAlign w:val="bottom"/>
          </w:tcPr>
          <w:p>
            <w:pPr>
              <w:spacing w:after="0"/>
              <w:rPr>
                <w:sz w:val="15"/>
                <w:szCs w:val="15"/>
                <w:color w:val="auto"/>
              </w:rPr>
            </w:pPr>
          </w:p>
        </w:tc>
        <w:tc>
          <w:tcPr>
            <w:tcW w:w="200" w:type="dxa"/>
            <w:vAlign w:val="bottom"/>
            <w:vMerge w:val="restart"/>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4,844</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6,888,373</w:t>
            </w:r>
          </w:p>
        </w:tc>
        <w:tc>
          <w:tcPr>
            <w:tcW w:w="0" w:type="dxa"/>
            <w:vAlign w:val="bottom"/>
          </w:tcPr>
          <w:p>
            <w:pPr>
              <w:spacing w:after="0"/>
              <w:rPr>
                <w:sz w:val="1"/>
                <w:szCs w:val="1"/>
                <w:color w:val="auto"/>
              </w:rPr>
            </w:pPr>
          </w:p>
        </w:tc>
      </w:tr>
      <w:tr>
        <w:trPr>
          <w:trHeight w:val="230"/>
        </w:trPr>
        <w:tc>
          <w:tcPr>
            <w:tcW w:w="2600" w:type="dxa"/>
            <w:vAlign w:val="bottom"/>
          </w:tcPr>
          <w:p>
            <w:pPr>
              <w:ind w:left="140"/>
              <w:spacing w:after="0"/>
              <w:rPr>
                <w:sz w:val="20"/>
                <w:szCs w:val="20"/>
                <w:color w:val="auto"/>
              </w:rPr>
            </w:pPr>
            <w:r>
              <w:rPr>
                <w:rFonts w:ascii="Arial" w:cs="Arial" w:eastAsia="Arial" w:hAnsi="Arial"/>
                <w:sz w:val="18"/>
                <w:szCs w:val="18"/>
                <w:color w:val="auto"/>
              </w:rPr>
              <w:t>years)</w:t>
            </w:r>
          </w:p>
        </w:tc>
        <w:tc>
          <w:tcPr>
            <w:tcW w:w="18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6,402,150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673,796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2"/>
              </w:rPr>
              <w:t>(79,917)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6,891,373</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180" w:type="dxa"/>
            <w:vAlign w:val="bottom"/>
          </w:tcPr>
          <w:p>
            <w:pPr>
              <w:spacing w:after="0"/>
              <w:rPr>
                <w:sz w:val="11"/>
                <w:szCs w:val="11"/>
                <w:color w:val="auto"/>
              </w:rPr>
            </w:pPr>
          </w:p>
        </w:tc>
        <w:tc>
          <w:tcPr>
            <w:tcW w:w="1160" w:type="dxa"/>
            <w:vAlign w:val="bottom"/>
          </w:tcPr>
          <w:p>
            <w:pPr>
              <w:jc w:val="center"/>
              <w:ind w:right="73"/>
              <w:spacing w:after="0" w:line="136" w:lineRule="exact"/>
              <w:rPr>
                <w:sz w:val="20"/>
                <w:szCs w:val="20"/>
                <w:color w:val="auto"/>
              </w:rPr>
            </w:pPr>
            <w:r>
              <w:rPr>
                <w:rFonts w:ascii="Arial" w:cs="Arial" w:eastAsia="Arial" w:hAnsi="Arial"/>
                <w:sz w:val="14"/>
                <w:szCs w:val="14"/>
                <w:b w:val="1"/>
                <w:bCs w:val="1"/>
                <w:color w:val="auto"/>
                <w:w w:val="88"/>
              </w:rPr>
              <w:t>Balance as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1"/>
                <w:szCs w:val="11"/>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Impairments</w:t>
            </w:r>
          </w:p>
        </w:tc>
        <w:tc>
          <w:tcPr>
            <w:tcW w:w="240" w:type="dxa"/>
            <w:vAlign w:val="bottom"/>
          </w:tcPr>
          <w:p>
            <w:pPr>
              <w:spacing w:after="0"/>
              <w:rPr>
                <w:sz w:val="11"/>
                <w:szCs w:val="11"/>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Other (1)</w:t>
            </w:r>
          </w:p>
        </w:tc>
        <w:tc>
          <w:tcPr>
            <w:tcW w:w="1440" w:type="dxa"/>
            <w:vAlign w:val="bottom"/>
            <w:gridSpan w:val="3"/>
          </w:tcPr>
          <w:p>
            <w:pPr>
              <w:jc w:val="center"/>
              <w:ind w:right="100"/>
              <w:spacing w:after="0" w:line="136" w:lineRule="exact"/>
              <w:rPr>
                <w:sz w:val="20"/>
                <w:szCs w:val="20"/>
                <w:color w:val="auto"/>
              </w:rPr>
            </w:pPr>
            <w:r>
              <w:rPr>
                <w:rFonts w:ascii="Arial" w:cs="Arial" w:eastAsia="Arial" w:hAnsi="Arial"/>
                <w:sz w:val="14"/>
                <w:szCs w:val="14"/>
                <w:b w:val="1"/>
                <w:bCs w:val="1"/>
                <w:color w:val="auto"/>
                <w:w w:val="93"/>
              </w:rPr>
              <w:t>Effect of Currency</w:t>
            </w:r>
          </w:p>
        </w:tc>
        <w:tc>
          <w:tcPr>
            <w:tcW w:w="200" w:type="dxa"/>
            <w:vAlign w:val="bottom"/>
          </w:tcPr>
          <w:p>
            <w:pPr>
              <w:spacing w:after="0"/>
              <w:rPr>
                <w:sz w:val="11"/>
                <w:szCs w:val="11"/>
                <w:color w:val="auto"/>
              </w:rPr>
            </w:pPr>
          </w:p>
        </w:tc>
        <w:tc>
          <w:tcPr>
            <w:tcW w:w="1160" w:type="dxa"/>
            <w:vAlign w:val="bottom"/>
          </w:tcPr>
          <w:p>
            <w:pPr>
              <w:jc w:val="center"/>
              <w:ind w:right="113"/>
              <w:spacing w:after="0" w:line="136" w:lineRule="exact"/>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89"/>
        </w:trPr>
        <w:tc>
          <w:tcPr>
            <w:tcW w:w="2600" w:type="dxa"/>
            <w:vAlign w:val="bottom"/>
            <w:vMerge w:val="continue"/>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Translation</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10"/>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intangibles:</w:t>
            </w: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140"/>
              <w:spacing w:after="0"/>
              <w:rPr>
                <w:sz w:val="20"/>
                <w:szCs w:val="20"/>
                <w:color w:val="auto"/>
              </w:rPr>
            </w:pPr>
            <w:r>
              <w:rPr>
                <w:rFonts w:ascii="Arial" w:cs="Arial" w:eastAsia="Arial" w:hAnsi="Arial"/>
                <w:sz w:val="18"/>
                <w:szCs w:val="18"/>
                <w:color w:val="auto"/>
              </w:rPr>
              <w:t>Licenses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(410,336)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(8,029)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3,172</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(415,193)</w:t>
            </w: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Tradenames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229"/>
        </w:trPr>
        <w:tc>
          <w:tcPr>
            <w:tcW w:w="2600" w:type="dxa"/>
            <w:vAlign w:val="bottom"/>
          </w:tcPr>
          <w:p>
            <w:pPr>
              <w:ind w:left="140"/>
              <w:spacing w:after="0"/>
              <w:rPr>
                <w:sz w:val="20"/>
                <w:szCs w:val="20"/>
                <w:color w:val="auto"/>
              </w:rPr>
            </w:pPr>
            <w:r>
              <w:rPr>
                <w:rFonts w:ascii="Arial" w:cs="Arial" w:eastAsia="Arial" w:hAnsi="Arial"/>
                <w:sz w:val="18"/>
                <w:szCs w:val="18"/>
                <w:color w:val="auto"/>
              </w:rPr>
              <w:t>Developed technology</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(3,414,138)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(419,514)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108,328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(3,728,963)</w:t>
            </w:r>
          </w:p>
        </w:tc>
        <w:tc>
          <w:tcPr>
            <w:tcW w:w="0" w:type="dxa"/>
            <w:vAlign w:val="bottom"/>
          </w:tcPr>
          <w:p>
            <w:pPr>
              <w:spacing w:after="0"/>
              <w:rPr>
                <w:sz w:val="1"/>
                <w:szCs w:val="1"/>
                <w:color w:val="auto"/>
              </w:rPr>
            </w:pPr>
          </w:p>
        </w:tc>
      </w:tr>
      <w:tr>
        <w:trPr>
          <w:trHeight w:val="248"/>
        </w:trPr>
        <w:tc>
          <w:tcPr>
            <w:tcW w:w="2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(3,830,883)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(4,150,565)</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00" w:type="dxa"/>
            <w:vAlign w:val="bottom"/>
          </w:tcPr>
          <w:p>
            <w:pPr>
              <w:ind w:left="20"/>
              <w:spacing w:after="0" w:line="203" w:lineRule="exact"/>
              <w:rPr>
                <w:sz w:val="20"/>
                <w:szCs w:val="20"/>
                <w:color w:val="auto"/>
              </w:rPr>
            </w:pPr>
            <w:r>
              <w:rPr>
                <w:rFonts w:ascii="Arial" w:cs="Arial" w:eastAsia="Arial" w:hAnsi="Arial"/>
                <w:sz w:val="18"/>
                <w:szCs w:val="18"/>
                <w:color w:val="auto"/>
              </w:rPr>
              <w:t>Net other intangibles</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2,571,267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2,740,808</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140" w:hanging="329"/>
        <w:spacing w:after="0" w:line="293" w:lineRule="auto"/>
        <w:tabs>
          <w:tab w:leader="none" w:pos="572" w:val="left"/>
        </w:tabs>
        <w:numPr>
          <w:ilvl w:val="0"/>
          <w:numId w:val="74"/>
        </w:numPr>
        <w:rPr>
          <w:rFonts w:ascii="Arial" w:cs="Arial" w:eastAsia="Arial" w:hAnsi="Arial"/>
          <w:sz w:val="13"/>
          <w:szCs w:val="13"/>
          <w:color w:val="auto"/>
        </w:rPr>
      </w:pPr>
      <w:r>
        <w:rPr>
          <w:rFonts w:ascii="Arial" w:cs="Arial" w:eastAsia="Arial" w:hAnsi="Arial"/>
          <w:sz w:val="13"/>
          <w:szCs w:val="13"/>
          <w:color w:val="auto"/>
        </w:rPr>
        <w:t>Amounts include reclassification adjustments of $90.9 million from In-process research and development to Developed technology for certain assets that were placed in service during the year ended December 31, 2020. The remaining amounts primarily relate to the removal of certain fully amortized Licenses and Developed technology intangible assets.</w:t>
      </w:r>
    </w:p>
    <w:p>
      <w:pPr>
        <w:spacing w:after="0" w:line="59" w:lineRule="exact"/>
        <w:rPr>
          <w:sz w:val="20"/>
          <w:szCs w:val="20"/>
          <w:color w:val="auto"/>
        </w:rPr>
      </w:pPr>
    </w:p>
    <w:p>
      <w:pPr>
        <w:jc w:val="both"/>
        <w:ind w:right="820" w:firstLine="486"/>
        <w:spacing w:after="0" w:line="311" w:lineRule="auto"/>
        <w:rPr>
          <w:sz w:val="20"/>
          <w:szCs w:val="20"/>
          <w:color w:val="auto"/>
        </w:rPr>
      </w:pPr>
      <w:r>
        <w:rPr>
          <w:rFonts w:ascii="Arial" w:cs="Arial" w:eastAsia="Arial" w:hAnsi="Arial"/>
          <w:sz w:val="16"/>
          <w:szCs w:val="16"/>
          <w:color w:val="auto"/>
        </w:rPr>
        <w:t>Amortization expense for the years ended December 31, 2020, 2019 and 2018 totaled $427.5 million, $543.9 million and $622.3 million, respectively. Amortization expense is included in Cost of revenues in the Consolidated Statements of Operations. For intangible assets subject to amortization, estimated amortization expense for the five fiscal years subsequent to December 31, 2020 is as follows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shd w:val="clear" w:color="auto" w:fill="CCEEFF"/>
          </w:tcPr>
          <w:p>
            <w:pPr>
              <w:jc w:val="right"/>
              <w:ind w:right="2450"/>
              <w:spacing w:after="0"/>
              <w:rPr>
                <w:sz w:val="20"/>
                <w:szCs w:val="20"/>
                <w:color w:val="auto"/>
              </w:rPr>
            </w:pPr>
            <w:r>
              <w:rPr>
                <w:rFonts w:ascii="Arial" w:cs="Arial" w:eastAsia="Arial" w:hAnsi="Arial"/>
                <w:sz w:val="18"/>
                <w:szCs w:val="18"/>
                <w:color w:val="auto"/>
                <w:w w:val="89"/>
              </w:rPr>
              <w:t>2021</w:t>
            </w:r>
          </w:p>
        </w:tc>
        <w:tc>
          <w:tcPr>
            <w:tcW w:w="7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374,337</w:t>
            </w:r>
          </w:p>
        </w:tc>
      </w:tr>
      <w:tr>
        <w:trPr>
          <w:trHeight w:val="229"/>
        </w:trPr>
        <w:tc>
          <w:tcPr>
            <w:tcW w:w="2920" w:type="dxa"/>
            <w:vAlign w:val="bottom"/>
          </w:tcPr>
          <w:p>
            <w:pPr>
              <w:jc w:val="right"/>
              <w:ind w:right="2450"/>
              <w:spacing w:after="0"/>
              <w:rPr>
                <w:sz w:val="20"/>
                <w:szCs w:val="20"/>
                <w:color w:val="auto"/>
              </w:rPr>
            </w:pPr>
            <w:r>
              <w:rPr>
                <w:rFonts w:ascii="Arial" w:cs="Arial" w:eastAsia="Arial" w:hAnsi="Arial"/>
                <w:sz w:val="18"/>
                <w:szCs w:val="18"/>
                <w:color w:val="auto"/>
                <w:w w:val="89"/>
              </w:rPr>
              <w:t>2022</w:t>
            </w:r>
          </w:p>
        </w:tc>
        <w:tc>
          <w:tcPr>
            <w:tcW w:w="73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359,645</w:t>
            </w:r>
          </w:p>
        </w:tc>
      </w:tr>
      <w:tr>
        <w:trPr>
          <w:trHeight w:val="230"/>
        </w:trPr>
        <w:tc>
          <w:tcPr>
            <w:tcW w:w="2920" w:type="dxa"/>
            <w:vAlign w:val="bottom"/>
            <w:shd w:val="clear" w:color="auto" w:fill="CCEEFF"/>
          </w:tcPr>
          <w:p>
            <w:pPr>
              <w:jc w:val="right"/>
              <w:ind w:right="2450"/>
              <w:spacing w:after="0"/>
              <w:rPr>
                <w:sz w:val="20"/>
                <w:szCs w:val="20"/>
                <w:color w:val="auto"/>
              </w:rPr>
            </w:pPr>
            <w:r>
              <w:rPr>
                <w:rFonts w:ascii="Arial" w:cs="Arial" w:eastAsia="Arial" w:hAnsi="Arial"/>
                <w:sz w:val="18"/>
                <w:szCs w:val="18"/>
                <w:color w:val="auto"/>
                <w:w w:val="89"/>
              </w:rPr>
              <w:t>2023</w:t>
            </w:r>
          </w:p>
        </w:tc>
        <w:tc>
          <w:tcPr>
            <w:tcW w:w="7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316,292</w:t>
            </w:r>
          </w:p>
        </w:tc>
      </w:tr>
      <w:tr>
        <w:trPr>
          <w:trHeight w:val="230"/>
        </w:trPr>
        <w:tc>
          <w:tcPr>
            <w:tcW w:w="2920" w:type="dxa"/>
            <w:vAlign w:val="bottom"/>
          </w:tcPr>
          <w:p>
            <w:pPr>
              <w:jc w:val="right"/>
              <w:ind w:right="2450"/>
              <w:spacing w:after="0"/>
              <w:rPr>
                <w:sz w:val="20"/>
                <w:szCs w:val="20"/>
                <w:color w:val="auto"/>
              </w:rPr>
            </w:pPr>
            <w:r>
              <w:rPr>
                <w:rFonts w:ascii="Arial" w:cs="Arial" w:eastAsia="Arial" w:hAnsi="Arial"/>
                <w:sz w:val="18"/>
                <w:szCs w:val="18"/>
                <w:color w:val="auto"/>
                <w:w w:val="89"/>
              </w:rPr>
              <w:t>2024</w:t>
            </w:r>
          </w:p>
        </w:tc>
        <w:tc>
          <w:tcPr>
            <w:tcW w:w="73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280,213</w:t>
            </w:r>
          </w:p>
        </w:tc>
      </w:tr>
      <w:tr>
        <w:trPr>
          <w:trHeight w:val="230"/>
        </w:trPr>
        <w:tc>
          <w:tcPr>
            <w:tcW w:w="2920" w:type="dxa"/>
            <w:vAlign w:val="bottom"/>
            <w:shd w:val="clear" w:color="auto" w:fill="CCEEFF"/>
          </w:tcPr>
          <w:p>
            <w:pPr>
              <w:jc w:val="right"/>
              <w:ind w:right="2450"/>
              <w:spacing w:after="0"/>
              <w:rPr>
                <w:sz w:val="20"/>
                <w:szCs w:val="20"/>
                <w:color w:val="auto"/>
              </w:rPr>
            </w:pPr>
            <w:r>
              <w:rPr>
                <w:rFonts w:ascii="Arial" w:cs="Arial" w:eastAsia="Arial" w:hAnsi="Arial"/>
                <w:sz w:val="18"/>
                <w:szCs w:val="18"/>
                <w:color w:val="auto"/>
                <w:w w:val="89"/>
              </w:rPr>
              <w:t>2025</w:t>
            </w:r>
          </w:p>
        </w:tc>
        <w:tc>
          <w:tcPr>
            <w:tcW w:w="7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258,486</w:t>
            </w:r>
          </w:p>
        </w:tc>
      </w:tr>
      <w:tr>
        <w:trPr>
          <w:trHeight w:val="743"/>
        </w:trPr>
        <w:tc>
          <w:tcPr>
            <w:tcW w:w="2920" w:type="dxa"/>
            <w:vAlign w:val="bottom"/>
          </w:tcPr>
          <w:p>
            <w:pPr>
              <w:spacing w:after="0"/>
              <w:rPr>
                <w:sz w:val="24"/>
                <w:szCs w:val="24"/>
                <w:color w:val="auto"/>
              </w:rPr>
            </w:pPr>
          </w:p>
        </w:tc>
        <w:tc>
          <w:tcPr>
            <w:tcW w:w="7360" w:type="dxa"/>
            <w:vAlign w:val="bottom"/>
          </w:tcPr>
          <w:p>
            <w:pPr>
              <w:jc w:val="right"/>
              <w:ind w:right="4390"/>
              <w:spacing w:after="0"/>
              <w:rPr>
                <w:sz w:val="20"/>
                <w:szCs w:val="20"/>
                <w:color w:val="auto"/>
              </w:rPr>
            </w:pPr>
            <w:r>
              <w:rPr>
                <w:rFonts w:ascii="Arial" w:cs="Arial" w:eastAsia="Arial" w:hAnsi="Arial"/>
                <w:sz w:val="18"/>
                <w:szCs w:val="18"/>
                <w:color w:val="auto"/>
              </w:rPr>
              <w:t>F-33</w:t>
            </w:r>
          </w:p>
        </w:tc>
        <w:tc>
          <w:tcPr>
            <w:tcW w:w="960" w:type="dxa"/>
            <w:vAlign w:val="bottom"/>
          </w:tcPr>
          <w:p>
            <w:pPr>
              <w:spacing w:after="0"/>
              <w:rPr>
                <w:sz w:val="24"/>
                <w:szCs w:val="24"/>
                <w:color w:val="auto"/>
              </w:rPr>
            </w:pPr>
          </w:p>
        </w:tc>
      </w:tr>
      <w:tr>
        <w:trPr>
          <w:trHeight w:val="115"/>
        </w:trPr>
        <w:tc>
          <w:tcPr>
            <w:tcW w:w="2920" w:type="dxa"/>
            <w:vAlign w:val="bottom"/>
            <w:tcBorders>
              <w:bottom w:val="single" w:sz="8" w:color="9A9A9A"/>
            </w:tcBorders>
          </w:tcPr>
          <w:p>
            <w:pPr>
              <w:spacing w:after="0"/>
              <w:rPr>
                <w:sz w:val="10"/>
                <w:szCs w:val="10"/>
                <w:color w:val="auto"/>
              </w:rPr>
            </w:pPr>
          </w:p>
        </w:tc>
        <w:tc>
          <w:tcPr>
            <w:tcW w:w="73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Impairments</w:t>
      </w:r>
    </w:p>
    <w:p>
      <w:pPr>
        <w:spacing w:after="0" w:line="121"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Goodwill and indefinite-lived intangible assets are tested for impairment annually and when events or changes in circumstances indicate that the asset might be impaired. Our annual assessment is performed as of October 1.</w:t>
      </w:r>
    </w:p>
    <w:p>
      <w:pPr>
        <w:spacing w:after="0" w:line="62"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As part of our goodwill and intangible asset impairment assessments, we estimate the fair values of our reporting units and our intangible assets using an income approach that utilizes a discounted cash flow model or, where appropriate, a market approach.</w:t>
      </w:r>
    </w:p>
    <w:p>
      <w:pPr>
        <w:spacing w:after="0" w:line="62"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The discounted cash flow models are dependent upon our estimates of future cash flows and other factors including estimates of (i) future operating performance, including future sales, long-term growth rates, operating margins, discount rates and the probability of achieving the estimated cash flows and</w:t>
      </w:r>
    </w:p>
    <w:p>
      <w:pPr>
        <w:ind w:right="60" w:firstLine="8"/>
        <w:spacing w:after="0" w:line="270" w:lineRule="auto"/>
        <w:tabs>
          <w:tab w:leader="none" w:pos="265" w:val="left"/>
        </w:tabs>
        <w:numPr>
          <w:ilvl w:val="0"/>
          <w:numId w:val="75"/>
        </w:numPr>
        <w:rPr>
          <w:rFonts w:ascii="Arial" w:cs="Arial" w:eastAsia="Arial" w:hAnsi="Arial"/>
          <w:sz w:val="17"/>
          <w:szCs w:val="17"/>
          <w:color w:val="auto"/>
        </w:rPr>
      </w:pPr>
      <w:r>
        <w:rPr>
          <w:rFonts w:ascii="Arial" w:cs="Arial" w:eastAsia="Arial" w:hAnsi="Arial"/>
          <w:sz w:val="17"/>
          <w:szCs w:val="17"/>
          <w:color w:val="auto"/>
        </w:rPr>
        <w:t>future economic conditions. These assumptions are based on significant inputs not observable in the market and thus represent Level 3 measurements within the fair value hierarchy. The discount rates applied to the estimated cash flows for the Company’s October 1, 2020, 2019 and 2018 annual goodwill and indefinite-lived intangible assets impairment tests ranged from 10.0% to 15.0%, from 9.5% to 13.5% and from 9.5% to 11.5%, respectively, depending on the overall risk associated with the particular assets and other market factors. We believe the discount rates and other inputs and assumptions are consistent with those that a market participant would use. Any impairment charges resulting from annual or interim goodwill and intangible asset impairment assessments are recorded to Asset impairment charges in our Consolidated Statements of Operations.</w:t>
      </w:r>
    </w:p>
    <w:p>
      <w:pPr>
        <w:spacing w:after="0" w:line="70"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During the years ended December 31, 2020, 2019 and 2018, the Company incurred the following goodwill and other intangible asset impairment charges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charges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680,000</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Other intangible asset impairment charges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79,917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347,706</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230,418</w:t>
            </w:r>
          </w:p>
        </w:tc>
      </w:tr>
    </w:tbl>
    <w:p>
      <w:pPr>
        <w:spacing w:after="0" w:line="93" w:lineRule="exact"/>
        <w:rPr>
          <w:sz w:val="20"/>
          <w:szCs w:val="20"/>
          <w:color w:val="auto"/>
        </w:rPr>
      </w:pPr>
    </w:p>
    <w:p>
      <w:pPr>
        <w:ind w:right="500" w:firstLine="486"/>
        <w:spacing w:after="0" w:line="263" w:lineRule="auto"/>
        <w:rPr>
          <w:sz w:val="20"/>
          <w:szCs w:val="20"/>
          <w:color w:val="auto"/>
        </w:rPr>
      </w:pPr>
      <w:r>
        <w:rPr>
          <w:rFonts w:ascii="Arial" w:cs="Arial" w:eastAsia="Arial" w:hAnsi="Arial"/>
          <w:sz w:val="18"/>
          <w:szCs w:val="18"/>
          <w:color w:val="auto"/>
        </w:rPr>
        <w:t>Except as described below, pre-tax non-cash asset impairment charges related primarily to certain in-process research and development and/or developed technology intangible assets that were tested for impairment following changes in market conditions and certain other factors impacting recoverability.</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Annual Goodwill Impairment Tests</w:t>
      </w:r>
    </w:p>
    <w:p>
      <w:pPr>
        <w:spacing w:after="0" w:line="117"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As a result of our annual test performed as of October 1, 2020, the Company determined that the estimated fair values of each of its reporting units exceeded their respective carrying amounts; therefore, the Company did not record any pre-tax non-cash goodwill impairment charges during the fourth quarter of 2020.</w:t>
      </w:r>
    </w:p>
    <w:p>
      <w:pPr>
        <w:spacing w:after="0" w:line="76"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As a result of our annual test performed as of October 1, 2019, the Company determined that the carrying amount of the Paladin reporting unit exceeded its estimated fair value; therefore, the Company recorded a pre-tax non-cash goodwill impairment charge of $20.8 million during the fourth quarter of 2019. The Paladin impairment was primarily a result of certain anticipated product discontinuation activities. The impairment also reflects the estimated impact of Canadian pricing regulations that were issued in the second half of 2019. We did not record goodwill impairment charges for the other reporting units as a result of the 2019 annual tests.</w:t>
      </w:r>
    </w:p>
    <w:p>
      <w:pPr>
        <w:spacing w:after="0" w:line="80"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As a result of our annual test performed as of October 1, 2018, the Company determined that the carrying amounts of the Generic Pharmaceuticals and Paladin reporting units exceeded their respective estimated fair values; therefore, the Company recorded pre-tax non-cash goodwill impairment charges of $258.0 million and $31.0 million, respectively, during the fourth quarter of 2018. The Generic Pharmaceuticals impairment can be primarily attributed to an increase in the discount rate used in the determination of fair value and unfavorable underlying business outlook assumption changes. The Paladin impairment was primarily a result of increased competition and slower than expected product launches in our Canadian market.</w:t>
      </w:r>
    </w:p>
    <w:p>
      <w:pPr>
        <w:spacing w:after="0" w:line="53" w:lineRule="exact"/>
        <w:rPr>
          <w:sz w:val="20"/>
          <w:szCs w:val="20"/>
          <w:color w:val="auto"/>
        </w:rPr>
      </w:pPr>
    </w:p>
    <w:p>
      <w:pPr>
        <w:ind w:left="340" w:right="1160" w:firstLine="162"/>
        <w:spacing w:after="0" w:line="375" w:lineRule="auto"/>
        <w:rPr>
          <w:sz w:val="20"/>
          <w:szCs w:val="20"/>
          <w:color w:val="auto"/>
        </w:rPr>
      </w:pPr>
      <w:r>
        <w:rPr>
          <w:rFonts w:ascii="Arial" w:cs="Arial" w:eastAsia="Arial" w:hAnsi="Arial"/>
          <w:sz w:val="18"/>
          <w:szCs w:val="18"/>
          <w:color w:val="auto"/>
        </w:rPr>
        <w:t xml:space="preserve">We did not record any other goodwill impairment charges as a result of our October 1, 2020, 2019 and 2018 annual impairment tests. </w:t>
      </w:r>
      <w:r>
        <w:rPr>
          <w:rFonts w:ascii="Arial" w:cs="Arial" w:eastAsia="Arial" w:hAnsi="Arial"/>
          <w:sz w:val="18"/>
          <w:szCs w:val="18"/>
          <w:i w:val="1"/>
          <w:iCs w:val="1"/>
          <w:color w:val="auto"/>
        </w:rPr>
        <w:t>Other Impairment Tests</w:t>
      </w:r>
    </w:p>
    <w:p>
      <w:pPr>
        <w:spacing w:after="0" w:line="1"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As a result of certain business decisions that occurred during the first quarter of 2020, we tested the goodwill of our Paladin reporting unit for impairment as of March 31, 2020. The fair value of the reporting unit was estimated using an income approach that utilized a discounted cash flow model. The discount rate utilized in this test was 9.5%. This goodwill impairment test resulted in a pre-tax non-cash goodwill impairment charge of $32.8 million during the three months ended March 31, 2020, representing the remaining carrying amount. This impairment was primarily attributable to portfolio decisions and updated market expectations during the quarter.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As a result of certain competitive events that occurred during the first quarter of 2019, we tested the goodwill of our Generic Pharmaceuticals reporting unit for impairment as of March 31, 2019. The fair value of the reporting unit was estimated using an income approach that utilized a discounted cash flow model. The discount rate utilized in this test was 10.5%. This goodwill impairment test resulted in a pre-tax non-cash goodwill impairment charge of $86.0 million during the three months ended March 31, 2019, representing the excess of this reporting unit’s carrying amount over its estimated fair value. This Generic Pharmaceuticals impairment can be primarily attributed to the impact of the competitive events referenced above and an increase in the discount rate used in the determination of fair value.</w:t>
      </w:r>
    </w:p>
    <w:p>
      <w:pPr>
        <w:spacing w:after="0" w:line="84"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During the second quarter of 2019, unfavorable competitive and pricing events occurred that caused us to update certain assumptions from those used in our first-quarter 2019 Generic Pharmaceuticals goodwill impairment test. We considered these events, together with the fact that this reporting unit’s carrying amount equaled its fair value immediately subsequent to the first-quarter 2019 goodwill impairment charge, as part of our qualitative assessment of goodwill triggering events for the second quarter of 2019. As a result, we concluded that it was more likely than not that the fair value of this reporting unit was below its carrying amount as of June 30, 2019 and a goodwill impairment test was required. After performing this quantitative test, we determined that this reporting unit’s carrying amount exceeded its estimated fair value. The fair value of the reporting unit was estimated using an income approach that utilized a discounted cash flow model. The discount rate utilized in this test was 10.5%. Based on the excess of this reporting unit’s carrying amount over its estimated fair value, we recorded a pre-tax non-cash goodwill impairment charge of $65.1 million during the three months ended June 30, 2019, representing the entire remaining amount of this reporting unit’s goodwill.</w:t>
      </w:r>
    </w:p>
    <w:p>
      <w:pPr>
        <w:spacing w:after="0" w:line="73" w:lineRule="exact"/>
        <w:rPr>
          <w:sz w:val="20"/>
          <w:szCs w:val="20"/>
          <w:color w:val="auto"/>
        </w:rPr>
      </w:pPr>
    </w:p>
    <w:p>
      <w:pPr>
        <w:ind w:right="80" w:firstLine="486"/>
        <w:spacing w:after="0" w:line="285" w:lineRule="auto"/>
        <w:rPr>
          <w:sz w:val="20"/>
          <w:szCs w:val="20"/>
          <w:color w:val="auto"/>
        </w:rPr>
      </w:pPr>
      <w:r>
        <w:rPr>
          <w:rFonts w:ascii="Arial" w:cs="Arial" w:eastAsia="Arial" w:hAnsi="Arial"/>
          <w:sz w:val="16"/>
          <w:szCs w:val="16"/>
          <w:color w:val="auto"/>
        </w:rPr>
        <w:t>During the first quarter of 2018, a change in segments resulted in changes to our reporting units for goodwill impairment testing purposes, including the creation of a new Sterile Injectables reporting unit, which was previously part of our Generics reporting unit. As a result of these changes, under U.S. GAAP, we tested the goodwill of the former Generics reporting unit immediately before the segment realignment and the goodwill of both the new Sterile Injectables and Generic Pharmaceuticals reporting units immediately after the segment realignment. These goodwill tests were performed using an income approach that utilized a discounted cash flow model. The results of these goodwill impairment tests were as follows:</w:t>
      </w:r>
    </w:p>
    <w:p>
      <w:pPr>
        <w:spacing w:after="0" w:line="2" w:lineRule="exact"/>
        <w:rPr>
          <w:sz w:val="20"/>
          <w:szCs w:val="20"/>
          <w:color w:val="auto"/>
        </w:rPr>
      </w:pPr>
    </w:p>
    <w:p>
      <w:pPr>
        <w:ind w:left="900" w:hanging="244"/>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former Generics reporting unit’s estimated fair value exceeded its carrying amount, resulting in no related goodwill impairment charge.</w:t>
      </w:r>
    </w:p>
    <w:p>
      <w:pPr>
        <w:spacing w:after="0" w:line="32" w:lineRule="exact"/>
        <w:rPr>
          <w:rFonts w:ascii="Arial" w:cs="Arial" w:eastAsia="Arial" w:hAnsi="Arial"/>
          <w:sz w:val="16"/>
          <w:szCs w:val="16"/>
          <w:color w:val="auto"/>
        </w:rPr>
      </w:pPr>
    </w:p>
    <w:p>
      <w:pPr>
        <w:ind w:left="900" w:right="380" w:hanging="244"/>
        <w:spacing w:after="0" w:line="250" w:lineRule="auto"/>
        <w:tabs>
          <w:tab w:leader="none" w:pos="8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new Sterile Injectables reporting unit’s estimated fair value exceeded its carrying amount, resulting in no related goodwill impairment charge.</w:t>
      </w:r>
    </w:p>
    <w:p>
      <w:pPr>
        <w:ind w:left="900" w:right="140" w:hanging="244"/>
        <w:spacing w:after="0" w:line="260" w:lineRule="auto"/>
        <w:tabs>
          <w:tab w:leader="none" w:pos="8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new Generic Pharmaceuticals reporting unit’s carrying amount exceeded its estimated fair value, resulting in a pre-tax non-cash goodwill impairment charge of $391.0 million.</w:t>
      </w:r>
    </w:p>
    <w:p>
      <w:pPr>
        <w:spacing w:after="0" w:line="77" w:lineRule="exact"/>
        <w:rPr>
          <w:sz w:val="20"/>
          <w:szCs w:val="20"/>
          <w:color w:val="auto"/>
        </w:rPr>
      </w:pPr>
    </w:p>
    <w:p>
      <w:pPr>
        <w:ind w:right="320" w:firstLine="486"/>
        <w:spacing w:after="0" w:line="308" w:lineRule="auto"/>
        <w:rPr>
          <w:sz w:val="20"/>
          <w:szCs w:val="20"/>
          <w:color w:val="auto"/>
        </w:rPr>
      </w:pPr>
      <w:r>
        <w:rPr>
          <w:rFonts w:ascii="Arial" w:cs="Arial" w:eastAsia="Arial" w:hAnsi="Arial"/>
          <w:sz w:val="17"/>
          <w:szCs w:val="17"/>
          <w:color w:val="auto"/>
        </w:rPr>
        <w:t>We are closely monitoring the impact of COVID-19 on our business. It is possible that COVID-19 could result in reductions to the estimated fair values of our goodwill and other intangible assets, which could ultimately result in asset impairment charges that may be material.</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LICENSE AND COLLABORATION AGREEMENTS</w:t>
      </w:r>
    </w:p>
    <w:p>
      <w:pPr>
        <w:spacing w:after="0" w:line="121"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Our subsidiaries have entered into certain license, collaboration and discovery agreements with third parties for product development. These agreements require our subsidiaries to share in the development costs of such products and the third parties grant marketing rights to our subsidiaries for such products.</w:t>
      </w:r>
    </w:p>
    <w:p>
      <w:pPr>
        <w:spacing w:after="0" w:line="76"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Generally, under these agreements: (i) we are required to make upfront payments and other payments upon successful completion of regulatory or sales milestones and/or (ii) we are required to pay royalties on sales of the products arising from these agreements.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BioSpecifics</w:t>
      </w:r>
    </w:p>
    <w:p>
      <w:pPr>
        <w:spacing w:after="0" w:line="121"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Until the acquisition of BioSpecifics in December 2020, the Company, through an affiliate, was party to a development and license agreement, as amended (the BioSpecifics License Agreement) with BioSpecifics. The BioSpecifics License Agreement was originally entered into in June 2004 to obtain exclusive worldwide rights to develop, market and sell certain products containing BioSpecifics’ enzyme CCH. The Company’s licensed rights concerned the development and commercialization of products, other than dermal formulations labeled for topical administration, including the indications of DC, Dupuytren’s nodules, PD, adhesive capsulitis, cellulite, plantar fibromatosis, lateral hip fat and other potential indications.</w:t>
      </w:r>
    </w:p>
    <w:p>
      <w:pPr>
        <w:spacing w:after="0" w:line="68" w:lineRule="exact"/>
        <w:rPr>
          <w:sz w:val="20"/>
          <w:szCs w:val="20"/>
          <w:color w:val="auto"/>
        </w:rPr>
      </w:pPr>
    </w:p>
    <w:p>
      <w:pPr>
        <w:ind w:right="240" w:firstLine="486"/>
        <w:spacing w:after="0" w:line="281" w:lineRule="auto"/>
        <w:rPr>
          <w:sz w:val="20"/>
          <w:szCs w:val="20"/>
          <w:color w:val="auto"/>
        </w:rPr>
      </w:pPr>
      <w:r>
        <w:rPr>
          <w:rFonts w:ascii="Arial" w:cs="Arial" w:eastAsia="Arial" w:hAnsi="Arial"/>
          <w:sz w:val="16"/>
          <w:szCs w:val="16"/>
          <w:color w:val="auto"/>
        </w:rPr>
        <w:t>Until the acquisition of BioSpecifics in December 2020, we were required to, among other things, pay BioSpecifics on a country-by-country and product-by-product basis a specified percentage within a range of 5% to 15% of net sales for products covered by the BioSpecifics License Agreement. This royalty applied to net sales by the Company and/or any of its sublicensees. In addition, the Company and its affiliates were required to pay BioSpecifics an amount equal to a specified mark-up on certain cost of goods related to supply of XIAFLEX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(which mark-up was capped at a specified percentage within the range of 5% to 15% of the cost of goods of XIAFLEX</w:t>
      </w:r>
      <w:r>
        <w:rPr>
          <w:rFonts w:ascii="Arial" w:cs="Arial" w:eastAsia="Arial" w:hAnsi="Arial"/>
          <w:sz w:val="20"/>
          <w:szCs w:val="20"/>
          <w:color w:val="auto"/>
          <w:vertAlign w:val="superscript"/>
        </w:rPr>
        <w:t>®</w:t>
      </w:r>
      <w:r>
        <w:rPr>
          <w:rFonts w:ascii="Arial" w:cs="Arial" w:eastAsia="Arial" w:hAnsi="Arial"/>
          <w:sz w:val="16"/>
          <w:szCs w:val="16"/>
          <w:color w:val="auto"/>
        </w:rPr>
        <w:t>) for products sold by the Company and its affiliates.</w:t>
      </w:r>
    </w:p>
    <w:p>
      <w:pPr>
        <w:spacing w:after="0" w:line="3"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In December 2020, we acquired BioSpecifics, which eliminated this third-party relationship. See Note 5. Acquisitions for further discussion of the BioSpecifics acquisition.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Nevakar, Inc.</w:t>
      </w:r>
    </w:p>
    <w:p>
      <w:pPr>
        <w:spacing w:after="0" w:line="121"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During the second quarter of 2018, we entered into a development, license and commercialization agreement with Nevakar, Inc. related to five sterile injectable product candidates. Pursuant to this agreement, Nevakar, Inc. will generally be responsible, at its expense, to develop and seek regulatory approval for these product candidates, and the Company will generally be responsible, at its expense, to launch and distribute any products that are approved. The Company will have exclusive license rights to all of these products launched in the U.S. and a first right of refusal for the Canadian territory. Upon entering into this agreement, the Company became obligated to make an upfront payment, which was recorded as R&amp;D expense in the Consolidated Statements of Operations during the three months ended June 30, 2018. The Company could become obligated to make additional payments based on certain potential future milestones being achieved.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CONTRACT ASSETS AND LIABILITIES</w:t>
      </w:r>
    </w:p>
    <w:p>
      <w:pPr>
        <w:spacing w:after="0" w:line="121"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Our revenue consists almost entirely of sales of our pharmaceutical products to customers, whereby we ship products to a customer pursuant to a purchase order. Revenue contracts such as these do not generally give rise to contract assets or contract liabilities because: (i) the underlying contracts generally have only a single performance obligation and (ii) we do not generally receive consideration until the performance obligation is fully satisfied. At December 31, 2020, the unfulfilled performance obligations for these types of contracts relate to ordered but undelivered products. We generally expect to fulfill the performance obligations and recognize revenue within one week of entering into the underlying contract. Based on the short-term initial contract duration, additional disclosure about the remaining performance obligations is not required.</w:t>
      </w:r>
    </w:p>
    <w:p>
      <w:pPr>
        <w:spacing w:after="0" w:line="70" w:lineRule="exact"/>
        <w:rPr>
          <w:sz w:val="20"/>
          <w:szCs w:val="20"/>
          <w:color w:val="auto"/>
        </w:rPr>
      </w:pPr>
    </w:p>
    <w:p>
      <w:pPr>
        <w:jc w:val="both"/>
        <w:ind w:right="460" w:firstLine="486"/>
        <w:spacing w:after="0" w:line="263" w:lineRule="auto"/>
        <w:rPr>
          <w:sz w:val="20"/>
          <w:szCs w:val="20"/>
          <w:color w:val="auto"/>
        </w:rPr>
      </w:pPr>
      <w:r>
        <w:rPr>
          <w:rFonts w:ascii="Arial" w:cs="Arial" w:eastAsia="Arial" w:hAnsi="Arial"/>
          <w:sz w:val="18"/>
          <w:szCs w:val="18"/>
          <w:color w:val="auto"/>
        </w:rPr>
        <w:t>Certain of our other revenue-generating contracts, including license and collaboration agreements, may result in contract assets and/or contract liabilities. For example, we may recognize contract liabilities upon receipt of certain upfront and milestone payments from customers when there are remaining performance obligations.</w:t>
      </w:r>
    </w:p>
    <w:p>
      <w:pPr>
        <w:spacing w:after="0" w:line="7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shows the opening and closing balances of contract assets and contract liabilities from contracts with customers (dollars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2020</w:t>
            </w: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500" w:type="dxa"/>
            <w:vAlign w:val="bottom"/>
          </w:tcPr>
          <w:p>
            <w:pPr>
              <w:jc w:val="right"/>
              <w:ind w:right="336"/>
              <w:spacing w:after="0"/>
              <w:rPr>
                <w:sz w:val="20"/>
                <w:szCs w:val="20"/>
                <w:color w:val="auto"/>
              </w:rPr>
            </w:pPr>
            <w:r>
              <w:rPr>
                <w:rFonts w:ascii="Arial" w:cs="Arial" w:eastAsia="Arial" w:hAnsi="Arial"/>
                <w:sz w:val="14"/>
                <w:szCs w:val="14"/>
                <w:b w:val="1"/>
                <w:bCs w:val="1"/>
                <w:color w:val="auto"/>
              </w:rPr>
              <w:t>% Change</w:t>
            </w:r>
          </w:p>
        </w:tc>
      </w:tr>
      <w:tr>
        <w:trPr>
          <w:trHeight w:val="229"/>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 net (1)</w:t>
            </w:r>
          </w:p>
        </w:tc>
        <w:tc>
          <w:tcPr>
            <w:tcW w:w="44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13,525</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13,525</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Contract liabilities, net (2)</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6,028</w:t>
            </w:r>
          </w:p>
        </w:tc>
        <w:tc>
          <w:tcPr>
            <w:tcW w:w="100" w:type="dxa"/>
            <w:vAlign w:val="bottom"/>
          </w:tcPr>
          <w:p>
            <w:pPr>
              <w:spacing w:after="0"/>
              <w:rPr>
                <w:sz w:val="20"/>
                <w:szCs w:val="20"/>
                <w:color w:val="auto"/>
              </w:rPr>
            </w:pPr>
          </w:p>
        </w:tc>
        <w:tc>
          <w:tcPr>
            <w:tcW w:w="500" w:type="dxa"/>
            <w:vAlign w:val="bottom"/>
          </w:tcPr>
          <w:p>
            <w:pPr>
              <w:jc w:val="right"/>
              <w:ind w:right="29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6,592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NM indicates that the percentage change is not meaningful or is greater than 100%.</w:t>
      </w:r>
    </w:p>
    <w:p>
      <w:pPr>
        <w:spacing w:after="0" w:line="1" w:lineRule="exact"/>
        <w:rPr>
          <w:sz w:val="20"/>
          <w:szCs w:val="20"/>
          <w:color w:val="auto"/>
        </w:rPr>
      </w:pPr>
    </w:p>
    <w:p>
      <w:pPr>
        <w:ind w:left="580" w:right="140" w:hanging="329"/>
        <w:spacing w:after="0" w:line="241" w:lineRule="auto"/>
        <w:tabs>
          <w:tab w:leader="none" w:pos="572" w:val="left"/>
        </w:tabs>
        <w:numPr>
          <w:ilvl w:val="0"/>
          <w:numId w:val="77"/>
        </w:numPr>
        <w:rPr>
          <w:rFonts w:ascii="Arial" w:cs="Arial" w:eastAsia="Arial" w:hAnsi="Arial"/>
          <w:sz w:val="14"/>
          <w:szCs w:val="14"/>
          <w:color w:val="auto"/>
        </w:rPr>
      </w:pPr>
      <w:r>
        <w:rPr>
          <w:rFonts w:ascii="Arial" w:cs="Arial" w:eastAsia="Arial" w:hAnsi="Arial"/>
          <w:sz w:val="14"/>
          <w:szCs w:val="14"/>
          <w:color w:val="auto"/>
        </w:rPr>
        <w:t>At December 31, 2020, approximately $3.2 million of this contract asset amount is classified as current and is included in Prepaid expenses and other current assets in the Company’s Consolidated Balance Sheets. The remaining amount is classified as noncurrent and is included in Other assets. The net increase in contract assets during the year ended December 31, 2020 was primarily due to the Company’s estimated consideration for the sale of certain intellectual property rights.</w:t>
      </w:r>
    </w:p>
    <w:p>
      <w:pPr>
        <w:spacing w:after="0" w:line="1" w:lineRule="exact"/>
        <w:rPr>
          <w:rFonts w:ascii="Arial" w:cs="Arial" w:eastAsia="Arial" w:hAnsi="Arial"/>
          <w:sz w:val="14"/>
          <w:szCs w:val="14"/>
          <w:color w:val="auto"/>
        </w:rPr>
      </w:pPr>
    </w:p>
    <w:p>
      <w:pPr>
        <w:ind w:left="580" w:right="20" w:hanging="329"/>
        <w:spacing w:after="0" w:line="246" w:lineRule="auto"/>
        <w:tabs>
          <w:tab w:leader="none" w:pos="572" w:val="left"/>
        </w:tabs>
        <w:numPr>
          <w:ilvl w:val="0"/>
          <w:numId w:val="77"/>
        </w:numPr>
        <w:rPr>
          <w:rFonts w:ascii="Arial" w:cs="Arial" w:eastAsia="Arial" w:hAnsi="Arial"/>
          <w:sz w:val="14"/>
          <w:szCs w:val="14"/>
          <w:color w:val="auto"/>
        </w:rPr>
      </w:pPr>
      <w:r>
        <w:rPr>
          <w:rFonts w:ascii="Arial" w:cs="Arial" w:eastAsia="Arial" w:hAnsi="Arial"/>
          <w:sz w:val="14"/>
          <w:szCs w:val="14"/>
          <w:color w:val="auto"/>
        </w:rPr>
        <w:t>At December 31, 2020 and December 31, 2019, approximately $1.4 million and $1.4 million, respectively, of these contract liability amounts are classified as current and are included in Accounts payable and accrued expenses in the Company’s Consolidated Balance Sheets. The remaining amounts are classified as noncurrent and are included in Other liabilities. The decrease in contract liabilities during the year ended December 31, 2020 was primarily due to approximately $2.8 million in revenue recognized during the period, partially offset by a new agreement entered into during 2020.</w:t>
      </w:r>
    </w:p>
    <w:p>
      <w:pPr>
        <w:spacing w:after="0" w:line="88" w:lineRule="exact"/>
        <w:rPr>
          <w:sz w:val="20"/>
          <w:szCs w:val="20"/>
          <w:color w:val="auto"/>
        </w:rPr>
      </w:pPr>
    </w:p>
    <w:p>
      <w:pPr>
        <w:ind w:right="620" w:firstLine="486"/>
        <w:spacing w:after="0" w:line="308" w:lineRule="auto"/>
        <w:rPr>
          <w:sz w:val="20"/>
          <w:szCs w:val="20"/>
          <w:color w:val="auto"/>
        </w:rPr>
      </w:pPr>
      <w:r>
        <w:rPr>
          <w:rFonts w:ascii="Arial" w:cs="Arial" w:eastAsia="Arial" w:hAnsi="Arial"/>
          <w:sz w:val="17"/>
          <w:szCs w:val="17"/>
          <w:color w:val="auto"/>
        </w:rPr>
        <w:t>During the year ended December 31, 2020, we recognized revenue of $19.1 million relating to performance obligations satisfied, or partially satisfied, in prior periods. Such revenue generally relates to changes in estimates with respect to our variable consideration.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ACCOUNTS PAYABLE AND ACCRUED EXPENSES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payable and accrued expenses include the following at December 31, 2020 and December 31, 2019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2020</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2019</w:t>
            </w:r>
          </w:p>
        </w:tc>
      </w:tr>
      <w:tr>
        <w:trPr>
          <w:trHeight w:val="229"/>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42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94,408</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101,532</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Returns and allowances</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207,916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206,248</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Rebates</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129,056</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Chargebacks</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1,594</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98,105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112,860</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Accrued payroll and related benefits</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130,092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79,869</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royalties and other distribution partner payables</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59,745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115,816</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Acquisition-related contingent consideration—current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8,566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6,534</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108,287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146,440</w:t>
            </w:r>
          </w:p>
        </w:tc>
      </w:tr>
      <w:tr>
        <w:trPr>
          <w:trHeight w:val="223"/>
        </w:trPr>
        <w:tc>
          <w:tcPr>
            <w:tcW w:w="8400" w:type="dxa"/>
            <w:vAlign w:val="bottom"/>
          </w:tcPr>
          <w:p>
            <w:pPr>
              <w:ind w:left="1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835,940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899,949</w:t>
            </w:r>
          </w:p>
        </w:tc>
      </w:tr>
      <w:tr>
        <w:trPr>
          <w:trHeight w:val="21"/>
        </w:trPr>
        <w:tc>
          <w:tcPr>
            <w:tcW w:w="8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DEBT</w:t>
      </w:r>
    </w:p>
    <w:p>
      <w:pPr>
        <w:spacing w:after="0" w:line="121"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The following table presents information about the Company’s total indebtedness at December 31, 2020 and December 31, 2019 (dollars in thousands):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 2019</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Effective</w:t>
            </w:r>
          </w:p>
        </w:tc>
        <w:tc>
          <w:tcPr>
            <w:tcW w:w="100" w:type="dxa"/>
            <w:vAlign w:val="bottom"/>
          </w:tcPr>
          <w:p>
            <w:pPr>
              <w:spacing w:after="0"/>
              <w:rPr>
                <w:sz w:val="11"/>
                <w:szCs w:val="11"/>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 Amount</w:t>
            </w:r>
          </w:p>
        </w:tc>
        <w:tc>
          <w:tcPr>
            <w:tcW w:w="120" w:type="dxa"/>
            <w:vAlign w:val="bottom"/>
          </w:tcPr>
          <w:p>
            <w:pPr>
              <w:spacing w:after="0"/>
              <w:rPr>
                <w:sz w:val="11"/>
                <w:szCs w:val="11"/>
                <w:color w:val="auto"/>
              </w:rPr>
            </w:pPr>
          </w:p>
        </w:tc>
        <w:tc>
          <w:tcPr>
            <w:tcW w:w="12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4"/>
              </w:rPr>
              <w:t>Carrying Amount</w:t>
            </w:r>
          </w:p>
        </w:tc>
        <w:tc>
          <w:tcPr>
            <w:tcW w:w="100" w:type="dxa"/>
            <w:vAlign w:val="bottom"/>
          </w:tcPr>
          <w:p>
            <w:pPr>
              <w:spacing w:after="0"/>
              <w:rPr>
                <w:sz w:val="11"/>
                <w:szCs w:val="11"/>
                <w:color w:val="auto"/>
              </w:rPr>
            </w:pPr>
          </w:p>
        </w:tc>
        <w:tc>
          <w:tcPr>
            <w:tcW w:w="1120" w:type="dxa"/>
            <w:vAlign w:val="bottom"/>
            <w:gridSpan w:val="3"/>
          </w:tcPr>
          <w:p>
            <w:pPr>
              <w:jc w:val="right"/>
              <w:ind w:right="310"/>
              <w:spacing w:after="0" w:line="135" w:lineRule="exact"/>
              <w:rPr>
                <w:sz w:val="20"/>
                <w:szCs w:val="20"/>
                <w:color w:val="auto"/>
              </w:rPr>
            </w:pPr>
            <w:r>
              <w:rPr>
                <w:rFonts w:ascii="Arial" w:cs="Arial" w:eastAsia="Arial" w:hAnsi="Arial"/>
                <w:sz w:val="14"/>
                <w:szCs w:val="14"/>
                <w:b w:val="1"/>
                <w:bCs w:val="1"/>
                <w:color w:val="auto"/>
              </w:rPr>
              <w:t>Effective</w:t>
            </w: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 Amount</w:t>
            </w:r>
          </w:p>
        </w:tc>
        <w:tc>
          <w:tcPr>
            <w:tcW w:w="120" w:type="dxa"/>
            <w:vAlign w:val="bottom"/>
          </w:tcPr>
          <w:p>
            <w:pPr>
              <w:spacing w:after="0"/>
              <w:rPr>
                <w:sz w:val="11"/>
                <w:szCs w:val="11"/>
                <w:color w:val="auto"/>
              </w:rPr>
            </w:pPr>
          </w:p>
        </w:tc>
        <w:tc>
          <w:tcPr>
            <w:tcW w:w="12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4"/>
              </w:rPr>
              <w:t>Carrying Amount</w:t>
            </w:r>
          </w:p>
        </w:tc>
        <w:tc>
          <w:tcPr>
            <w:tcW w:w="0" w:type="dxa"/>
            <w:vAlign w:val="bottom"/>
          </w:tcPr>
          <w:p>
            <w:pPr>
              <w:spacing w:after="0"/>
              <w:rPr>
                <w:sz w:val="1"/>
                <w:szCs w:val="1"/>
                <w:color w:val="auto"/>
              </w:rPr>
            </w:pPr>
          </w:p>
        </w:tc>
      </w:tr>
      <w:tr>
        <w:trPr>
          <w:trHeight w:val="188"/>
        </w:trPr>
        <w:tc>
          <w:tcPr>
            <w:tcW w:w="5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Interest Rate</w:t>
            </w: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w w:val="99"/>
              </w:rPr>
              <w:t>Interest Rate</w:t>
            </w: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7.25%</w:t>
            </w:r>
          </w:p>
        </w:tc>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2022</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7.25 %</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7.25 %</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0" w:type="dxa"/>
            <w:vAlign w:val="bottom"/>
          </w:tcPr>
          <w:p>
            <w:pPr>
              <w:spacing w:after="0"/>
              <w:rPr>
                <w:sz w:val="1"/>
                <w:szCs w:val="1"/>
                <w:color w:val="auto"/>
              </w:rPr>
            </w:pPr>
          </w:p>
        </w:tc>
      </w:tr>
      <w:tr>
        <w:trPr>
          <w:trHeight w:val="229"/>
        </w:trPr>
        <w:tc>
          <w:tcPr>
            <w:tcW w:w="500" w:type="dxa"/>
            <w:vAlign w:val="bottom"/>
          </w:tcPr>
          <w:p>
            <w:pPr>
              <w:ind w:left="20"/>
              <w:spacing w:after="0"/>
              <w:rPr>
                <w:sz w:val="20"/>
                <w:szCs w:val="20"/>
                <w:color w:val="auto"/>
              </w:rPr>
            </w:pPr>
            <w:r>
              <w:rPr>
                <w:rFonts w:ascii="Arial" w:cs="Arial" w:eastAsia="Arial" w:hAnsi="Arial"/>
                <w:sz w:val="18"/>
                <w:szCs w:val="18"/>
                <w:color w:val="auto"/>
                <w:w w:val="90"/>
              </w:rPr>
              <w:t>5.75%</w:t>
            </w:r>
          </w:p>
        </w:tc>
        <w:tc>
          <w:tcPr>
            <w:tcW w:w="306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900" w:type="dxa"/>
            <w:vAlign w:val="bottom"/>
          </w:tcPr>
          <w:p>
            <w:pPr>
              <w:jc w:val="right"/>
              <w:spacing w:after="0"/>
              <w:rPr>
                <w:sz w:val="20"/>
                <w:szCs w:val="20"/>
                <w:color w:val="auto"/>
              </w:rPr>
            </w:pPr>
            <w:r>
              <w:rPr>
                <w:rFonts w:ascii="Arial" w:cs="Arial" w:eastAsia="Arial" w:hAnsi="Arial"/>
                <w:sz w:val="18"/>
                <w:szCs w:val="18"/>
                <w:color w:val="auto"/>
              </w:rPr>
              <w:t>5.75 %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172,048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172,048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5.75 %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182,479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182,479</w:t>
            </w: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5.375% Senior Notes due 2023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209,018</w:t>
            </w:r>
          </w:p>
        </w:tc>
        <w:tc>
          <w:tcPr>
            <w:tcW w:w="0" w:type="dxa"/>
            <w:vAlign w:val="bottom"/>
          </w:tcPr>
          <w:p>
            <w:pPr>
              <w:spacing w:after="0"/>
              <w:rPr>
                <w:sz w:val="1"/>
                <w:szCs w:val="1"/>
                <w:color w:val="auto"/>
              </w:rPr>
            </w:pPr>
          </w:p>
        </w:tc>
      </w:tr>
      <w:tr>
        <w:trPr>
          <w:trHeight w:val="229"/>
        </w:trPr>
        <w:tc>
          <w:tcPr>
            <w:tcW w:w="500" w:type="dxa"/>
            <w:vAlign w:val="bottom"/>
          </w:tcPr>
          <w:p>
            <w:pPr>
              <w:ind w:left="20"/>
              <w:spacing w:after="0"/>
              <w:rPr>
                <w:sz w:val="20"/>
                <w:szCs w:val="20"/>
                <w:color w:val="auto"/>
              </w:rPr>
            </w:pPr>
            <w:r>
              <w:rPr>
                <w:rFonts w:ascii="Arial" w:cs="Arial" w:eastAsia="Arial" w:hAnsi="Arial"/>
                <w:sz w:val="18"/>
                <w:szCs w:val="18"/>
                <w:color w:val="auto"/>
                <w:w w:val="90"/>
              </w:rPr>
              <w:t>6.00%</w:t>
            </w:r>
          </w:p>
        </w:tc>
        <w:tc>
          <w:tcPr>
            <w:tcW w:w="306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900" w:type="dxa"/>
            <w:vAlign w:val="bottom"/>
          </w:tcPr>
          <w:p>
            <w:pPr>
              <w:jc w:val="right"/>
              <w:spacing w:after="0"/>
              <w:rPr>
                <w:sz w:val="20"/>
                <w:szCs w:val="20"/>
                <w:color w:val="auto"/>
              </w:rPr>
            </w:pPr>
            <w:r>
              <w:rPr>
                <w:rFonts w:ascii="Arial" w:cs="Arial" w:eastAsia="Arial" w:hAnsi="Arial"/>
                <w:sz w:val="18"/>
                <w:szCs w:val="18"/>
                <w:color w:val="auto"/>
              </w:rPr>
              <w:t>6.28 %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56,436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56,063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6.28 %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1,439,840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1,426,998</w:t>
            </w: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5.875% Senior Secured Notes due 2024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297,267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296,647</w:t>
            </w:r>
          </w:p>
        </w:tc>
        <w:tc>
          <w:tcPr>
            <w:tcW w:w="0" w:type="dxa"/>
            <w:vAlign w:val="bottom"/>
          </w:tcPr>
          <w:p>
            <w:pPr>
              <w:spacing w:after="0"/>
              <w:rPr>
                <w:sz w:val="1"/>
                <w:szCs w:val="1"/>
                <w:color w:val="auto"/>
              </w:rPr>
            </w:pPr>
          </w:p>
        </w:tc>
      </w:tr>
      <w:tr>
        <w:trPr>
          <w:trHeight w:val="230"/>
        </w:trPr>
        <w:tc>
          <w:tcPr>
            <w:tcW w:w="500" w:type="dxa"/>
            <w:vAlign w:val="bottom"/>
          </w:tcPr>
          <w:p>
            <w:pPr>
              <w:ind w:left="20"/>
              <w:spacing w:after="0"/>
              <w:rPr>
                <w:sz w:val="20"/>
                <w:szCs w:val="20"/>
                <w:color w:val="auto"/>
              </w:rPr>
            </w:pPr>
            <w:r>
              <w:rPr>
                <w:rFonts w:ascii="Arial" w:cs="Arial" w:eastAsia="Arial" w:hAnsi="Arial"/>
                <w:sz w:val="18"/>
                <w:szCs w:val="18"/>
                <w:color w:val="auto"/>
                <w:w w:val="90"/>
              </w:rPr>
              <w:t>6.00%</w:t>
            </w:r>
          </w:p>
        </w:tc>
        <w:tc>
          <w:tcPr>
            <w:tcW w:w="306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900" w:type="dxa"/>
            <w:vAlign w:val="bottom"/>
          </w:tcPr>
          <w:p>
            <w:pPr>
              <w:jc w:val="right"/>
              <w:spacing w:after="0"/>
              <w:rPr>
                <w:sz w:val="20"/>
                <w:szCs w:val="20"/>
                <w:color w:val="auto"/>
              </w:rPr>
            </w:pPr>
            <w:r>
              <w:rPr>
                <w:rFonts w:ascii="Arial" w:cs="Arial" w:eastAsia="Arial" w:hAnsi="Arial"/>
                <w:sz w:val="18"/>
                <w:szCs w:val="18"/>
                <w:color w:val="auto"/>
              </w:rPr>
              <w:t>6.27 %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21,366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6.27 %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1,185,726</w:t>
            </w:r>
          </w:p>
        </w:tc>
        <w:tc>
          <w:tcPr>
            <w:tcW w:w="0" w:type="dxa"/>
            <w:vAlign w:val="bottom"/>
          </w:tcPr>
          <w:p>
            <w:pPr>
              <w:spacing w:after="0"/>
              <w:rPr>
                <w:sz w:val="1"/>
                <w:szCs w:val="1"/>
                <w:color w:val="auto"/>
              </w:rPr>
            </w:pPr>
          </w:p>
        </w:tc>
      </w:tr>
      <w:tr>
        <w:trPr>
          <w:trHeight w:val="23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7.50%</w:t>
            </w:r>
          </w:p>
        </w:tc>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Notes due 2027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2,015,479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1,995,142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7.71 %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1,482,212</w:t>
            </w:r>
          </w:p>
        </w:tc>
        <w:tc>
          <w:tcPr>
            <w:tcW w:w="0" w:type="dxa"/>
            <w:vAlign w:val="bottom"/>
          </w:tcPr>
          <w:p>
            <w:pPr>
              <w:spacing w:after="0"/>
              <w:rPr>
                <w:sz w:val="1"/>
                <w:szCs w:val="1"/>
                <w:color w:val="auto"/>
              </w:rPr>
            </w:pPr>
          </w:p>
        </w:tc>
      </w:tr>
      <w:tr>
        <w:trPr>
          <w:trHeight w:val="175"/>
        </w:trPr>
        <w:tc>
          <w:tcPr>
            <w:tcW w:w="500" w:type="dxa"/>
            <w:vAlign w:val="bottom"/>
          </w:tcPr>
          <w:p>
            <w:pPr>
              <w:ind w:left="20"/>
              <w:spacing w:after="0" w:line="176" w:lineRule="exact"/>
              <w:rPr>
                <w:sz w:val="20"/>
                <w:szCs w:val="20"/>
                <w:color w:val="auto"/>
              </w:rPr>
            </w:pPr>
            <w:r>
              <w:rPr>
                <w:rFonts w:ascii="Arial" w:cs="Arial" w:eastAsia="Arial" w:hAnsi="Arial"/>
                <w:sz w:val="18"/>
                <w:szCs w:val="18"/>
                <w:color w:val="auto"/>
                <w:w w:val="90"/>
              </w:rPr>
              <w:t>9.50%</w:t>
            </w:r>
          </w:p>
        </w:tc>
        <w:tc>
          <w:tcPr>
            <w:tcW w:w="3060" w:type="dxa"/>
            <w:vAlign w:val="bottom"/>
          </w:tcPr>
          <w:p>
            <w:pPr>
              <w:ind w:left="20"/>
              <w:spacing w:after="0" w:line="176" w:lineRule="exact"/>
              <w:rPr>
                <w:sz w:val="20"/>
                <w:szCs w:val="20"/>
                <w:color w:val="auto"/>
              </w:rPr>
            </w:pPr>
            <w:r>
              <w:rPr>
                <w:rFonts w:ascii="Arial" w:cs="Arial" w:eastAsia="Arial" w:hAnsi="Arial"/>
                <w:sz w:val="18"/>
                <w:szCs w:val="18"/>
                <w:color w:val="auto"/>
                <w:w w:val="95"/>
              </w:rPr>
              <w:t>Senior Secured Second Lien Notes due</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9.68 %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940,590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932,395</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 w:type="dxa"/>
            <w:vAlign w:val="bottom"/>
          </w:tcPr>
          <w:p>
            <w:pPr>
              <w:ind w:left="20"/>
              <w:spacing w:after="0"/>
              <w:rPr>
                <w:sz w:val="20"/>
                <w:szCs w:val="20"/>
                <w:color w:val="auto"/>
              </w:rPr>
            </w:pPr>
            <w:r>
              <w:rPr>
                <w:rFonts w:ascii="Arial" w:cs="Arial" w:eastAsia="Arial" w:hAnsi="Arial"/>
                <w:sz w:val="18"/>
                <w:szCs w:val="18"/>
                <w:color w:val="auto"/>
              </w:rPr>
              <w:t>2027</w:t>
            </w:r>
          </w:p>
        </w:tc>
        <w:tc>
          <w:tcPr>
            <w:tcW w:w="30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6.00%</w:t>
            </w:r>
          </w:p>
        </w:tc>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1,260,416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1,251,725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Term Loan Facility</w:t>
            </w:r>
          </w:p>
        </w:tc>
        <w:tc>
          <w:tcPr>
            <w:tcW w:w="900" w:type="dxa"/>
            <w:vAlign w:val="bottom"/>
          </w:tcPr>
          <w:p>
            <w:pPr>
              <w:jc w:val="right"/>
              <w:spacing w:after="0"/>
              <w:rPr>
                <w:sz w:val="20"/>
                <w:szCs w:val="20"/>
                <w:color w:val="auto"/>
              </w:rPr>
            </w:pPr>
            <w:r>
              <w:rPr>
                <w:rFonts w:ascii="Arial" w:cs="Arial" w:eastAsia="Arial" w:hAnsi="Arial"/>
                <w:sz w:val="18"/>
                <w:szCs w:val="18"/>
                <w:color w:val="auto"/>
              </w:rPr>
              <w:t>5.21 %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3,295,475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3,274,330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6.21 %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3,329,625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3,302,675</w:t>
            </w: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2.69 %</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4.25 %</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3"/>
        </w:trPr>
        <w:tc>
          <w:tcPr>
            <w:tcW w:w="3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long-term debt, net</w:t>
            </w: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8,376,443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8,314,728</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8,470,678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8,394,049</w:t>
            </w:r>
          </w:p>
        </w:tc>
        <w:tc>
          <w:tcPr>
            <w:tcW w:w="0" w:type="dxa"/>
            <w:vAlign w:val="bottom"/>
          </w:tcPr>
          <w:p>
            <w:pPr>
              <w:spacing w:after="0"/>
              <w:rPr>
                <w:sz w:val="1"/>
                <w:szCs w:val="1"/>
                <w:color w:val="auto"/>
              </w:rPr>
            </w:pPr>
          </w:p>
        </w:tc>
      </w:tr>
      <w:tr>
        <w:trPr>
          <w:trHeight w:val="223"/>
        </w:trPr>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current portion, net</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34,150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34,150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34,150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34,150</w:t>
            </w:r>
          </w:p>
        </w:tc>
        <w:tc>
          <w:tcPr>
            <w:tcW w:w="0" w:type="dxa"/>
            <w:vAlign w:val="bottom"/>
          </w:tcPr>
          <w:p>
            <w:pPr>
              <w:spacing w:after="0"/>
              <w:rPr>
                <w:sz w:val="1"/>
                <w:szCs w:val="1"/>
                <w:color w:val="auto"/>
              </w:rPr>
            </w:pPr>
          </w:p>
        </w:tc>
      </w:tr>
      <w:tr>
        <w:trPr>
          <w:trHeight w:val="223"/>
        </w:trPr>
        <w:tc>
          <w:tcPr>
            <w:tcW w:w="3560" w:type="dxa"/>
            <w:vAlign w:val="bottom"/>
            <w:gridSpan w:val="2"/>
          </w:tcPr>
          <w:p>
            <w:pPr>
              <w:ind w:left="20"/>
              <w:spacing w:after="0"/>
              <w:rPr>
                <w:sz w:val="20"/>
                <w:szCs w:val="20"/>
                <w:color w:val="auto"/>
              </w:rPr>
            </w:pPr>
            <w:r>
              <w:rPr>
                <w:rFonts w:ascii="Arial" w:cs="Arial" w:eastAsia="Arial" w:hAnsi="Arial"/>
                <w:sz w:val="18"/>
                <w:szCs w:val="18"/>
                <w:color w:val="auto"/>
                <w:w w:val="97"/>
              </w:rPr>
              <w:t>Total long-term debt, less current portion, net</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8,342,293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8,280,578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8,436,528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8,359,899</w:t>
            </w: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 xml:space="preserve">The Company and its subsidiaries, with certain customary exceptions, guarantee or serve as issuers or borrowers of the debt instruments representing substantially all of the Company’s indebtedness at December 31, 2020. The obligations under (i) the 5.875% Senior Secured Notes due 2024, (ii) the 7.50% Senior Secured Notes due 2027 and (iii) the Credit Agreement and related loan documents are secured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by a perfected first priority lien (subject to certain permitted liens) on the collateral securing such instruments, which collateral represents substantially all of the assets of the issuers or borrowers and the guarantors party thereto (subject to customary exceptions). The obligations under the 9.50% Senior Secured Second Lien Notes due</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2027 are secured by a second priority lien (subject to certain permitted liens) on, and on a junior basis with respect to, the collateral securing the obligations under the Credit Agreement, the 5.875% Senior Secured Notes due 2024 and the 7.50% Senior Secured Notes due 2027 and the related guarantees. Our senior unsecured notes are unsecured and effectively subordinated in right of priority to the Credit Agreement, the 5.875% Senior Secured Notes due 2024, the 7.50% Senior Secured Notes due 2027 and the 9.50% Senior Secured Second Lien Notes due 2027, in each case to the extent of the value of the collateral securing such instruments.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color w:val="auto"/>
        </w:rPr>
        <w:t>The aggregate estimated fair value of the Company’s long-term debt, which was estimated using inputs based on quoted market prices for the same or similar debt issuances, was $8.4 billion and $7.4 billion at December 31, 2020 and December 31, 2019, respectively. Based on this valuation methodology, we determined these debt instruments represent Level 2 measurements within the fair value hierarchy.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Company and certain of its subsidiaries are party to a credit agreement (as amended from time to time, the Credit Agreement), which provides for (i) a $1,000.0 million senior secured revolving credit facility (the Revolving Credit Facility) and (ii) a senior secured term loan facility in an initial principal amount of $3,415.0 million (the Term Loan Facility and, together with the Revolving Credit Facility, the Credit Facilities). Current amounts outstanding under the Credit Facilities are set forth in the table above. After giving effect to borrowings under the Revolving Credit Facility and issued and outstanding letters of credit, approximately $695.5 million of remaining credit is available under the Revolving Credit Facility as of December 31, 2020. The Company’s outstanding debt agreements contain a number of restrictive covenants, including certain limitations on the Company’s ability to incur additional indebtedness.</w:t>
      </w:r>
    </w:p>
    <w:p>
      <w:pPr>
        <w:spacing w:after="0" w:line="87" w:lineRule="exact"/>
        <w:rPr>
          <w:sz w:val="20"/>
          <w:szCs w:val="20"/>
          <w:color w:val="auto"/>
        </w:rPr>
      </w:pPr>
    </w:p>
    <w:p>
      <w:pPr>
        <w:jc w:val="both"/>
        <w:ind w:right="40" w:firstLine="486"/>
        <w:spacing w:after="0" w:line="259" w:lineRule="auto"/>
        <w:rPr>
          <w:sz w:val="20"/>
          <w:szCs w:val="20"/>
          <w:color w:val="auto"/>
        </w:rPr>
      </w:pPr>
      <w:r>
        <w:rPr>
          <w:rFonts w:ascii="Arial" w:cs="Arial" w:eastAsia="Arial" w:hAnsi="Arial"/>
          <w:sz w:val="18"/>
          <w:szCs w:val="18"/>
          <w:color w:val="auto"/>
        </w:rPr>
        <w:t>The Credit Agreement contains affirmative and negative covenants that the Company believes to be customary for a senior secured credit facility of this type. The negative covenants include, among other things, limitations on asset sales, mergers and acquisitions, indebtedness, liens, dividends and other restricted payments, investments and transactions with the Company’s affiliates. As of December 31, 2020 and December 31, 2019, we were in compliance with all such covenants.</w:t>
      </w:r>
    </w:p>
    <w:p>
      <w:pPr>
        <w:spacing w:after="0" w:line="79"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In addition, after each fiscal year-end, the Company is required to perform a calculation of Excess Cash Flow (as defined in the Credit Agreement), which could result in certain pre-payments of the principal relating to the Term Loan Facility in accordance with the terms of the Credit Agreement. No such payment is required at December 31, 2020.</w:t>
      </w:r>
    </w:p>
    <w:p>
      <w:pPr>
        <w:spacing w:after="0" w:line="76"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The commitments under the Revolving Credit Facility generally mature in 2024, with the exception of $76.0 million of commitments that mature in 2022. Principal payments on the Term Loan Facility equal to 0.25% of the initial principal amount are generally payable quarterly until the Term Loan Facility’s ultimate maturity date in 2024, at which time the remaining principal amount outstanding will be payable. However, with certain exceptions set forth in the Credit Agreement, maturities under the Credit Facilities will be accelerated if any of the following of our senior notes are not refinanced or repaid in full at least 91 days prior to the respective maturity dates thereof:</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Instrument</w:t>
            </w:r>
          </w:p>
        </w:tc>
        <w:tc>
          <w:tcPr>
            <w:tcW w:w="15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Maturity Date</w:t>
            </w:r>
          </w:p>
        </w:tc>
      </w:tr>
      <w:tr>
        <w:trPr>
          <w:trHeight w:val="229"/>
        </w:trPr>
        <w:tc>
          <w:tcPr>
            <w:tcW w:w="9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7.25% Senior Notes due 2022</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January 15, 2022</w:t>
            </w:r>
          </w:p>
        </w:tc>
      </w:tr>
      <w:tr>
        <w:trPr>
          <w:trHeight w:val="230"/>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5.75% Senior Notes due 2022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January 15, 2022</w:t>
            </w:r>
          </w:p>
        </w:tc>
      </w:tr>
      <w:tr>
        <w:trPr>
          <w:trHeight w:val="230"/>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5.375% Senior Notes due 2023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2023</w:t>
            </w:r>
          </w:p>
        </w:tc>
      </w:tr>
      <w:tr>
        <w:trPr>
          <w:trHeight w:val="230"/>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6.00% Senior Notes due 2023</w:t>
            </w:r>
          </w:p>
        </w:tc>
        <w:tc>
          <w:tcPr>
            <w:tcW w:w="1160" w:type="dxa"/>
            <w:vAlign w:val="bottom"/>
          </w:tcPr>
          <w:p>
            <w:pPr>
              <w:jc w:val="right"/>
              <w:spacing w:after="0"/>
              <w:rPr>
                <w:sz w:val="20"/>
                <w:szCs w:val="20"/>
                <w:color w:val="auto"/>
              </w:rPr>
            </w:pPr>
            <w:r>
              <w:rPr>
                <w:rFonts w:ascii="Arial" w:cs="Arial" w:eastAsia="Arial" w:hAnsi="Arial"/>
                <w:sz w:val="18"/>
                <w:szCs w:val="18"/>
                <w:color w:val="auto"/>
              </w:rPr>
              <w:t>July 15,</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2023</w:t>
            </w:r>
          </w:p>
        </w:tc>
      </w:tr>
    </w:tbl>
    <w:p>
      <w:pPr>
        <w:spacing w:after="0" w:line="93"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color w:val="auto"/>
        </w:rPr>
        <w:t>Borrowings under the Revolving Credit Facility bear interest, at the borrower’s election, at a rate equal to (i) an applicable margin between 1.50% and 3.00% depending on the Company’s Total Net Leverage Ratio plus LIBOR or (ii) an applicable margin between 0.50% and 2.00% depending on the Company’s Total Net Leverage Ratio plus the Alternate Base Rate (as defined in the Credit Agreement). In addition, borrowings under our Term Loan Facility bear interest, at the borrower’s election, at a rate equal to (i) 4.25% plus LIBOR, subject to a LIBOR floor of 0.75%, or (ii) 3.25% plus the Alternate Base Rate, subject to an Alternate Base Rate floor of 1.75%.</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and Senior Secured Notes</w:t>
      </w:r>
    </w:p>
    <w:p>
      <w:pPr>
        <w:spacing w:after="0" w:line="121" w:lineRule="exact"/>
        <w:rPr>
          <w:sz w:val="20"/>
          <w:szCs w:val="20"/>
          <w:color w:val="auto"/>
        </w:rPr>
      </w:pPr>
    </w:p>
    <w:p>
      <w:pPr>
        <w:ind w:right="680" w:firstLine="486"/>
        <w:spacing w:after="0" w:line="291" w:lineRule="auto"/>
        <w:rPr>
          <w:sz w:val="20"/>
          <w:szCs w:val="20"/>
          <w:color w:val="auto"/>
        </w:rPr>
      </w:pPr>
      <w:r>
        <w:rPr>
          <w:rFonts w:ascii="Arial" w:cs="Arial" w:eastAsia="Arial" w:hAnsi="Arial"/>
          <w:sz w:val="16"/>
          <w:szCs w:val="16"/>
          <w:color w:val="auto"/>
        </w:rPr>
        <w:t>Our various senior notes and senior secured notes mature between 2022 and 2028. The indentures governing these notes generally allow for redemption prior to maturity, in whole or in part, subject to certain restrictions and limitations described therein, in the following ways:</w:t>
      </w:r>
    </w:p>
    <w:p>
      <w:pPr>
        <w:ind w:left="900" w:right="100" w:hanging="244"/>
        <w:spacing w:after="0" w:line="295" w:lineRule="auto"/>
        <w:tabs>
          <w:tab w:leader="none" w:pos="895" w:val="left"/>
        </w:tabs>
        <w:numPr>
          <w:ilvl w:val="0"/>
          <w:numId w:val="78"/>
        </w:numPr>
        <w:rPr>
          <w:rFonts w:ascii="Arial" w:cs="Arial" w:eastAsia="Arial" w:hAnsi="Arial"/>
          <w:sz w:val="16"/>
          <w:szCs w:val="16"/>
          <w:color w:val="auto"/>
        </w:rPr>
      </w:pPr>
      <w:r>
        <w:rPr>
          <w:rFonts w:ascii="Arial" w:cs="Arial" w:eastAsia="Arial" w:hAnsi="Arial"/>
          <w:sz w:val="16"/>
          <w:szCs w:val="16"/>
          <w:color w:val="auto"/>
        </w:rPr>
        <w:t>Until a date specified in each indenture (the Non-Call Period), the notes may be redeemed, in whole or in part, by paying the sum of: (i) 100% of the principal amount being redeemed, (ii) an applicable make-whole premium as described in each indenture and (iii) accrued and unpaid interest to, but excluding, the redemption date. As of December 31, 2020, the Non-Call Period has expired for each of our notes except for the 7.50% Senior Secured Notes due 2027, the 9.50% Senior Secured Second Lien Notes due 2027 and the 6.00% Senior Notes due 2028.</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900" w:right="100" w:hanging="244"/>
        <w:spacing w:after="0" w:line="253" w:lineRule="auto"/>
        <w:tabs>
          <w:tab w:leader="none" w:pos="8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After the Non-Call Period specified in each indenture, the notes may be redeemed, in whole or in part, at redemption prices set forth in each indenture, plus accrued and unpaid interest to, but excluding, the redemption date. The redemption prices for each of our notes vary over time. The redemption prices pursuant to this clause range from 100.000% to 107.125% of principal at December 31, 2020; however, these redemption prices generally decrease to 100% of the principal amount of the applicable notes over time as the notes approach maturity pursuant to a step-down schedule set forth in each of the indentures.</w:t>
      </w:r>
    </w:p>
    <w:p>
      <w:pPr>
        <w:spacing w:after="0" w:line="3" w:lineRule="exact"/>
        <w:rPr>
          <w:rFonts w:ascii="Arial" w:cs="Arial" w:eastAsia="Arial" w:hAnsi="Arial"/>
          <w:sz w:val="18"/>
          <w:szCs w:val="18"/>
          <w:color w:val="auto"/>
        </w:rPr>
      </w:pPr>
    </w:p>
    <w:p>
      <w:pPr>
        <w:ind w:left="900" w:hanging="244"/>
        <w:spacing w:after="0" w:line="271" w:lineRule="auto"/>
        <w:tabs>
          <w:tab w:leader="none" w:pos="895" w:val="left"/>
        </w:tabs>
        <w:numPr>
          <w:ilvl w:val="0"/>
          <w:numId w:val="79"/>
        </w:numPr>
        <w:rPr>
          <w:rFonts w:ascii="Arial" w:cs="Arial" w:eastAsia="Arial" w:hAnsi="Arial"/>
          <w:sz w:val="17"/>
          <w:szCs w:val="17"/>
          <w:color w:val="auto"/>
        </w:rPr>
      </w:pPr>
      <w:r>
        <w:rPr>
          <w:rFonts w:ascii="Arial" w:cs="Arial" w:eastAsia="Arial" w:hAnsi="Arial"/>
          <w:sz w:val="17"/>
          <w:szCs w:val="17"/>
          <w:color w:val="auto"/>
        </w:rPr>
        <w:t>Until a date specified in each indenture, the notes may be redeemed, in part (up to 35% or 40% of the principal amount outstanding as specified in each indenture), with the net cash proceeds from specified equity offerings at redemption prices set forth in each indenture, plus accrued and unpaid interest to, but excluding, the redemption date. As of December 31, 2020, this clause has expired for each of our notes except for the 7.50% Senior Secured Notes due 2027, the 9.50% Senior Secured Second Lien Notes due 2027 and the 6.00% Senior Notes due 2028, for which the specified redemption premiums are 107.500%, 109.500% and 106.000%, respectively.</w:t>
      </w:r>
    </w:p>
    <w:p>
      <w:pPr>
        <w:spacing w:after="0" w:line="70"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We have eliminated substantially all of the restrictive covenants and certain events of default in the indentures governing our senior unsecured notes, except for those in the 6.00% Senior Notes due 2028 indenture.</w:t>
      </w:r>
    </w:p>
    <w:p>
      <w:pPr>
        <w:spacing w:after="0" w:line="62"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The indentures governing our various senior secured notes and the 6.00% Senior Notes due 2028 contain affirmative and negative covenants that the Company believes to be customary for similar indentures. Under these indentures, the negative covenants, among other things, restrict the Company’s ability and the ability of its restricted subsidiaries (as defined in the indentures) to incur certain additional indebtedness and issue preferred stock; make certain dividends, distributions, investments and other restricted payments; sell certain assets; enter into sale and leaseback transactions; agree to certain restrictions on the ability of restricted subsidiaries to make certain payments to the Company or any of its restricted subsidiaries; create certain liens; merge, consolidate or sell all or substantially all of the Company’s assets; enter into certain transactions with affiliates or designate subsidiaries as unrestricted subsidiaries. These covenants are subject to a number of exceptions and qualifications, including the fall away or revision of certain of these covenants and release of collateral in the case of the senior secured notes, upon the notes receiving investment grade credit ratings. At December 31, 2020 and December 31, 2019, we were in compliance with all covenants contained in the indentures governing our various senior notes and senior secured notes. In addition, pursuant to the terms of the indentures governing certain of our senior unsecured notes, the restricted subsidiaries of Endo International plc, whose assets comprise substantially all of the Company’s consolidated total assets after intercompany eliminations, are subject to various restrictions limiting their ability to transfer assets in excess of certain thresholds to Endo International plc.</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Financing Transactions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Set forth below are certain disclosures relating to debt financing transactions that occurred during the years ended December 31, 2020,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March 2019 Refinancing</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March 2019, the Company executed certain transactions (the March 2019 Refinancing Transactions) that included:</w:t>
      </w:r>
    </w:p>
    <w:p>
      <w:pPr>
        <w:spacing w:after="0" w:line="23" w:lineRule="exact"/>
        <w:rPr>
          <w:sz w:val="20"/>
          <w:szCs w:val="20"/>
          <w:color w:val="auto"/>
        </w:rPr>
      </w:pPr>
    </w:p>
    <w:p>
      <w:pPr>
        <w:ind w:left="900" w:hanging="244"/>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entry into an amendment (the Revolving Credit Facility Amendment) to the Credit Agreement;</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issuance of $1,500.0 million of 7.50% Senior Secured Notes due 2027;</w:t>
      </w:r>
    </w:p>
    <w:p>
      <w:pPr>
        <w:spacing w:after="0" w:line="9" w:lineRule="exact"/>
        <w:rPr>
          <w:rFonts w:ascii="Arial" w:cs="Arial" w:eastAsia="Arial" w:hAnsi="Arial"/>
          <w:sz w:val="18"/>
          <w:szCs w:val="18"/>
          <w:color w:val="auto"/>
        </w:rPr>
      </w:pPr>
    </w:p>
    <w:p>
      <w:pPr>
        <w:ind w:left="900" w:right="240" w:hanging="244"/>
        <w:spacing w:after="0" w:line="250" w:lineRule="auto"/>
        <w:tabs>
          <w:tab w:leader="none" w:pos="8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repurchase of $1,642.2 million aggregate principal amount ($1,624.0 million aggregate carrying amount) of certain of the Company’s senior unsecured notes for $1,500.0 million in cash, excluding accrued interest (the Notes Repurchases); and</w:t>
      </w:r>
    </w:p>
    <w:p>
      <w:pPr>
        <w:ind w:left="900" w:right="280" w:hanging="244"/>
        <w:spacing w:after="0" w:line="255" w:lineRule="auto"/>
        <w:tabs>
          <w:tab w:leader="none" w:pos="8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solicitation of consents from the holders of the existing 7.25% Senior Notes due 2022 and 5.75% Senior Notes due 2022 to certain amendments to the indentures governing such notes, which eliminated substantially all of the restrictive covenants, certain events of default and other provisions contained in each such indenture.</w:t>
      </w:r>
    </w:p>
    <w:p>
      <w:pPr>
        <w:spacing w:after="0" w:line="82"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The difference between the cash paid and the carrying amount of notes repurchased in the Notes Repurchases resulted in a $124.0 million gain. In connection with the March 2019 Refinancing Transactions, we also incurred costs and fees totaling $26.2 million, of which $4.2 million related to the Notes Repurchases, $19.1 million related to the 7.50% Senior Secured Notes due 2027 issuance and $2.9 million related to the Revolving Credit Facility Amendment. The costs incurred in connection with the Notes Repurchases were charged to expense in the first quarter of 2019 and recorded as a partial offset to the gain. The costs incurred in connection with the 7.50% Senior Secured Notes due 2027 issuance and the Revolving Credit Facility Amendment, together with previously deferred debt issuance costs associated with the Revolving Credit Facility, have been deferred to be amortized as interest expense over the terms of the respective instruments. The net gain resulting from the March 2019 Refinancing Transactions was included in the Gain on extinguishment of debt line item in the Consolidated Statements of Operations.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June 2019 Revolving Credit Facility Borrowing</w:t>
      </w:r>
    </w:p>
    <w:p>
      <w:pPr>
        <w:spacing w:after="0" w:line="117"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In June 2019, the Company borrowed $300.0 million under the Revolving Credit Facility to be used for purposes consistent with the Company’s capital allocation priorities, including for general corporate purposes.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June 2020 Refinancing</w:t>
      </w:r>
    </w:p>
    <w:p>
      <w:pPr>
        <w:spacing w:after="0" w:line="11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June 2020, the Company executed certain transactions (the June 2020 Refinancing Transactions) that included: (i) the solicitation of consents from the holders of the Old Notes (as defined below) to certain amendments to the indentures governing such notes, which, pursuant to a supplemental indenture to each such indenture executed by the respective issuers and guarantors, eliminated substantially all of the restrictive covenants, certain events of default and other provisions contained in each such indenture and (ii) the exchanges (collectively, the Exchange Offers), by certain of the Company’s wholly-owned subsidiaries, of the following:</w:t>
      </w:r>
    </w:p>
    <w:p>
      <w:pPr>
        <w:spacing w:after="0" w:line="3" w:lineRule="exact"/>
        <w:rPr>
          <w:sz w:val="20"/>
          <w:szCs w:val="20"/>
          <w:color w:val="auto"/>
        </w:rPr>
      </w:pPr>
    </w:p>
    <w:p>
      <w:pPr>
        <w:ind w:left="900" w:right="260" w:hanging="244"/>
        <w:spacing w:after="0" w:line="250" w:lineRule="auto"/>
        <w:tabs>
          <w:tab w:leader="none" w:pos="8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$204.3 million aggregate principal amount of outstanding 5.375% Senior Notes due 2023, issued by Endo Finance LLC (Endo Finance) and Endo Finco Inc. (Endo Finco) (the Old 5.375% 2023 Notes);</w:t>
      </w:r>
    </w:p>
    <w:p>
      <w:pPr>
        <w:ind w:left="900" w:right="200" w:hanging="244"/>
        <w:spacing w:after="0" w:line="250" w:lineRule="auto"/>
        <w:tabs>
          <w:tab w:leader="none" w:pos="8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$1,383.4 million aggregate principal amount of outstanding 6.00% Senior Notes due 2023, co-issued by Endo Designated Activity Company (Endo DAC), Endo Finance and Endo Finco (the Old 6.00% 2023 Notes); and</w:t>
      </w:r>
    </w:p>
    <w:p>
      <w:pPr>
        <w:ind w:left="900" w:right="200" w:hanging="244"/>
        <w:spacing w:after="0" w:line="290" w:lineRule="auto"/>
        <w:tabs>
          <w:tab w:leader="none" w:pos="895" w:val="left"/>
        </w:tabs>
        <w:numPr>
          <w:ilvl w:val="0"/>
          <w:numId w:val="81"/>
        </w:numPr>
        <w:rPr>
          <w:rFonts w:ascii="Arial" w:cs="Arial" w:eastAsia="Arial" w:hAnsi="Arial"/>
          <w:sz w:val="17"/>
          <w:szCs w:val="17"/>
          <w:color w:val="auto"/>
        </w:rPr>
      </w:pPr>
      <w:r>
        <w:rPr>
          <w:rFonts w:ascii="Arial" w:cs="Arial" w:eastAsia="Arial" w:hAnsi="Arial"/>
          <w:sz w:val="17"/>
          <w:szCs w:val="17"/>
          <w:color w:val="auto"/>
        </w:rPr>
        <w:t>$1,178.4 million aggregate principal amount of outstanding 6.00% Senior Notes due 2025, co-issued by Endo DAC, Endo Finance and Endo Finco (the Old 6.00% 2025 Notes, and collectively with the Old 5.375% 2023 Notes and Old 6.00% 2023 Notes, the Old Notes)</w:t>
      </w:r>
    </w:p>
    <w:p>
      <w:pPr>
        <w:spacing w:after="0" w:line="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w:t>
      </w:r>
    </w:p>
    <w:p>
      <w:pPr>
        <w:spacing w:after="0" w:line="23" w:lineRule="exact"/>
        <w:rPr>
          <w:sz w:val="20"/>
          <w:szCs w:val="20"/>
          <w:color w:val="auto"/>
        </w:rPr>
      </w:pPr>
    </w:p>
    <w:p>
      <w:pPr>
        <w:ind w:left="900" w:right="300" w:hanging="244"/>
        <w:spacing w:after="0" w:line="250" w:lineRule="auto"/>
        <w:tabs>
          <w:tab w:leader="none" w:pos="8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$515.5 million aggregate principal amount of additional 7.50% Senior Secured Notes due 2027 issued by PPI (the Additional 7.50% Senior Secured Notes due 2027);</w:t>
      </w:r>
    </w:p>
    <w:p>
      <w:pPr>
        <w:ind w:left="900" w:right="80" w:hanging="244"/>
        <w:spacing w:after="0" w:line="250" w:lineRule="auto"/>
        <w:tabs>
          <w:tab w:leader="none" w:pos="8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$940.6 million aggregate principal amount of new 9.50% Senior Secured Second Lien Notes due 2027 co-issued by Endo DAC, Endo Finance and Endo Finco (together with the Additional 7.50% Senior Secured Notes due 2027, the New Secured Notes);</w:t>
      </w:r>
    </w:p>
    <w:p>
      <w:pPr>
        <w:ind w:left="900" w:right="140" w:hanging="244"/>
        <w:spacing w:after="0" w:line="250" w:lineRule="auto"/>
        <w:tabs>
          <w:tab w:leader="none" w:pos="8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$1,260.4 million aggregate principal amount of new 6.00% Senior Notes due 2028 co-issued by Endo DAC, Endo Finance and Endo Finco (collectively with the Additional 7.50% Senior Secured Notes due 2027 and the 9.50% Senior Secured Second Lien Notes due 2027, the New Senior Notes); and</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$47.2 million in cash.</w:t>
      </w:r>
    </w:p>
    <w:p>
      <w:pPr>
        <w:spacing w:after="0" w:line="103"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New Senior Notes were issued in a private offering to “qualified institutional buyers” (as defined in Rule 144A under the Securities Act) and outside the U.S. to non-U.S. persons in compliance with Regulation S under the Securities Act.</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Additional 7.50% Senior Secured Notes due 2027 are an additional issuance of our existing $1,500.0 million aggregate principal amount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7.50% Senior Secured Notes due 2027 issued on March 28, 2019, which we refer to collectively as the 7.50% Senior Secured Notes due 2027. The 7.50%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Senior Secured Notes due 2027 are guaranteed on a senior secured basis by the Company and its subsidiaries that also guarantee the Credit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(collectively, the Guarantors). The 7.50% Senior Secured Notes due 2027 are senior secured obligations of PPI and the Guarantors and are secured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same collateral that secures the Credit Agreement and the Company’s existing senior secured notes. Interest on the Additional 7.50% Senior Secured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2027 is payable semiannually in arrears on April 1 and October 1 of each year, beginning on October 1, 2020. The 7.50% Senior Secured Notes due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2027 will mature on April 1, 2027 but may be redeemed earlier, in whole or in part, subject to limitations as described in the indenture.</w:t>
      </w:r>
    </w:p>
    <w:p>
      <w:pPr>
        <w:spacing w:after="0" w:line="103"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The 9.50% Senior Secured Second Lien Notes due 2027 are guaranteed on a senior secured second lien basis by the Company and the Guarantors. The 9.50% Senior Secured Second Lien Notes due 2027 are senior secured second lien obligations of Endo DAC, Endo Finance, Endo Finco and the Guarantors and are secured by a second priority lien on, and on a junior basis with respect to, the same collateral that secures the Credit Agreement and the Company’s existing senior secured notes. Interest on the 9.50% Senior Secured Second Lien Notes due 2027 is payable semiannually in arrears on January 31 and July 31 of each year, beginning on January 31, 2021. The 9.50% Senior Secured Second Lien Notes due 2027 will mature on July 31, 2027 but may be redeemed earlier, in whole or in part, subject to limitations as described in the indenture.</w:t>
      </w:r>
    </w:p>
    <w:p>
      <w:pPr>
        <w:spacing w:after="0" w:line="7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6.00% Senior Notes due 2028 are unsecured and effectively subordinated to all of our existing and future secured indebtedness (including the obligations under the Credit Agreement, the existing secured notes and the New Secured Notes) to the extent of the value of the collateral securing such instruments. Interest on the 6.00% Senior Notes due 2028 is payable semiannually in arrears on June 30 and December 30 of each year, beginning on December 30, 2020. The 6.00% Senior Notes due 2028 will mature on June 30, 2028 but may be redeemed earlier, in whole or in part, subject to limitations as described in the indenture.</w:t>
      </w:r>
    </w:p>
    <w:p>
      <w:pPr>
        <w:spacing w:after="0" w:line="80"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June 2020 Refinancing Transactions were accounted for as debt modifications. Previously deferred and unamortized amounts associated with the Old Notes exchanged will be amortized over the respective terms of the New Senior Notes. In connection with the June 2020 Refinancing Transactions, we incurred fees to third parties of approximately $31.1 million, which were charged to expense and included in Selling, general and administrative expenses in the Consolidated Statements of Operations.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August 2020 Tender Offer</w:t>
      </w:r>
    </w:p>
    <w:p>
      <w:pPr>
        <w:spacing w:after="0" w:line="11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In August 2020, Endo Finance repurchased and retired approximately $10 million aggregate principal of 5.75% Senior Notes due 2022 pursuant to a tender offer (the August 2020 Tender Offer).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presents, as of December 31, 2020, the maturities on our long-term debt for each of the five fiscal years subsequent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Maturities (1)</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34,150</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2022 (2)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237,292</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96,713</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2024 (2)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3,770,225</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21,578</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40" w:hanging="329"/>
        <w:spacing w:after="0" w:line="241" w:lineRule="auto"/>
        <w:tabs>
          <w:tab w:leader="none" w:pos="572" w:val="left"/>
        </w:tabs>
        <w:numPr>
          <w:ilvl w:val="0"/>
          <w:numId w:val="83"/>
        </w:numPr>
        <w:rPr>
          <w:rFonts w:ascii="Arial" w:cs="Arial" w:eastAsia="Arial" w:hAnsi="Arial"/>
          <w:sz w:val="14"/>
          <w:szCs w:val="14"/>
          <w:color w:val="auto"/>
        </w:rPr>
      </w:pPr>
      <w:r>
        <w:rPr>
          <w:rFonts w:ascii="Arial" w:cs="Arial" w:eastAsia="Arial" w:hAnsi="Arial"/>
          <w:sz w:val="14"/>
          <w:szCs w:val="14"/>
          <w:color w:val="auto"/>
        </w:rPr>
        <w:t>Certain amounts borrowed pursuant to the Credit Facilities will immediately mature if certain of our senior notes are not refinanced or repaid in full prior to the date that is 91 days prior to the respective stated maturity dates thereof. Accordingly, we may seek to repay or refinance certain senior notes prior to their stated maturity dates. The amounts in this maturities table do not reflect any such early repayment or refinancing; rather, they reflect stated maturity dates.</w:t>
      </w:r>
    </w:p>
    <w:p>
      <w:pPr>
        <w:spacing w:after="0" w:line="1" w:lineRule="exact"/>
        <w:rPr>
          <w:rFonts w:ascii="Arial" w:cs="Arial" w:eastAsia="Arial" w:hAnsi="Arial"/>
          <w:sz w:val="14"/>
          <w:szCs w:val="14"/>
          <w:color w:val="auto"/>
        </w:rPr>
      </w:pPr>
    </w:p>
    <w:p>
      <w:pPr>
        <w:ind w:left="580" w:hanging="329"/>
        <w:spacing w:after="0" w:line="255" w:lineRule="auto"/>
        <w:tabs>
          <w:tab w:leader="none" w:pos="572" w:val="left"/>
        </w:tabs>
        <w:numPr>
          <w:ilvl w:val="0"/>
          <w:numId w:val="83"/>
        </w:numPr>
        <w:rPr>
          <w:rFonts w:ascii="Arial" w:cs="Arial" w:eastAsia="Arial" w:hAnsi="Arial"/>
          <w:sz w:val="14"/>
          <w:szCs w:val="14"/>
          <w:color w:val="auto"/>
        </w:rPr>
      </w:pPr>
      <w:r>
        <w:rPr>
          <w:rFonts w:ascii="Arial" w:cs="Arial" w:eastAsia="Arial" w:hAnsi="Arial"/>
          <w:sz w:val="14"/>
          <w:szCs w:val="14"/>
          <w:color w:val="auto"/>
        </w:rPr>
        <w:t>Based on the Company’s borrowings under the Revolving Credit Facility that were outstanding at December 31, 2020, $22.8 million will mature in 2022, with the remainder maturing in 2024.</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Supply and Other Service Agreements</w:t>
      </w:r>
    </w:p>
    <w:p>
      <w:pPr>
        <w:spacing w:after="0" w:line="121"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color w:val="auto"/>
        </w:rPr>
        <w:t>Our subsidiaries contract with various third party manufacturers, suppliers and service providers to provide raw materials used in our subsidiaries’ products and semi-finished and finished goods, as well as certain packaging, labeling services, customer service support, warehouse and distribution services. If, for any reason, we are unable to obtain sufficient quantities of any of the finished goods or raw materials or components required for our products or services needed to conduct our business, it could have a material adverse effect on our business, financial condition, results of operations and cash flows.</w:t>
      </w:r>
    </w:p>
    <w:p>
      <w:pPr>
        <w:spacing w:after="0" w:line="80"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In addition to the manufacturing and supply agreements described above, we have agreements with various companies for clinical development and certain other services. Although we have no reason to believe that the parties to these agreements will not meet their obligations, failure by any of these third parties to honor their contractual obligations may have a material adverse effect on our business, financial condition, results of operations and cash flows.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Jubilant HollisterStier Laboratories LLC (JHS)</w:t>
      </w:r>
    </w:p>
    <w:p>
      <w:pPr>
        <w:spacing w:after="0" w:line="117" w:lineRule="exact"/>
        <w:rPr>
          <w:sz w:val="20"/>
          <w:szCs w:val="20"/>
          <w:color w:val="auto"/>
        </w:rPr>
      </w:pPr>
    </w:p>
    <w:p>
      <w:pPr>
        <w:ind w:firstLine="486"/>
        <w:spacing w:after="0" w:line="256" w:lineRule="auto"/>
        <w:rPr>
          <w:sz w:val="20"/>
          <w:szCs w:val="20"/>
          <w:color w:val="auto"/>
        </w:rPr>
      </w:pPr>
      <w:r>
        <w:rPr>
          <w:rFonts w:ascii="Arial" w:cs="Arial" w:eastAsia="Arial" w:hAnsi="Arial"/>
          <w:sz w:val="16"/>
          <w:szCs w:val="16"/>
          <w:color w:val="auto"/>
        </w:rPr>
        <w:t>During the second quarter of 2016, we entered into an agreement with JHS (the JHS Agreement). Pursuant to the JHS Agreement, JHS fills and lyophilizes the XIAFLEX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bulk drug substance, which is manufactured by the Company, and produces sterile diluent. The initial term of the JHS Agreement is three years, with automatic renewal provisions thereafter for subsequent one-year terms, unless or until either party provides notification prior to expiration of the then current term of the contract. The Company is required to purchase a specified percentage of its total forecasted volume of XIAFLEX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from JHS each year, unless JHS is unable to supply XIAFLEX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within the timeframe established under such forecasts. Amounts purchased pursuant to the JHS Agreement were $6.8 million, $8.6 million and $7.5 million for the years ended December 31, 2020, 2019 and 2018,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 and Investigations</w:t>
      </w:r>
    </w:p>
    <w:p>
      <w:pPr>
        <w:spacing w:after="0" w:line="121"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We and certain of our subsidiaries are involved in various claims, legal proceedings and internal and governmental investigations (collectively, proceedings) arising from time to time, including, among others, those relating to product liability, intellectual property, regulatory compliance, consumer protection, tax and commercial matters. While we cannot predict the outcome of these proceedings and we intend to vigorously prosecute or defend our position as appropriate, there can be no assurance that we will be successful or obtain any requested relief. An adverse outcome in any of these proceedings could have a material adverse effect on our business, financial condition, results of operations and cash flows. We are subject to a number of matters that are not being disclosed herein because, in the opinion of our management, these matters are immaterial both individually and in the aggregate with respect to our financial position, results of operations and cash flows.</w:t>
      </w:r>
    </w:p>
    <w:p>
      <w:pPr>
        <w:spacing w:after="0" w:line="69"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 xml:space="preserve">We believe that certain settlements and judgments, as well as legal defense costs, relating to certain product liability or other matters are or may be covered in whole or in part under our insurance policies with a number of insurance carriers. In certain circumstances, insurance carriers reserve their rights to contest or deny coverage. We intend to contest vigorously any disputes with our insurance carriers and to enforce our rights under the terms of our insurance policies. Accordingly, we will record receivables with respect to amounts due under these policies only when the realization of the potential claim for recovery is considered probable. Amounts recovered under our insurance policies could be materially less than stated coverage limits and may not be adequate to cover damages, other relief and/or costs relating to claims. In addition, there is no guarantee that insurers will pay claims in the amounts that we expect or that coverage will otherwise be available. </w:t>
      </w:r>
      <w:r>
        <w:rPr>
          <w:rFonts w:ascii="Arial" w:cs="Arial" w:eastAsia="Arial" w:hAnsi="Arial"/>
          <w:sz w:val="17"/>
          <w:szCs w:val="17"/>
          <w:color w:val="212529"/>
        </w:rPr>
        <w:t>See the risk factor “</w:t>
      </w:r>
      <w:r>
        <w:rPr>
          <w:rFonts w:ascii="Arial" w:cs="Arial" w:eastAsia="Arial" w:hAnsi="Arial"/>
          <w:sz w:val="17"/>
          <w:szCs w:val="17"/>
          <w:color w:val="auto"/>
        </w:rPr>
        <w:t>We may not have and may be unable to obtain or maintain insurance adequate to cover potential liabilities</w:t>
      </w:r>
      <w:r>
        <w:rPr>
          <w:rFonts w:ascii="Arial" w:cs="Arial" w:eastAsia="Arial" w:hAnsi="Arial"/>
          <w:sz w:val="17"/>
          <w:szCs w:val="17"/>
          <w:color w:val="212529"/>
        </w:rPr>
        <w:t>”</w:t>
      </w:r>
      <w:r>
        <w:rPr>
          <w:rFonts w:ascii="Arial" w:cs="Arial" w:eastAsia="Arial" w:hAnsi="Arial"/>
          <w:sz w:val="17"/>
          <w:szCs w:val="17"/>
          <w:color w:val="auto"/>
        </w:rPr>
        <w:t xml:space="preserve"> in Part I, Item 1A of this document for more information.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As of December 31, 2020, our accrual for loss contingencies totaled $372.1 million, the most significant components of which relate to product liability and related matters associated with transvaginal surgical mesh products, which we have not sold since March 2016. Although we believe there is a possibility that a loss in excess of the amount recognized exists, we are unable to estimate the possible loss or range of loss in excess of the amount recognized at this time. While the timing of the resolution of certain of the matters accrued for as loss contingencies remains uncertain and could extend beyond 12 months, as of December 31, 2020, the entire liability accrual amount is classified in the Current portion of legal settlement accrual in the Consolidated Balance Sheets.</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Vaginal Mesh Matters</w:t>
      </w:r>
    </w:p>
    <w:p>
      <w:pPr>
        <w:spacing w:after="0" w:line="117" w:lineRule="exact"/>
        <w:rPr>
          <w:sz w:val="20"/>
          <w:szCs w:val="20"/>
          <w:color w:val="auto"/>
        </w:rPr>
      </w:pPr>
    </w:p>
    <w:p>
      <w:pPr>
        <w:ind w:right="240" w:firstLine="486"/>
        <w:spacing w:after="0" w:line="296" w:lineRule="auto"/>
        <w:rPr>
          <w:sz w:val="20"/>
          <w:szCs w:val="20"/>
          <w:color w:val="auto"/>
        </w:rPr>
      </w:pPr>
      <w:r>
        <w:rPr>
          <w:rFonts w:ascii="Arial" w:cs="Arial" w:eastAsia="Arial" w:hAnsi="Arial"/>
          <w:sz w:val="16"/>
          <w:szCs w:val="16"/>
          <w:color w:val="auto"/>
        </w:rPr>
        <w:t xml:space="preserve">Since 2008, we and certain of our subsidiaries, including AMS (subsequently converted to Astora Women’s Health Holding LLC and merged into Astora Women’s Health LLC and referred to herein as AMS and/or Astora), have been named as defendants in multiple lawsuits in various state and federal courts in the U.S., Canada, Australia and other countries, alleging personal injury resulting from the use of transvaginal surgical mesh products designed to treat POP and SUI. We have not sold such products </w:t>
      </w:r>
      <w:r>
        <w:rPr>
          <w:rFonts w:ascii="Arial" w:cs="Arial" w:eastAsia="Arial" w:hAnsi="Arial"/>
          <w:sz w:val="16"/>
          <w:szCs w:val="16"/>
          <w:color w:val="212529"/>
        </w:rPr>
        <w:t>since March 2016.</w:t>
      </w:r>
      <w:r>
        <w:rPr>
          <w:rFonts w:ascii="Arial" w:cs="Arial" w:eastAsia="Arial" w:hAnsi="Arial"/>
          <w:sz w:val="16"/>
          <w:szCs w:val="16"/>
          <w:color w:val="auto"/>
        </w:rPr>
        <w:t xml:space="preserve"> Plaintiffs claim a variety of personal injuries, including chronic pain, incontinence, inability to control bowel function and permanent deformities, and seek compensatory and punitive damages, where available.</w:t>
      </w:r>
    </w:p>
    <w:p>
      <w:pPr>
        <w:spacing w:after="0" w:line="53"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Various Master Settlement Agreements (MSAs) and other agreements have resolved approximately 71,000 filed and unfiled U.S. mesh claims as of December 31, 2020. These MSAs and other agreements were entered into at various times between June 2013 and the present, were solely by way of compromise and settlement and were not an admission of liability or fault by us or any of our subsidiaries. All MSAs are subject to a process that includes guidelines and procedures for administering the settlements and the release of funds. In certain cases, the MSAs provide for the creation of QSFs into which the settlement funds will be deposited, establish participation requirements and allow for a reduction of the total settlement payment in the event participation thresholds are not met. Funds deposited in QSFs are considered restricted cash and/or restricted cash equivalents. Distribution of funds to any individual claimant is conditioned upon the receipt of documentation substantiating product use, the dismissal of any lawsuit and the release of the claim as to us and all affiliates. Prior to receiving funds, an individual claimant must represent and warrant that liens, assignment rights or other claims identified in the claims administration process have been or will be satisfied by the individual claimant. Confidentiality provisions apply to the settlement funds, amounts allocated to individual claimants and other terms of the agreements.</w:t>
      </w:r>
    </w:p>
    <w:p>
      <w:pPr>
        <w:spacing w:after="0" w:line="77" w:lineRule="exact"/>
        <w:rPr>
          <w:sz w:val="20"/>
          <w:szCs w:val="20"/>
          <w:color w:val="auto"/>
        </w:rPr>
      </w:pPr>
    </w:p>
    <w:p>
      <w:pPr>
        <w:ind w:right="760" w:firstLine="486"/>
        <w:spacing w:after="0" w:line="277" w:lineRule="auto"/>
        <w:rPr>
          <w:sz w:val="20"/>
          <w:szCs w:val="20"/>
          <w:color w:val="auto"/>
        </w:rPr>
      </w:pPr>
      <w:r>
        <w:rPr>
          <w:rFonts w:ascii="Arial" w:cs="Arial" w:eastAsia="Arial" w:hAnsi="Arial"/>
          <w:sz w:val="18"/>
          <w:szCs w:val="18"/>
          <w:color w:val="auto"/>
        </w:rPr>
        <w:t>In October 2019, the Ontario Superior Court of Justice approved a class action settlement covering unresolved claims by Canadian women implanted with an AMS vaginal mesh device. Astora funded the settlement in February 2020.</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the changes in the QSFs and mesh liability accrual balances during the year ended December 31, 2020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Qualified Settlement</w:t>
            </w:r>
          </w:p>
        </w:tc>
        <w:tc>
          <w:tcPr>
            <w:tcW w:w="160" w:type="dxa"/>
            <w:vAlign w:val="bottom"/>
          </w:tcPr>
          <w:p>
            <w:pPr>
              <w:spacing w:after="0"/>
              <w:rPr>
                <w:sz w:val="14"/>
                <w:szCs w:val="14"/>
                <w:color w:val="auto"/>
              </w:rPr>
            </w:pPr>
          </w:p>
        </w:tc>
        <w:tc>
          <w:tcPr>
            <w:tcW w:w="1200" w:type="dxa"/>
            <w:vAlign w:val="bottom"/>
          </w:tcPr>
          <w:p>
            <w:pPr>
              <w:jc w:val="right"/>
              <w:ind w:right="154"/>
              <w:spacing w:after="0"/>
              <w:rPr>
                <w:sz w:val="20"/>
                <w:szCs w:val="20"/>
                <w:color w:val="auto"/>
              </w:rPr>
            </w:pPr>
            <w:r>
              <w:rPr>
                <w:rFonts w:ascii="Arial" w:cs="Arial" w:eastAsia="Arial" w:hAnsi="Arial"/>
                <w:sz w:val="14"/>
                <w:szCs w:val="14"/>
                <w:b w:val="1"/>
                <w:bCs w:val="1"/>
                <w:color w:val="auto"/>
              </w:rPr>
              <w:t>Mesh Liability</w:t>
            </w:r>
          </w:p>
        </w:tc>
      </w:tr>
      <w:tr>
        <w:trPr>
          <w:trHeight w:val="188"/>
        </w:trPr>
        <w:tc>
          <w:tcPr>
            <w:tcW w:w="8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Funds</w:t>
            </w:r>
          </w:p>
        </w:tc>
        <w:tc>
          <w:tcPr>
            <w:tcW w:w="160" w:type="dxa"/>
            <w:vAlign w:val="bottom"/>
          </w:tcPr>
          <w:p>
            <w:pPr>
              <w:spacing w:after="0"/>
              <w:rPr>
                <w:sz w:val="16"/>
                <w:szCs w:val="16"/>
                <w:color w:val="auto"/>
              </w:rPr>
            </w:pPr>
          </w:p>
        </w:tc>
        <w:tc>
          <w:tcPr>
            <w:tcW w:w="1200" w:type="dxa"/>
            <w:vAlign w:val="bottom"/>
          </w:tcPr>
          <w:p>
            <w:pPr>
              <w:jc w:val="right"/>
              <w:ind w:right="354"/>
              <w:spacing w:after="0"/>
              <w:rPr>
                <w:sz w:val="20"/>
                <w:szCs w:val="20"/>
                <w:color w:val="auto"/>
              </w:rPr>
            </w:pPr>
            <w:r>
              <w:rPr>
                <w:rFonts w:ascii="Arial" w:cs="Arial" w:eastAsia="Arial" w:hAnsi="Arial"/>
                <w:sz w:val="14"/>
                <w:szCs w:val="14"/>
                <w:b w:val="1"/>
                <w:bCs w:val="1"/>
                <w:color w:val="auto"/>
              </w:rPr>
              <w:t>Accrual</w:t>
            </w:r>
          </w:p>
        </w:tc>
      </w:tr>
      <w:tr>
        <w:trPr>
          <w:trHeight w:val="224"/>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242,842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454,031</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Additional charges</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43,093</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contributions to Qualified Settlement Funds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Cash distributions to settle disputes from Qualified Settlement Funds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(123,803)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(123,803)</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distributions to settle disputes</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(44,471)</w:t>
            </w:r>
          </w:p>
        </w:tc>
      </w:tr>
      <w:tr>
        <w:trPr>
          <w:trHeight w:val="23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330,921</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jc w:val="both"/>
        <w:ind w:left="580" w:right="60" w:hanging="329"/>
        <w:spacing w:after="0" w:line="248" w:lineRule="auto"/>
        <w:tabs>
          <w:tab w:leader="none" w:pos="572" w:val="left"/>
        </w:tabs>
        <w:numPr>
          <w:ilvl w:val="0"/>
          <w:numId w:val="84"/>
        </w:numPr>
        <w:rPr>
          <w:rFonts w:ascii="Arial" w:cs="Arial" w:eastAsia="Arial" w:hAnsi="Arial"/>
          <w:sz w:val="14"/>
          <w:szCs w:val="14"/>
          <w:color w:val="auto"/>
        </w:rPr>
      </w:pPr>
      <w:r>
        <w:rPr>
          <w:rFonts w:ascii="Arial" w:cs="Arial" w:eastAsia="Arial" w:hAnsi="Arial"/>
          <w:sz w:val="14"/>
          <w:szCs w:val="14"/>
          <w:color w:val="auto"/>
        </w:rPr>
        <w:t>Amounts deposited in the QSFs may earn interest, which is generally used to pay administrative costs of the fund and is reflected in the table above as an increase to the QSF and Mesh Liability Accrual balances. Any interest remaining after all claims have been paid will generally be distributed to the claimants who participated in that settlement. Also included within this line are foreign currency adjustments for settlements not denominated in U.S. dollars.</w:t>
      </w:r>
    </w:p>
    <w:p>
      <w:pPr>
        <w:spacing w:after="0" w:line="87" w:lineRule="exact"/>
        <w:rPr>
          <w:sz w:val="20"/>
          <w:szCs w:val="20"/>
          <w:color w:val="auto"/>
        </w:rPr>
      </w:pPr>
    </w:p>
    <w:p>
      <w:pPr>
        <w:ind w:right="720" w:firstLine="486"/>
        <w:spacing w:after="0" w:line="277" w:lineRule="auto"/>
        <w:rPr>
          <w:sz w:val="20"/>
          <w:szCs w:val="20"/>
          <w:color w:val="auto"/>
        </w:rPr>
      </w:pPr>
      <w:r>
        <w:rPr>
          <w:rFonts w:ascii="Arial" w:cs="Arial" w:eastAsia="Arial" w:hAnsi="Arial"/>
          <w:sz w:val="18"/>
          <w:szCs w:val="18"/>
          <w:color w:val="auto"/>
        </w:rPr>
        <w:t>Charges related to vaginal mesh liability and associated legal fees and other expenses for all periods presented are reported in Discontinued operations, net of tax in our Consolidated Statements of Operations.</w:t>
      </w:r>
    </w:p>
    <w:p>
      <w:pPr>
        <w:spacing w:after="0" w:line="62"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As of December 31, 2020, the Company has made total cumulative mesh liability payments of approximately $3.6 billion, $127.0 million of which remains in the QSFs as of December 31, 2020. We currently expect to fund all of the remaining payments under all previously executed settlement agreements during 2021. As funds are disbursed out of the QSFs from time to time, the liability accrual will be reduced accordingly with a corresponding reduction to restricted cash and cash equivalents. In addition, we may pay cash distributions to settle disputes separate from the QSFs, which will also decrease the liability accrual and decrease cash and cash equivalents.</w:t>
      </w:r>
    </w:p>
    <w:p>
      <w:pPr>
        <w:spacing w:after="0" w:line="80" w:lineRule="exact"/>
        <w:rPr>
          <w:sz w:val="20"/>
          <w:szCs w:val="20"/>
          <w:color w:val="auto"/>
        </w:rPr>
      </w:pPr>
    </w:p>
    <w:p>
      <w:pPr>
        <w:ind w:right="60" w:firstLine="486"/>
        <w:spacing w:after="0" w:line="311" w:lineRule="auto"/>
        <w:rPr>
          <w:sz w:val="20"/>
          <w:szCs w:val="20"/>
          <w:color w:val="auto"/>
        </w:rPr>
      </w:pPr>
      <w:r>
        <w:rPr>
          <w:rFonts w:ascii="Arial" w:cs="Arial" w:eastAsia="Arial" w:hAnsi="Arial"/>
          <w:sz w:val="16"/>
          <w:szCs w:val="16"/>
          <w:color w:val="auto"/>
        </w:rPr>
        <w:t>We were contacted in October 2012 regarding a civil investigation initiated by various U.S. state attorneys general into mesh products, including transvaginal surgical mesh products designed to treat POP and SUI. In November 2013, we received a subpoena relating to this investigation from the state of California, and we subsequently received additional subpoenas from California and other states. We are cooperating with the investigations.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20" w:firstLine="486"/>
        <w:spacing w:after="0" w:line="308" w:lineRule="auto"/>
        <w:rPr>
          <w:sz w:val="20"/>
          <w:szCs w:val="20"/>
          <w:color w:val="auto"/>
        </w:rPr>
      </w:pPr>
      <w:r>
        <w:rPr>
          <w:rFonts w:ascii="Arial" w:cs="Arial" w:eastAsia="Arial" w:hAnsi="Arial"/>
          <w:sz w:val="17"/>
          <w:szCs w:val="17"/>
          <w:color w:val="auto"/>
        </w:rPr>
        <w:t>We will continue to vigorously defend any unresolved claims and to explore other options as appropriate in our best interests. The earliest trial is currently scheduled for May 2021; however, the timing of trials is uncertain due to the impact of COVID-19 and other factors.</w:t>
      </w:r>
    </w:p>
    <w:p>
      <w:pPr>
        <w:spacing w:after="0" w:line="38"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Similar matters may be brought by others or the foregoing matters may be expanded. We are unable to predict the outcome of these matters or to estimate the possible range of any additional losses that could be incurred.</w:t>
      </w:r>
    </w:p>
    <w:p>
      <w:pPr>
        <w:spacing w:after="0" w:line="62" w:lineRule="exact"/>
        <w:rPr>
          <w:sz w:val="20"/>
          <w:szCs w:val="20"/>
          <w:color w:val="auto"/>
        </w:rPr>
      </w:pPr>
    </w:p>
    <w:p>
      <w:pPr>
        <w:jc w:val="both"/>
        <w:ind w:right="240" w:firstLine="486"/>
        <w:spacing w:after="0" w:line="259" w:lineRule="auto"/>
        <w:rPr>
          <w:sz w:val="20"/>
          <w:szCs w:val="20"/>
          <w:color w:val="auto"/>
        </w:rPr>
      </w:pPr>
      <w:r>
        <w:rPr>
          <w:rFonts w:ascii="Arial" w:cs="Arial" w:eastAsia="Arial" w:hAnsi="Arial"/>
          <w:sz w:val="18"/>
          <w:szCs w:val="18"/>
          <w:color w:val="auto"/>
        </w:rPr>
        <w:t>Although the Company believes it has appropriately estimated the probable total amount of loss associated with all mesh-related matters as of the date of this report, litigation is ongoing in certain cases that have not settled, and it is reasonably possible that further claims may be filed or asserted and that adjustments to our overall liability accrual may be required. This could have a material adverse effect on our business, financial condition, results of operations and cash flows.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Opioid-Related Matters</w:t>
      </w:r>
    </w:p>
    <w:p>
      <w:pPr>
        <w:spacing w:after="0" w:line="117"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Since 2014, multiple U.S. states as well as other governmental persons or entities and private plaintiffs in the U.S. and Canada have filed suit against us and/or certain of our subsidiaries, including EHSI, EPI, PPI, PPCI, Endo Generics Holdings, Inc. (EGHI), Vintage Pharmaceuticals, LLC, Generics Bidco I, LLC, DAVA Pharmaceuticals, LLC, PSP LLC and in Canada, Paladin, as well as various other manufacturers, distributors, pharmacies and/or others, asserting claims relating to defendants’ alleged sales, marketing and/or distribution practices with respect to prescription opioid medications, including certain of our products. As of February 18, 2021, filed cases in the U.S. of which we were aware include, but are not limited to, approximately 20 cases filed by or on behalf of states; approximately 2,890 cases filed by counties, cities, Native American tribes and/or other government-related persons or entities; approximately 300 cases filed by hospitals, health systems, unions, health and welfare funds or other third-party payers and approximately 185 cases filed by individuals. Certain of the cases have been filed as putative class actions. The Canadian cases include an action filed by British Columbia on behalf of a proposed class of all federal, provincial and territorial governments and agencies in Canada that paid healthcare, pharmaceutical and treatment costs related to opioids, an action filed by the City of Grand Prairie, Alberta on behalf of a proposed class of all local or municipal governments in Canada, as well as three additional putative class actions, filed in Ontario, Quebec and British Columbia, seeking relief on behalf of Canadian residents who were prescribed and/or consumed opioid medications.</w:t>
      </w:r>
    </w:p>
    <w:p>
      <w:pPr>
        <w:spacing w:after="0" w:line="71"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The complaints in the cases assert a variety of claims, including but not limited to statutory claims asserting violations of public nuisance, consumer protection, unfair trade practices, racketeering, Medicaid fraud and/or drug dealer liability laws and/or common law claims for public nuisance, fraud/misrepresentation, strict liability, negligence and/or unjust enrichment. The claims are generally based on alleged misrepresentations and/or omissions in connection with the sale and marketing of prescription opioid medications and/or alleged failures to take adequate steps to identify and report suspicious orders and to prevent abuse and diversion. Plaintiffs generally seek various remedies including, without limitation, declaratory and/or injunctive relief; compensatory, punitive and/or treble damages; restitution, disgorgement, civil penalties, abatement, attorneys’ fees, costs and/or other relief.</w:t>
      </w:r>
    </w:p>
    <w:p>
      <w:pPr>
        <w:spacing w:after="0" w:line="56" w:lineRule="exact"/>
        <w:rPr>
          <w:sz w:val="20"/>
          <w:szCs w:val="20"/>
          <w:color w:val="auto"/>
        </w:rPr>
      </w:pPr>
    </w:p>
    <w:p>
      <w:pPr>
        <w:jc w:val="both"/>
        <w:ind w:right="100" w:firstLine="486"/>
        <w:spacing w:after="0" w:line="283" w:lineRule="auto"/>
        <w:rPr>
          <w:sz w:val="20"/>
          <w:szCs w:val="20"/>
          <w:color w:val="auto"/>
        </w:rPr>
      </w:pPr>
      <w:r>
        <w:rPr>
          <w:rFonts w:ascii="Arial" w:cs="Arial" w:eastAsia="Arial" w:hAnsi="Arial"/>
          <w:sz w:val="16"/>
          <w:szCs w:val="16"/>
          <w:color w:val="auto"/>
        </w:rPr>
        <w:t>Many of the U.S. cases have been coordinated in a federal multidistrict litigation (MDL) pending in the U.S. District Court for the Northern District of Ohio. Other cases are pending in various federal or state courts. The cases are at various stages in the litigation process. The first MDL trial, relating to the claims of two Ohio counties (Track One plaintiffs), was set for October 2019 but did not go forward after most defendants settled. EPI, EHSI, PPI and PPCI executed a settlement agreement with the Track One plaintiffs in September 2019 which provided for payments totaling $10 million and up to</w:t>
      </w:r>
    </w:p>
    <w:p>
      <w:pPr>
        <w:spacing w:after="0" w:line="1"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$1 million of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and/or ADRENALIN</w:t>
      </w:r>
      <w:r>
        <w:rPr>
          <w:rFonts w:ascii="Arial" w:cs="Arial" w:eastAsia="Arial" w:hAnsi="Arial"/>
          <w:sz w:val="23"/>
          <w:szCs w:val="23"/>
          <w:color w:val="auto"/>
          <w:vertAlign w:val="superscript"/>
        </w:rPr>
        <w:t>®</w:t>
      </w:r>
      <w:r>
        <w:rPr>
          <w:rFonts w:ascii="Arial" w:cs="Arial" w:eastAsia="Arial" w:hAnsi="Arial"/>
          <w:sz w:val="18"/>
          <w:szCs w:val="18"/>
          <w:color w:val="auto"/>
        </w:rPr>
        <w:t>. Under the settlement agreement, the Track One plaintiffs may be entitled to additional payments in the event of a comprehensive resolution of government-related opioid claims. The settlement agreement was solely by way of compromise and settlement and was not in any way an admission of liability or fault by us or any of our subsidiaries. The earliest trial is currently scheduled for April 2021; however, trials may occur earlier or later as timing remains uncertain due to the impact of COVID-19 and other factors. Most cases remain at the pleading and/or discovery stage. In February 2021, the MDL court declined to certify a proposed class of legal guardians of children born with neonatal abstinence syndrome; plaintiffs have filed a motion for reconsideration.</w:t>
      </w:r>
    </w:p>
    <w:p>
      <w:pPr>
        <w:spacing w:after="0" w:line="9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September 2019, EPI, EHSI, PPI and PPCI received subpoenas from the New York State Department of Financial Services (DFS) seeking documents and information regarding the marketing, sale and distribution of opioid medications in New York. In June 2020, DFS commenced an administrative action against the Company, EPI, EHSI, PPI and PPCI alleging violations of the New York Insurance Law and New York Financial Services Law. The statement of charges alleges that fraudulent or otherwise wrongful conduct in the marketing, sale and/or distribution of opioid medications caused false claims to be submitted to insurers and seeks civil penalties for each allegedly fraudulent prescription as well as injunctive relief. The action is currently set for hearing in June 2021.</w:t>
      </w:r>
    </w:p>
    <w:p>
      <w:pPr>
        <w:spacing w:after="0" w:line="84"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In addition to the lawsuits and administrative matters described above, the Company and/or its subsidiaries have received certain subpoenas, civil investigative demands (CIDs) and informal requests for information concerning the sale, marketing and/or distribution of prescription opioid medications, including the following:</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Various state attorneys general have served subpoenas and/or CIDs on EHSI and/or EPI. We are cooperating with the investigations.</w:t>
      </w:r>
    </w:p>
    <w:p>
      <w:pPr>
        <w:spacing w:after="0" w:line="117" w:lineRule="exact"/>
        <w:rPr>
          <w:sz w:val="20"/>
          <w:szCs w:val="20"/>
          <w:color w:val="auto"/>
        </w:rPr>
      </w:pPr>
    </w:p>
    <w:p>
      <w:pPr>
        <w:ind w:right="40" w:firstLine="486"/>
        <w:spacing w:after="0" w:line="313" w:lineRule="auto"/>
        <w:rPr>
          <w:sz w:val="20"/>
          <w:szCs w:val="20"/>
          <w:color w:val="auto"/>
        </w:rPr>
      </w:pPr>
      <w:r>
        <w:rPr>
          <w:rFonts w:ascii="Arial" w:cs="Arial" w:eastAsia="Arial" w:hAnsi="Arial"/>
          <w:sz w:val="16"/>
          <w:szCs w:val="16"/>
          <w:color w:val="auto"/>
        </w:rPr>
        <w:t>In January 2018, EPI received a federal grand jury subpoena from the U.S. District Court for the Southern District of Florida seeking documents and information related to OPANA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ER, other oxymorphone products and marketing of opioid medications. We are cooperating with the investigation.</w:t>
      </w:r>
    </w:p>
    <w:p>
      <w:pPr>
        <w:ind w:right="460" w:firstLine="486"/>
        <w:spacing w:after="0" w:line="277" w:lineRule="auto"/>
        <w:rPr>
          <w:sz w:val="20"/>
          <w:szCs w:val="20"/>
          <w:color w:val="auto"/>
        </w:rPr>
      </w:pPr>
      <w:r>
        <w:rPr>
          <w:rFonts w:ascii="Arial" w:cs="Arial" w:eastAsia="Arial" w:hAnsi="Arial"/>
          <w:sz w:val="18"/>
          <w:szCs w:val="18"/>
          <w:color w:val="auto"/>
        </w:rPr>
        <w:t>In December 2020, the Company received an administrative subpoena issued by the U.S. Attorney’s Office for the Western District of Virginia seeking documents related to McKinsey &amp; Company. We are cooperating with the investigation.</w:t>
      </w:r>
    </w:p>
    <w:p>
      <w:pPr>
        <w:spacing w:after="0" w:line="62"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57"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In January 2020, EPI and PPI executed a settlement agreement with the state of Oklahoma providing for a payment of approximately $8.75 million in resolution of potential opioid-related claims. The settlement agreement was solely by way of compromise and settlement and was not in any way an admission of liability or fault by us or any of our subsidiaries.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Ranitidine Matters</w:t>
      </w:r>
    </w:p>
    <w:p>
      <w:pPr>
        <w:spacing w:after="0" w:line="117" w:lineRule="exact"/>
        <w:rPr>
          <w:sz w:val="20"/>
          <w:szCs w:val="20"/>
          <w:color w:val="auto"/>
        </w:rPr>
      </w:pPr>
    </w:p>
    <w:p>
      <w:pPr>
        <w:ind w:right="40" w:firstLine="486"/>
        <w:spacing w:after="0" w:line="255" w:lineRule="auto"/>
        <w:rPr>
          <w:sz w:val="20"/>
          <w:szCs w:val="20"/>
          <w:color w:val="auto"/>
        </w:rPr>
      </w:pPr>
      <w:r>
        <w:rPr>
          <w:rFonts w:ascii="Arial" w:cs="Arial" w:eastAsia="Arial" w:hAnsi="Arial"/>
          <w:sz w:val="17"/>
          <w:szCs w:val="17"/>
          <w:color w:val="auto"/>
        </w:rPr>
        <w:t xml:space="preserve">In June 2020, an MDL pending in the U.S. District Court for the Southern District of Florida, </w:t>
      </w:r>
      <w:r>
        <w:rPr>
          <w:rFonts w:ascii="Arial" w:cs="Arial" w:eastAsia="Arial" w:hAnsi="Arial"/>
          <w:sz w:val="17"/>
          <w:szCs w:val="17"/>
          <w:i w:val="1"/>
          <w:iCs w:val="1"/>
          <w:color w:val="auto"/>
        </w:rPr>
        <w:t>In re Zantac (Ranitidine) Products Liability Litigation</w:t>
      </w:r>
      <w:r>
        <w:rPr>
          <w:rFonts w:ascii="Arial" w:cs="Arial" w:eastAsia="Arial" w:hAnsi="Arial"/>
          <w:sz w:val="17"/>
          <w:szCs w:val="17"/>
          <w:color w:val="auto"/>
        </w:rPr>
        <w:t>, was expanded to add PPI and numerous other manufacturers and distributors of generic ranitidine as defendants. The claims are generally based on allegations that under certain conditions the active ingredient in Zantac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generic ranitidine medications can break down to form an alleged carcinogen known as N-Nitrosodimethylamine (NDMA). PPI and its subsidiaries have not manufactured or sold ranitidine since 2016.</w:t>
      </w:r>
    </w:p>
    <w:p>
      <w:pPr>
        <w:spacing w:after="0" w:line="80"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MDL includes individual plaintiffs as well as putative classes of consumers and third-party payers. The complaints assert a variety of claims, including but not limited to various product liability, breach of warranty, fraud, negligence, statutory and unjust enrichment claims. Plaintiffs generally seek various remedies including, without limitation, compensatory, punitive and/or treble damages; restitution, disgorgement, civil penalties, abatement, attorneys’ fees and costs as well as injunctive and/or other relief.</w:t>
      </w:r>
    </w:p>
    <w:p>
      <w:pPr>
        <w:spacing w:after="0" w:line="79"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The MDL court has issued various case management orders, including orders directing the filing of “master” and short-form complaints, establishing a census registry process for potential claimants and addressing various discovery issues. In December 2020, the court dismissed the master complaints as to PPI and several other defendants with leave to amend certain claims. Third party payers have appealed the dismissal of their master class action complaint to the U.S. Court of Appeals for the Eleventh Circuit. Other plaintiffs have filed amended master complaints or sought leave to do so. In particular, in February 2021, various plaintiffs filed an amended master personal injury complaint, a consolidated amended consumer economic loss class action complaint and a motion for leave to file a consolidated medical monitoring class action complaint. PPI is not named as a defendant in the consumer economic loss complaint or the proposed medical monitoring complaint.</w:t>
      </w:r>
    </w:p>
    <w:p>
      <w:pPr>
        <w:spacing w:after="0" w:line="69"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Generic Drug Pricing Matters</w:t>
      </w:r>
    </w:p>
    <w:p>
      <w:pPr>
        <w:spacing w:after="0" w:line="11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Since March 2016, various private plaintiffs, state attorneys general and other governmental entities have filed cases against our subsidiary PPI and/or, in some instances, the Company, Generics Bidco I, LLC, DAVA Pharmaceuticals, LLC, EPI, EHSI and/or PPCI, as well as other pharmaceutical manufacturers and, in some instances, other corporate and/or individual defendants, alleging price-fixing and other anticompetitive conduct with respect to generic pharmaceutical products. These cases, which include proposed class actions filed on behalf of direct purchasers, end-payers and indirect purchaser resellers, as well as non-class action suits, have generally been consolidated and/or coordinated for pretrial proceedings in a federal MDL pending in the U.S. District Court for the Eastern District of Pennsylvania. There is also a proposed class action filed in the Federal Court of Canada on behalf of a proposed class of Canadian purchasers.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0" w:firstLine="486"/>
        <w:spacing w:after="0" w:line="275" w:lineRule="auto"/>
        <w:rPr>
          <w:sz w:val="20"/>
          <w:szCs w:val="20"/>
          <w:color w:val="auto"/>
        </w:rPr>
      </w:pPr>
      <w:r>
        <w:rPr>
          <w:rFonts w:ascii="Arial" w:cs="Arial" w:eastAsia="Arial" w:hAnsi="Arial"/>
          <w:sz w:val="17"/>
          <w:szCs w:val="17"/>
          <w:color w:val="auto"/>
        </w:rPr>
        <w:t>The various complaints and amended complaints generally assert claims under federal and/or state antitrust law, state consumer protection statutes and/or state common law, and seek damages, treble damages, civil penalties, disgorgement, declaratory and injunctive relief, costs and attorneys’ fees. Some claims are based on alleged product-specific conspiracies and other claims allege broader, multiple-product conspiracies. Under these overarching conspiracy theories, plaintiffs generally seek to hold all alleged participants in a particular conspiracy jointly and severally liable for all harms caused by the alleged conspiracy, not just harms related to the products manufactured and/or sold by a particular defendant.</w:t>
      </w:r>
    </w:p>
    <w:p>
      <w:pPr>
        <w:spacing w:after="0" w:line="68"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MDL court has issued various case management and substantive orders, including orders denying certain motions to dismiss, and discovery is ongoing.</w:t>
      </w:r>
    </w:p>
    <w:p>
      <w:pPr>
        <w:spacing w:after="0" w:line="62"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9" w:lineRule="exact"/>
        <w:rPr>
          <w:sz w:val="20"/>
          <w:szCs w:val="20"/>
          <w:color w:val="auto"/>
        </w:rPr>
      </w:pPr>
    </w:p>
    <w:p>
      <w:pPr>
        <w:ind w:right="140" w:firstLine="486"/>
        <w:spacing w:after="0" w:line="255" w:lineRule="auto"/>
        <w:rPr>
          <w:sz w:val="20"/>
          <w:szCs w:val="20"/>
          <w:color w:val="auto"/>
        </w:rPr>
      </w:pPr>
      <w:r>
        <w:rPr>
          <w:rFonts w:ascii="Arial" w:cs="Arial" w:eastAsia="Arial" w:hAnsi="Arial"/>
          <w:sz w:val="17"/>
          <w:szCs w:val="17"/>
          <w:color w:val="auto"/>
        </w:rPr>
        <w:t>In December 2014, our subsidiary PPI received from the Antitrust Division of the DOJ a federal grand jury subpoena issued by the U.S. District Court for the Eastern District of Pennsylvania addressed to “Par Pharmaceuticals.” The subpoena requested documents and information focused primarily on product and pricing information relating to the authorized generic version of Lanoxin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(digoxin) oral tablets and generic doxycycline products, and on communications with competitors and others regarding those products. We are cooperating with the investigation.</w:t>
      </w:r>
    </w:p>
    <w:p>
      <w:pPr>
        <w:spacing w:after="0" w:line="80"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In May 2018, we and our subsidiary PPCI each received a CID from the DOJ in relation to a False Claims Act investigation concerning whether generic pharmaceutical manufacturers engaged in price-fixing and market allocation agreements, paid illegal remuneration and caused the submission of false claims. We are cooperating with the investigation.</w:t>
      </w:r>
    </w:p>
    <w:p>
      <w:pPr>
        <w:spacing w:after="0" w:line="76"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Antitrust Matters</w:t>
      </w:r>
    </w:p>
    <w:p>
      <w:pPr>
        <w:spacing w:after="0" w:line="112" w:lineRule="exact"/>
        <w:rPr>
          <w:sz w:val="20"/>
          <w:szCs w:val="20"/>
          <w:color w:val="auto"/>
        </w:rPr>
      </w:pPr>
    </w:p>
    <w:p>
      <w:pPr>
        <w:ind w:right="20" w:firstLine="486"/>
        <w:spacing w:after="0" w:line="273" w:lineRule="auto"/>
        <w:rPr>
          <w:sz w:val="20"/>
          <w:szCs w:val="20"/>
          <w:color w:val="auto"/>
        </w:rPr>
      </w:pPr>
      <w:r>
        <w:rPr>
          <w:rFonts w:ascii="Arial" w:cs="Arial" w:eastAsia="Arial" w:hAnsi="Arial"/>
          <w:sz w:val="16"/>
          <w:szCs w:val="16"/>
          <w:color w:val="auto"/>
        </w:rPr>
        <w:t>Beginning in June 2014, multiple alleged purchasers of OPANA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ER sued our subsidiaries EHSI and EPI and other pharmaceutical companies including Impax Laboratories, LLC (formerly Impax Laboratories, Inc. and referred to herein as Impax) and Penwest Pharmaceuticals Co., which our subsidiary EPI had acquired, alleging violations of antitrust law arising out of an agreement reached by EPI and Impax to settle certain patent infringement litigation and EPI’s introduction of reformulated OPANA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ER. Some cases were filed on behalf of putative classes of direct and indirect purchasers, while others were filed on behalf of individual retailers or health care benefit plans. The cases have been consolidated and/or coordinated for pretrial proceedings in a federal MDL pending in the U.S. District Court for the Northern District of Illinois. The various complaints assert claims under Sections 1 and 2 of the Sherman Act, state antitrust and consumer protection statutes and/or state common law. Plaintiffs generally seek damages, treble damages, disgorgement of profits, restitution, injunctive relief and attorneys’ fees. In March 2019, direct and indirect purchaser plaintiffs filed motions for class certification, which remain pending. In April 2020, defendants filed motions for summary judgment, which remain pending.</w:t>
      </w:r>
    </w:p>
    <w:p>
      <w:pPr>
        <w:spacing w:after="0" w:line="69" w:lineRule="exact"/>
        <w:rPr>
          <w:sz w:val="20"/>
          <w:szCs w:val="20"/>
          <w:color w:val="auto"/>
        </w:rPr>
      </w:pPr>
    </w:p>
    <w:p>
      <w:pPr>
        <w:ind w:firstLine="486"/>
        <w:spacing w:after="0" w:line="265" w:lineRule="auto"/>
        <w:rPr>
          <w:sz w:val="20"/>
          <w:szCs w:val="20"/>
          <w:color w:val="auto"/>
        </w:rPr>
      </w:pPr>
      <w:r>
        <w:rPr>
          <w:rFonts w:ascii="Arial" w:cs="Arial" w:eastAsia="Arial" w:hAnsi="Arial"/>
          <w:sz w:val="16"/>
          <w:szCs w:val="16"/>
          <w:color w:val="auto"/>
        </w:rPr>
        <w:t>Beginning in February 2009, the FTC and certain private plaintiffs sued our subsidiaries PPCI (since June 2016, EGHI) and/or PPI as well as other pharmaceutical companies alleging violations of antitrust law arising out of the settlement of certain patent litigation concerning the generic version of AndroGel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seeking damages, treble damages, equitable relief and attorneys’ fees and costs. The cases were consolidated and/or coordinated for pretrial proceedings in a federal MDL pending in the U.S. District Court for the Northern District of Georgia. In May 2016, plaintiffs representing a putative class of indirect purchasers voluntarily dismissed their claims with prejudice. In February 2017, the FTC voluntarily dismissed its claims against EGHI with prejudice. In June 2018, the MDL court granted in part and denied in part various summary judgment and evidentiary motions filed by defendants. In particular, among other things, the court rejected two of the remaining plaintiffs’ causation theories and rejected damages claims related to AndroGel</w:t>
      </w:r>
      <w:r>
        <w:rPr>
          <w:rFonts w:ascii="Arial" w:cs="Arial" w:eastAsia="Arial" w:hAnsi="Arial"/>
          <w:sz w:val="20"/>
          <w:szCs w:val="20"/>
          <w:color w:val="auto"/>
          <w:vertAlign w:val="superscript"/>
        </w:rPr>
        <w:t>®</w:t>
      </w:r>
    </w:p>
    <w:p>
      <w:pPr>
        <w:spacing w:after="0" w:line="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1.62%. In July 2018, the court denied certain plaintiffs’ motion for certification of a direct purchaser class. In November 2019, PPI and PPCI entered into settlement agreements with all but one of the remaining plaintiffs in the MDL. The settlement agreements were solely by way of compromise and settlement and were not in any way an admission of liability or fault. Separately, in August 2019, several alleged direct purchasers filed suit in the U.S. District Court for the Eastern District of Pennsylvania asserting claims substantially similar to those asserted in the MDL, as well as additional claims against other defendants relating to other alleged conduct. In January 2020, the U.S. District Court for the Eastern District of Pennsylvania denied defendants’ motion to transfer venue to the Northern District of Georgia.</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80" w:lineRule="auto"/>
        <w:rPr>
          <w:sz w:val="20"/>
          <w:szCs w:val="20"/>
          <w:color w:val="auto"/>
        </w:rPr>
      </w:pPr>
      <w:r>
        <w:rPr>
          <w:rFonts w:ascii="Arial" w:cs="Arial" w:eastAsia="Arial" w:hAnsi="Arial"/>
          <w:sz w:val="16"/>
          <w:szCs w:val="16"/>
          <w:color w:val="auto"/>
        </w:rPr>
        <w:t>Beginning in May 2018, multiple complaints were filed in the U.S. District Court for the Southern District of New York against PPI, EPI and/or us, as well as other pharmaceutical companies, alleging violations of antitrust law arising out of the settlement of certain patent litigation concerning the generic version of Exforge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(amlodipine/valsartan).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September 2018, the putative class plaintiffs stipulated to the dismissal without prejudice of their claims against EPI and us, and the retailer plaintiffs later did the same. PPI filed a partial motion to dismiss certain claims in September 2018, which was granted in August 2019. The cases are currently in discovery.</w:t>
      </w:r>
    </w:p>
    <w:p>
      <w:pPr>
        <w:spacing w:after="0" w:line="64" w:lineRule="exact"/>
        <w:rPr>
          <w:sz w:val="20"/>
          <w:szCs w:val="20"/>
          <w:color w:val="auto"/>
        </w:rPr>
      </w:pPr>
    </w:p>
    <w:p>
      <w:pPr>
        <w:ind w:right="40" w:firstLine="486"/>
        <w:spacing w:after="0" w:line="261" w:lineRule="auto"/>
        <w:rPr>
          <w:sz w:val="20"/>
          <w:szCs w:val="20"/>
          <w:color w:val="auto"/>
        </w:rPr>
      </w:pPr>
      <w:r>
        <w:rPr>
          <w:rFonts w:ascii="Arial" w:cs="Arial" w:eastAsia="Arial" w:hAnsi="Arial"/>
          <w:sz w:val="17"/>
          <w:szCs w:val="17"/>
          <w:color w:val="auto"/>
        </w:rPr>
        <w:t>Beginning in August 2019, multiple complaints were filed in the U.S. District Court for the Southern District of New York against PPI and other pharmaceutical companies alleging violations of antitrust law arising out the settlement of certain patent litigation concerning generic versions of Seroquel XR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(extended release quetiapine fumarate). The claims against PPI are based on allegations that PPI entered into an exclusive acquisition and license agreement with Handa Pharmaceuticals, LLC (Handa) in 2012 pursuant to which Handa assigned to PPI certain rights under a prior settlement agreement between Handa and AstraZeneca resolving certain patent litigation.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October 2019, the defendants filed various motions to dismiss and, in the alternative, moved to transfer the litigation to the U.S. District Court for the District of Delaware. In August 2020, the Southern District of New York granted the motion to transfer without ruling on the motions to dismiss. In January 2021, the defendants filed motions to dismiss in the District of Delaware.</w:t>
      </w:r>
    </w:p>
    <w:p>
      <w:pPr>
        <w:spacing w:after="0" w:line="80" w:lineRule="exact"/>
        <w:rPr>
          <w:sz w:val="20"/>
          <w:szCs w:val="20"/>
          <w:color w:val="auto"/>
        </w:rPr>
      </w:pPr>
    </w:p>
    <w:p>
      <w:pPr>
        <w:ind w:right="120" w:firstLine="486"/>
        <w:spacing w:after="0" w:line="234" w:lineRule="auto"/>
        <w:rPr>
          <w:sz w:val="20"/>
          <w:szCs w:val="20"/>
          <w:color w:val="auto"/>
        </w:rPr>
      </w:pPr>
      <w:r>
        <w:rPr>
          <w:rFonts w:ascii="Arial" w:cs="Arial" w:eastAsia="Arial" w:hAnsi="Arial"/>
          <w:sz w:val="18"/>
          <w:szCs w:val="18"/>
          <w:color w:val="auto"/>
        </w:rPr>
        <w:t>Beginning in June 2020, several alleged indirect purchasers filed proposed class actions against Jazz Pharmaceuticals and other pharmaceutical companies, including PPI, alleging violations of state and federal antitrust laws in connection with the settlement of certain patent litigations concerning generic versions of Xyrem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(sodium oxybate). The various complaints allege that Jazz entered into a series of “reverse-payment” settlements, including with PPI, to delay generic competition for Xyrem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assert claims under Sections 1 and 2 of the Sherman Act, Section 16 of the Clayton Act, state antitrust and consumer protection statutes and/or state common law. Plaintiffs generally seek damages, treble damages, equitable relief and attorneys’ fees and costs. In December 2020, the cases were consolidated and/or coordinated for pretrial proceedings in a federal MDL pending in the U.S. District Court for the Northern District of California.</w:t>
      </w:r>
    </w:p>
    <w:p>
      <w:pPr>
        <w:spacing w:after="0" w:line="95" w:lineRule="exact"/>
        <w:rPr>
          <w:sz w:val="20"/>
          <w:szCs w:val="20"/>
          <w:color w:val="auto"/>
        </w:rPr>
      </w:pPr>
    </w:p>
    <w:p>
      <w:pPr>
        <w:ind w:right="240" w:firstLine="486"/>
        <w:spacing w:after="0" w:line="286" w:lineRule="auto"/>
        <w:rPr>
          <w:sz w:val="20"/>
          <w:szCs w:val="20"/>
          <w:color w:val="auto"/>
        </w:rPr>
      </w:pPr>
      <w:r>
        <w:rPr>
          <w:rFonts w:ascii="Arial" w:cs="Arial" w:eastAsia="Arial" w:hAnsi="Arial"/>
          <w:sz w:val="17"/>
          <w:szCs w:val="17"/>
          <w:color w:val="auto"/>
        </w:rPr>
        <w:t>In January 2021, the FTC filed a lawsuit in the U.S. District Court for the District of Columbia against us, EPI, Impax Laboratories, LLC and Amneal Pharmaceuticals, Inc., generally alleging that the 2017 settlement of a contract dispute between EPI and Impax (now Amneal) constitutes unfair competition in violation of Section 5(a) of the FTC Act. The complaint generally seeks injunctive and equitable monetary relief.</w:t>
      </w:r>
    </w:p>
    <w:p>
      <w:pPr>
        <w:spacing w:after="0" w:line="57"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To the extent unresolved,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Litigation</w:t>
      </w:r>
    </w:p>
    <w:p>
      <w:pPr>
        <w:spacing w:after="0" w:line="11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 xml:space="preserve">In February 2017, a putative class action entitled </w:t>
      </w:r>
      <w:r>
        <w:rPr>
          <w:rFonts w:ascii="Arial" w:cs="Arial" w:eastAsia="Arial" w:hAnsi="Arial"/>
          <w:sz w:val="18"/>
          <w:szCs w:val="18"/>
          <w:i w:val="1"/>
          <w:iCs w:val="1"/>
          <w:color w:val="auto"/>
        </w:rPr>
        <w:t>Public Employees’ Retirement System of Mississippi v. Endo International plc</w:t>
      </w:r>
      <w:r>
        <w:rPr>
          <w:rFonts w:ascii="Arial" w:cs="Arial" w:eastAsia="Arial" w:hAnsi="Arial"/>
          <w:sz w:val="18"/>
          <w:szCs w:val="18"/>
          <w:color w:val="auto"/>
        </w:rPr>
        <w:t xml:space="preserve"> was filed in the Court of Common Pleas of Chester County, Pennsylvania by an institutional purchaser of shares in our June 2, 2015 public offering. The complaint alleged violations of Sections 11, 12(a)(2) and 15 of the Securities Act of 1933 against us, certain of our current and former directors and officers, and the underwriters who participated in the offering, based on certain disclosures about Endo’s generics business. In June 2019, the parties entered into a settlement providing for, among other things, a $50 million payment to the investor class in exchange for a release of their claims. In December 2019, the court denied a petition to intervene filed by the lead plaintiff in the </w:t>
      </w:r>
      <w:r>
        <w:rPr>
          <w:rFonts w:ascii="Arial" w:cs="Arial" w:eastAsia="Arial" w:hAnsi="Arial"/>
          <w:sz w:val="18"/>
          <w:szCs w:val="18"/>
          <w:i w:val="1"/>
          <w:iCs w:val="1"/>
          <w:color w:val="auto"/>
        </w:rPr>
        <w:t>Pelletier</w:t>
      </w:r>
      <w:r>
        <w:rPr>
          <w:rFonts w:ascii="Arial" w:cs="Arial" w:eastAsia="Arial" w:hAnsi="Arial"/>
          <w:sz w:val="18"/>
          <w:szCs w:val="18"/>
          <w:color w:val="auto"/>
        </w:rPr>
        <w:t xml:space="preserve"> litigation described below, and granted final approval of the settlement. The Company’s insurers funded the settlement in 2019. In December 2019, the putative intervenor appealed the denial of its petition to intervene and the final approval order to Pennsylvania Superior Court. In January 2021, the plaintiff moved to dismiss the appeal; in February 2021, the putative intervenor consented to that motion.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In November 2017, a putative class action entitled Pelletier v. Endo International plc, Rajiv Kanishka Liyanaarchchie De Silva, Suketu P. Upadhyay and Paul V. Campanelli was filed in the U.S. District Court for the Eastern District of Pennsylvania by an individual shareholder on behalf of himself and all similarly situated shareholders. The lawsuit alleges violations of Section 10(b) and 20(a) of the Exchange Act and Rule 10b-5 promulgated thereunder relating to the pricing of various generic pharmaceutical products. In June 2018, the court appointed Park Employees’ and Retirement Board Employees’ Annuity Benefit Fund of Chicago lead plaintiff in the action. In September 2018, the defendants filed a motion to dismiss, which the court granted in part and denied in part in February 2020. In particular, the court granted the motion and dismissed the claims with prejudice insofar as they were based on an alleged price-fixing conspiracy; the court otherwise denied the motion to dismiss, allowing other aspects of the lead plaintiff’s claims to proceed. In June 2020, the lead plaintiff moved for class certification. In February 2021, the court replaced the existing lead plaintiff with the Bucks County Employees’ Retirement Fund, appointed Alexandre Pelletier, Nathan Dole and Wayne Wingard as co-lead plaintiffs and ordered supplemental briefing on class certification. The motion for class certification remains pending.</w:t>
      </w:r>
    </w:p>
    <w:p>
      <w:pPr>
        <w:spacing w:after="0" w:line="7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June 2020, a putative class action entitled Benoit Albiges v. Endo International plc, Paul V. Campanelli, Blaise Coleman, and Mark T. Bradley was filed in the U.S. District Court for the District of New Jersey by an individual shareholder on behalf of himself and all similarly situated shareholders. The lawsuit alleges violations of Section 10(b) and 20(a) of the Exchange Act and Rule 10b-5 promulgated thereunder relating to the marketing and sale of opioid medications and the New York Department of Financial Services’ administrative action against the Company, EPI, EHSI, PPI and PPCI. In September 2020, the court appointed Curtis Laakso lead plaintiff in the action. The lead plaintiff filed an amended complaint in November 2020. In January 2021, the defendants filed a motion to dismiss.</w:t>
      </w:r>
    </w:p>
    <w:p>
      <w:pPr>
        <w:spacing w:after="0" w:line="84"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To the extent unresolved,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VASOSTRICT</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Related Matters</w:t>
      </w:r>
    </w:p>
    <w:p>
      <w:pPr>
        <w:spacing w:after="0" w:line="65" w:lineRule="exact"/>
        <w:rPr>
          <w:sz w:val="20"/>
          <w:szCs w:val="20"/>
          <w:color w:val="auto"/>
        </w:rPr>
      </w:pPr>
    </w:p>
    <w:p>
      <w:pPr>
        <w:ind w:right="20" w:firstLine="486"/>
        <w:spacing w:after="0" w:line="260" w:lineRule="auto"/>
        <w:rPr>
          <w:sz w:val="20"/>
          <w:szCs w:val="20"/>
          <w:color w:val="auto"/>
        </w:rPr>
      </w:pPr>
      <w:r>
        <w:rPr>
          <w:rFonts w:ascii="Arial" w:cs="Arial" w:eastAsia="Arial" w:hAnsi="Arial"/>
          <w:sz w:val="17"/>
          <w:szCs w:val="17"/>
          <w:color w:val="auto"/>
        </w:rPr>
        <w:t>In July 2016, Fresenius sued our subsidiaries PPCI and PSP LLC in the U.S. District Court for the District of New Jersey alleging an anticompetitive scheme to exclude competition for PPCI’s VASOSTRICT</w:t>
      </w:r>
      <w:r>
        <w:rPr>
          <w:rFonts w:ascii="Arial" w:cs="Arial" w:eastAsia="Arial" w:hAnsi="Arial"/>
          <w:sz w:val="22"/>
          <w:szCs w:val="22"/>
          <w:color w:val="auto"/>
          <w:vertAlign w:val="superscript"/>
        </w:rPr>
        <w:t>®</w:t>
      </w:r>
      <w:r>
        <w:rPr>
          <w:rFonts w:ascii="Arial" w:cs="Arial" w:eastAsia="Arial" w:hAnsi="Arial"/>
          <w:sz w:val="17"/>
          <w:szCs w:val="17"/>
          <w:color w:val="auto"/>
        </w:rPr>
        <w:t>, a vasopressin-based cardiopulmonary drug. In particular, Fresenius alleged violations of Sections 1 and 2 of the Sherman Antitrust Act, as well as state antitrust and common law, based on assertions that our subsidiaries entered into exclusive supply agreements with one or more API manufacturers and that, as a result, Fresenius could not obtain vasopressin API in order to file an ANDA to obtain FDA approval for its own vasopressin product. Fresenius sought actual, treble and punitive damages, attorneys’ fees and costs and injunctive relief. In February 2020, the court granted our subsidiaries’ motion for summary judgment on all claims and denied Fresenius’s cross-motion for partial summary judgment. In January 2021, the U.S. Court of Appeals for the Third Circuit vacated the district court’s order granting our subsidiaries’ motion for summary judgment and remanded for further consideration of that motion.</w:t>
      </w:r>
    </w:p>
    <w:p>
      <w:pPr>
        <w:spacing w:after="0" w:line="80"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In December 2020, our subsidiaries PPI and PSP LLC settled a trade-secret lawsuit against QuVa Pharma, Inc. and eight former PSP LLC employees, which had been pending in the U.S. District Court for the District of New Jersey since August 2017. The settlement order dismissed all claims with prejudice and released the preliminary injunction bond.</w:t>
      </w:r>
    </w:p>
    <w:p>
      <w:pPr>
        <w:spacing w:after="0" w:line="76" w:lineRule="exact"/>
        <w:rPr>
          <w:sz w:val="20"/>
          <w:szCs w:val="20"/>
          <w:color w:val="auto"/>
        </w:rPr>
      </w:pPr>
    </w:p>
    <w:p>
      <w:pPr>
        <w:ind w:right="40" w:firstLine="486"/>
        <w:spacing w:after="0" w:line="255" w:lineRule="auto"/>
        <w:rPr>
          <w:sz w:val="20"/>
          <w:szCs w:val="20"/>
          <w:color w:val="auto"/>
        </w:rPr>
      </w:pPr>
      <w:r>
        <w:rPr>
          <w:rFonts w:ascii="Arial" w:cs="Arial" w:eastAsia="Arial" w:hAnsi="Arial"/>
          <w:sz w:val="17"/>
          <w:szCs w:val="17"/>
          <w:color w:val="auto"/>
        </w:rPr>
        <w:t>Beginning in April 2018, PSP LLC and PPI received notice letters from Eagle Pharmaceuticals, Inc., Sandoz, Inc., Amphastar Pharmaceuticals, Inc., Amneal Pharmaceuticals LLC, American Regent, Fresenius, Dr. Reddy’s Laboratories, Inc. and Aurobindo Pharma Limited advising of the filing by such companies of ANDAs/NDAs for generic versions of VASOSTRICT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(vasopressin IV solution (infusion)) 20 units/ml and/or 200 units/10 ml. Beginning in May 2018, PSP LLC, PPI and EPIC filed lawsuits against Eagle Pharmaceuticals, Inc., Sandoz, Inc., Amphastar Pharmaceuticals, Inc., Amneal Pharmaceuticals LLC, American Regent and Fresenius in the U.S. District Court for the District of Delaware or New Jersey within the 45-day deadline to invoke a 30-month stay of FDA approval pursuant to the Hatch-Waxman legislative scheme. In December 2020, we separately filed suit against Eagle Pharmaceuticals, Inc., Amneal Pharmaceuticals LLC, Dr. Reddy’s Laboratories, Inc. and Aurobindo Pharma Limited in the U.S. District Court for the District of New Jersey in connection with a newly issued VASOSTRICT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genotyping patent. Beginning in May 2020 through January 2021, we reached settlements with American Regent, Sandoz, Inc., Amphastar Pharmaceuticals, Inc., Fresenius, Aurobindo Pharma Limited and Dr. Reddy’s Laboratories, Inc. We have voluntarily dismissed all cases pending against those defendants. The remaining Delaware cases against Eagle Pharmaceuticals, Inc. and Amneal Pharmaceuticals LLC have been consolidated and trial is presently scheduled for July 2021; however, a trial may occur later as timing remains uncertain due to the impact of COVID-19 and other factors.</w:t>
      </w:r>
    </w:p>
    <w:p>
      <w:pPr>
        <w:spacing w:after="0" w:line="86" w:lineRule="exact"/>
        <w:rPr>
          <w:sz w:val="20"/>
          <w:szCs w:val="20"/>
          <w:color w:val="auto"/>
        </w:rPr>
      </w:pPr>
    </w:p>
    <w:p>
      <w:pPr>
        <w:jc w:val="both"/>
        <w:ind w:right="280" w:firstLine="486"/>
        <w:spacing w:after="0" w:line="257" w:lineRule="auto"/>
        <w:rPr>
          <w:sz w:val="20"/>
          <w:szCs w:val="20"/>
          <w:color w:val="auto"/>
        </w:rPr>
      </w:pPr>
      <w:r>
        <w:rPr>
          <w:rFonts w:ascii="Arial" w:cs="Arial" w:eastAsia="Arial" w:hAnsi="Arial"/>
          <w:sz w:val="18"/>
          <w:szCs w:val="18"/>
          <w:color w:val="auto"/>
        </w:rPr>
        <w:t>We will continue to vigorously defend or prosecute the foregoing matters as appropriate, to protect our intellectual property rights, to pursue all available legal and regulatory avenues and to explore other options as appropriate in our best interests. Similar matters may be brought by others or the foregoing matters may be expanded. We are unable to predict the outcome of these matters or to estimate the possible range of any additional losses that could be incurred. Adjustments to our overall liability accrual may be required in the future, which could have a material adverse effect on our business, financial condition, results of operations and cash flows.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Proceedings and Investigations</w:t>
      </w:r>
    </w:p>
    <w:p>
      <w:pPr>
        <w:spacing w:after="0" w:line="117" w:lineRule="exact"/>
        <w:rPr>
          <w:sz w:val="20"/>
          <w:szCs w:val="20"/>
          <w:color w:val="auto"/>
        </w:rPr>
      </w:pPr>
    </w:p>
    <w:p>
      <w:pPr>
        <w:ind w:right="460" w:firstLine="486"/>
        <w:spacing w:after="0" w:line="259" w:lineRule="auto"/>
        <w:rPr>
          <w:sz w:val="20"/>
          <w:szCs w:val="20"/>
          <w:color w:val="auto"/>
        </w:rPr>
      </w:pPr>
      <w:r>
        <w:rPr>
          <w:rFonts w:ascii="Arial" w:cs="Arial" w:eastAsia="Arial" w:hAnsi="Arial"/>
          <w:sz w:val="18"/>
          <w:szCs w:val="18"/>
          <w:color w:val="auto"/>
        </w:rPr>
        <w:t>Proceedings similar to those described above may also be brought in the future. Additionally, we are involved in, or have been involved in, arbitrations or various other proceedings that arise from the normal course of our business. We cannot predict the timing or outcome of these other proceedings. Currently, neither we nor our subsidiaries are involved in any other proceedings that we expect to have a material effect on our business,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OTHER COMPREHENSIVE INCOME (LOSS)</w:t>
      </w:r>
    </w:p>
    <w:p>
      <w:pPr>
        <w:spacing w:after="0" w:line="121" w:lineRule="exact"/>
        <w:rPr>
          <w:sz w:val="20"/>
          <w:szCs w:val="20"/>
          <w:color w:val="auto"/>
        </w:rPr>
      </w:pPr>
    </w:p>
    <w:p>
      <w:pPr>
        <w:ind w:right="220" w:firstLine="486"/>
        <w:spacing w:after="0" w:line="286" w:lineRule="auto"/>
        <w:rPr>
          <w:sz w:val="20"/>
          <w:szCs w:val="20"/>
          <w:color w:val="auto"/>
        </w:rPr>
      </w:pPr>
      <w:r>
        <w:rPr>
          <w:rFonts w:ascii="Arial" w:cs="Arial" w:eastAsia="Arial" w:hAnsi="Arial"/>
          <w:sz w:val="17"/>
          <w:szCs w:val="17"/>
          <w:color w:val="auto"/>
        </w:rPr>
        <w:t>During the years ended December 31, 2020, 2019 and 2018, there were no tax effects allocated to any component of Other comprehensive income (loss) and there were no reclassifications out of Accumulated other comprehensive loss. Substantially all of the Company’s Accumulated other comprehensive loss balances at December 31, 2020 and December 31, 2019 consist of Foreign currency translation loss.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SHAREHOLDERS' DEFICIT</w:t>
      </w:r>
    </w:p>
    <w:p>
      <w:pPr>
        <w:spacing w:after="0" w:line="121" w:lineRule="exact"/>
        <w:rPr>
          <w:sz w:val="20"/>
          <w:szCs w:val="20"/>
          <w:color w:val="auto"/>
        </w:rPr>
      </w:pPr>
    </w:p>
    <w:p>
      <w:pPr>
        <w:jc w:val="both"/>
        <w:ind w:right="240" w:firstLine="486"/>
        <w:spacing w:after="0" w:line="286" w:lineRule="auto"/>
        <w:rPr>
          <w:sz w:val="20"/>
          <w:szCs w:val="20"/>
          <w:color w:val="auto"/>
        </w:rPr>
      </w:pPr>
      <w:r>
        <w:rPr>
          <w:rFonts w:ascii="Arial" w:cs="Arial" w:eastAsia="Arial" w:hAnsi="Arial"/>
          <w:sz w:val="17"/>
          <w:szCs w:val="17"/>
          <w:color w:val="auto"/>
        </w:rPr>
        <w:t>The Company has issued 4,000,000 euro deferred shares of $0.01 each at par. The euro deferred shares are held by nominees in order to satisfy an Irish legislative requirement to maintain a minimum level of issued share capital denominated in euro and to have at least seven registered shareholders. The euro deferred shares carry no voting rights and are not entitled to receive any dividend or distribution.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Changes in Accounting Principles</w:t>
      </w:r>
    </w:p>
    <w:p>
      <w:pPr>
        <w:spacing w:after="0" w:line="121"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As further discussed in Note 2. Summary of Significant Accounting Policies, the Company adopted ASC 606 on January 1, 2018. This adoption resulted in a net decrease of $3.1 million to the Company’s Accumulated deficit at January 1, 2018.</w:t>
      </w:r>
    </w:p>
    <w:p>
      <w:pPr>
        <w:spacing w:after="0" w:line="62"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As further discussed in Note 2. Summary of Significant Accounting Policies, the Company adopted ASC 842 on January 1, 2019. This adoption resulted in a net increase of $4.6 million to the Company’s Accumulated deficit at January 1,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Pursuant to Article 11 of the Company’s Articles of Association, the Company has broad shareholder authority to conduct ordinary share repurchases by way of redemptions. The Company’s authority to repurchase ordinary shares is subject to legal limitations and the existence of sufficient distributable reserves. For example, the Companies Act requires Irish companies to have distributable reserves equal to or greater than the amount of any proposed ordinary share repurchase amount. Unless we are able to generate sufficient distributable reserves or create distributable reserves by reducing our share premium account, we will not be able to repurchase our ordinary shares. As permitted by Irish Law and the Company’s Articles of Association, any ordinary shares redeemed shall be cancelled upon redemption.</w:t>
      </w:r>
    </w:p>
    <w:p>
      <w:pPr>
        <w:spacing w:after="0" w:line="84"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The Board has approved the 2015 Share Buyback Program that authorizes the Company to redeem, in the aggregate, $2.5 billion of its outstanding ordinary shares. To date, the Company has redeemed and cancelled approximately 4.4 million of its ordinary shares under the 2015 Share Buyback Program for $250.0 million, not including related fees.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SHARE-BASED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Plans</w:t>
      </w:r>
    </w:p>
    <w:p>
      <w:pPr>
        <w:spacing w:after="0" w:line="12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June 2015, the Company’s shareholders approved the 2015 Stock Incentive Plan (the 2015 Plan), which has subsequently been amended, as approved by the Company’s shareholders, on multiple occasions, including in 2018, 2019 and 2020. Under the 2015 Plan, stock options (including incentive stock options), stock appreciation rights, restricted stock awards, performance awards and other share- or cash-based awards may be issued at the discretion of the Compensation Committee of the Board from time to time. No ordinary shares are to be granted under previously approved plans, including the Company’s 2000, 2004, 2007, 2010 and Assumed Stock Incentive Plans. Any awards previously granted and outstanding under these prior plans remain subject to the terms of those prior plans.</w:t>
      </w:r>
    </w:p>
    <w:p>
      <w:pPr>
        <w:spacing w:after="0" w:line="84"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During the third quarter of 2017, the Company issued approximately 1.0 million stock options and 0.1 million restricted stock units (RSUs) that were initially subject to shareholder approval and were subsequently approved by shareholders on June 7, 2018 at the Company’s Annual General Meeting of Shareholders. The options have an exercise price equal to the closing share price on their issuance date in August 2017. For accounting and disclosure purposes, these stock options and RSUs were considered to have been granted in 2018 upon approval by shareholders.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As further described below, certain of the Company’s outstanding PSUs are measured against targets covering three independent successive one-year performance periods, which are generally established for each performance period during the first quarter of that calendar year. The determination of the grant-date(s) underlying such PSUs depends in part on the date(s) on which each of the performance targets with respect to those PSUs are approved. Therefore, for certain PSUs, a single unit may give rise to multiple grant dates depending, in part, on the dates on which the respective performance targets are approved.</w:t>
      </w:r>
    </w:p>
    <w:p>
      <w:pPr>
        <w:spacing w:after="0" w:line="80" w:lineRule="exact"/>
        <w:rPr>
          <w:sz w:val="20"/>
          <w:szCs w:val="20"/>
          <w:color w:val="auto"/>
        </w:rPr>
      </w:pPr>
    </w:p>
    <w:p>
      <w:pPr>
        <w:ind w:right="80" w:firstLine="486"/>
        <w:spacing w:after="0" w:line="286" w:lineRule="auto"/>
        <w:rPr>
          <w:sz w:val="20"/>
          <w:szCs w:val="20"/>
          <w:color w:val="auto"/>
        </w:rPr>
      </w:pPr>
      <w:r>
        <w:rPr>
          <w:rFonts w:ascii="Arial" w:cs="Arial" w:eastAsia="Arial" w:hAnsi="Arial"/>
          <w:sz w:val="16"/>
          <w:szCs w:val="16"/>
          <w:color w:val="auto"/>
        </w:rPr>
        <w:t>Beginning in 2017, long-term cash incentive (LTCI) awards were provided to certain employees. LTCI awards were designed to vest ratably, in equal amounts, over a three-year service period. Upon vesting, each vested LTCI unit would be settled in cash in an amount equal to the price of Endo’s ordinary shares on the vest date. As of September 30, 2018, approximately 3.0 million unvested LTCI awards were outstanding for approximately 570 employees. The outstanding awards had a weighted average remaining requisite service period of 2.3 years. A corresponding liability of $14.9 million was recorded as of September 30, 2018 in Accounts payable and accrued expenses and Other liabilities in the Company’s Consolidated Balance Sheets. On October 1, 2018, the Compensation Committee of the Board authorized the Company to settle each of the outstanding unvested LTCI awards in shares, rather than cash, upon vesting in accordance with the original vesting terms of the awards. With the authorization of the Compensation Committee, management’s intent to settle the awards in shares rather than cash is a modification that changes the awards’ classification from liability to equity, effective October 1, 2018. The accounting for the modification occurred in the fourth quarter of 2018. Prior to this modification, LTCI awards were excluded from amounts in this Note 19. Share-based Compensation. Subsequent to this modification, LTCI awards are generally treated the same as RSUs, including for accounting, financial statement classification and disclosure purposes. However, adjustments to pre-modification amounts of LTCI expense that are recorded in the Consolidated Statements of Operations subsequent to this modification, including adjustments related to actual or estimated forfeitures, are excluded from the determination of share-based compensation expense.</w:t>
      </w:r>
    </w:p>
    <w:p>
      <w:pPr>
        <w:spacing w:after="0" w:line="66" w:lineRule="exact"/>
        <w:rPr>
          <w:sz w:val="20"/>
          <w:szCs w:val="20"/>
          <w:color w:val="auto"/>
        </w:rPr>
      </w:pPr>
    </w:p>
    <w:p>
      <w:pPr>
        <w:jc w:val="both"/>
        <w:ind w:right="160" w:firstLine="486"/>
        <w:spacing w:after="0" w:line="342" w:lineRule="auto"/>
        <w:rPr>
          <w:sz w:val="20"/>
          <w:szCs w:val="20"/>
          <w:color w:val="auto"/>
        </w:rPr>
      </w:pPr>
      <w:r>
        <w:rPr>
          <w:rFonts w:ascii="Arial" w:cs="Arial" w:eastAsia="Arial" w:hAnsi="Arial"/>
          <w:sz w:val="16"/>
          <w:szCs w:val="16"/>
          <w:color w:val="auto"/>
        </w:rPr>
        <w:t>At December 31, 2020, approximately 12.1 million ordinary shares were reserved for future grants under the 2015 Plan. As of December 31, 2020, stock options, restricted stock awards, PSUs, RSUs, LTCI awards and certain other cash-based awards have been granted under the stock incentive plans.</w:t>
      </w:r>
    </w:p>
    <w:p>
      <w:pPr>
        <w:spacing w:after="0" w:line="16" w:lineRule="exact"/>
        <w:rPr>
          <w:sz w:val="20"/>
          <w:szCs w:val="20"/>
          <w:color w:val="auto"/>
        </w:rPr>
      </w:pPr>
    </w:p>
    <w:p>
      <w:pPr>
        <w:ind w:right="40" w:firstLine="486"/>
        <w:spacing w:after="0" w:line="311" w:lineRule="auto"/>
        <w:rPr>
          <w:sz w:val="20"/>
          <w:szCs w:val="20"/>
          <w:color w:val="auto"/>
        </w:rPr>
      </w:pPr>
      <w:r>
        <w:rPr>
          <w:rFonts w:ascii="Arial" w:cs="Arial" w:eastAsia="Arial" w:hAnsi="Arial"/>
          <w:sz w:val="16"/>
          <w:szCs w:val="16"/>
          <w:color w:val="auto"/>
        </w:rPr>
        <w:t>Generally, the grant-date fair value of each award is recognized as expense over the requisite service period. However, expense recognition differs in the case of certain PSUs where the ultimate payout is performance-based. For these awards, at each reporting period, the Company estimates the ultimate payout and adjusts the cumulative expense based on its estimate and the percent of the requisite service period that has elapsed.</w:t>
      </w:r>
    </w:p>
    <w:p>
      <w:pPr>
        <w:spacing w:after="0" w:line="4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Presented below are the components of total share-based compensation as recorded in our Consolidated Statements of Operations for the years ended December 31, 2020, 2019 and 2018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44,454</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2,251</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7,366</w:t>
            </w:r>
          </w:p>
        </w:tc>
      </w:tr>
      <w:tr>
        <w:trPr>
          <w:trHeight w:val="223"/>
        </w:trPr>
        <w:tc>
          <w:tcPr>
            <w:tcW w:w="6940" w:type="dxa"/>
            <w:vAlign w:val="bottom"/>
          </w:tcPr>
          <w:p>
            <w:pPr>
              <w:ind w:left="140"/>
              <w:spacing w:after="0"/>
              <w:rPr>
                <w:sz w:val="20"/>
                <w:szCs w:val="20"/>
                <w:color w:val="auto"/>
              </w:rPr>
            </w:pPr>
            <w:r>
              <w:rPr>
                <w:rFonts w:ascii="Arial" w:cs="Arial" w:eastAsia="Arial" w:hAnsi="Arial"/>
                <w:sz w:val="18"/>
                <w:szCs w:val="18"/>
                <w:color w:val="auto"/>
              </w:rPr>
              <w:t>Total share-based compensation expense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59,142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54,071</w:t>
            </w:r>
          </w:p>
        </w:tc>
      </w:tr>
      <w:tr>
        <w:trPr>
          <w:trHeight w:val="20"/>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As of December 31, 2020, the total remaining unrecognized compensation cost related to non-vested share-based compensation awards for which a grant date has been established as of December 31, 2020 amounted to $21.9 million.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980" w:firstLine="486"/>
        <w:spacing w:after="0" w:line="277" w:lineRule="auto"/>
        <w:rPr>
          <w:sz w:val="20"/>
          <w:szCs w:val="20"/>
          <w:color w:val="auto"/>
        </w:rPr>
      </w:pPr>
      <w:r>
        <w:rPr>
          <w:rFonts w:ascii="Arial" w:cs="Arial" w:eastAsia="Arial" w:hAnsi="Arial"/>
          <w:sz w:val="18"/>
          <w:szCs w:val="18"/>
          <w:color w:val="auto"/>
        </w:rPr>
        <w:t>From time to time, the Company grants stock options to its employees as part of their annual share compensation awards and, in certain circumstances, on an ad hoc basis or upon their commencement of service with the Company.</w:t>
      </w:r>
    </w:p>
    <w:p>
      <w:pPr>
        <w:spacing w:after="0" w:line="62"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Employee stock options generally vest ratably, in equal amounts, over a three or four-year service period and generally expire ten years from the grant date. The fair value of option grants is estimated at the date of grant using the Black-Scholes option-pricing model. This model utilizes assumptions related to volatility, the risk-free interest rate, the dividend yield (which is assumed to be zero as the Company has not paid cash dividends to date and does not currently expect to pay cash dividends) and the expected term of the option. Expected volatilities utilized in the model are based mainly on the historical volatility of the Company’s share price over a period commensurate with the expected life of the share option as well as other factors. The risk-free interest rate is derived from the U.S. Treasury yield curve in effect at the time of grant. We estimate the expected term of options granted based on our historical experience with our employees’ exercise of stock options and other factors.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activity for each of the years ended December 31, 2020, 2019 and 2018 is presented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35"/>
        </w:trPr>
        <w:tc>
          <w:tcPr>
            <w:tcW w:w="5480" w:type="dxa"/>
            <w:vAlign w:val="bottom"/>
          </w:tcPr>
          <w:p>
            <w:pPr>
              <w:spacing w:after="0"/>
              <w:rPr>
                <w:sz w:val="11"/>
                <w:szCs w:val="11"/>
                <w:color w:val="auto"/>
              </w:rPr>
            </w:pPr>
          </w:p>
        </w:tc>
        <w:tc>
          <w:tcPr>
            <w:tcW w:w="13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Remaining</w:t>
            </w:r>
          </w:p>
        </w:tc>
        <w:tc>
          <w:tcPr>
            <w:tcW w:w="1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4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Exercise Price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Contractual Term</w:t>
            </w:r>
          </w:p>
        </w:tc>
        <w:tc>
          <w:tcPr>
            <w:tcW w:w="260" w:type="dxa"/>
            <w:vAlign w:val="bottom"/>
          </w:tcPr>
          <w:p>
            <w:pPr>
              <w:spacing w:after="0"/>
              <w:rPr>
                <w:sz w:val="16"/>
                <w:szCs w:val="16"/>
                <w:color w:val="auto"/>
              </w:rPr>
            </w:pPr>
          </w:p>
        </w:tc>
        <w:tc>
          <w:tcPr>
            <w:tcW w:w="1100" w:type="dxa"/>
            <w:vAlign w:val="bottom"/>
          </w:tcPr>
          <w:p>
            <w:pPr>
              <w:jc w:val="center"/>
              <w:ind w:right="175"/>
              <w:spacing w:after="0"/>
              <w:rPr>
                <w:sz w:val="20"/>
                <w:szCs w:val="20"/>
                <w:color w:val="auto"/>
              </w:rPr>
            </w:pPr>
            <w:r>
              <w:rPr>
                <w:rFonts w:ascii="Arial" w:cs="Arial" w:eastAsia="Arial" w:hAnsi="Arial"/>
                <w:sz w:val="14"/>
                <w:szCs w:val="14"/>
                <w:b w:val="1"/>
                <w:bCs w:val="1"/>
                <w:color w:val="auto"/>
                <w:w w:val="95"/>
              </w:rPr>
              <w:t>Value (1)</w:t>
            </w:r>
          </w:p>
        </w:tc>
        <w:tc>
          <w:tcPr>
            <w:tcW w:w="0" w:type="dxa"/>
            <w:vAlign w:val="bottom"/>
          </w:tcPr>
          <w:p>
            <w:pPr>
              <w:spacing w:after="0"/>
              <w:rPr>
                <w:sz w:val="1"/>
                <w:szCs w:val="1"/>
                <w:color w:val="auto"/>
              </w:rPr>
            </w:pPr>
          </w:p>
        </w:tc>
      </w:tr>
      <w:tr>
        <w:trPr>
          <w:trHeight w:val="224"/>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2017</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8,248,130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971,590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(605,737)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 as of December 31, 2018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8,072,718</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(125,739)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(665,883)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 as of December 31, 2019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7,280,539</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Expired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(347,000)</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35.56</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6,916,586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expected to vest as of December 31, 2020</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75"/>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bottom w:val="single" w:sz="8" w:color="CCEEFF"/>
            </w:tcBorders>
            <w:vMerge w:val="restart"/>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4"/>
        </w:trPr>
        <w:tc>
          <w:tcPr>
            <w:tcW w:w="5480" w:type="dxa"/>
            <w:vAlign w:val="bottom"/>
            <w:vMerge w:val="continue"/>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6,912,211</w:t>
            </w:r>
          </w:p>
        </w:tc>
        <w:tc>
          <w:tcPr>
            <w:tcW w:w="22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as of December 31, 2020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6,389,536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340" w:hanging="329"/>
        <w:spacing w:after="0" w:line="293" w:lineRule="auto"/>
        <w:tabs>
          <w:tab w:leader="none" w:pos="572"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intrinsic value of a stock option is the excess, if any, of the closing price of the Company’s ordinary shares on the last trading day of the fiscal year over the exercise price. The aggregate intrinsic values presented in the table above represent sum of the intrinsic values of all corresponding stock options that are “in-the-money,” if any.</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range of exercise prices for the above stock options outstanding at December 31, 2020 is from $7.55 to $86.54.</w:t>
      </w:r>
    </w:p>
    <w:p>
      <w:pPr>
        <w:spacing w:after="0" w:line="117"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The total intrinsic values of options exercised during the years ended December 31, 2019 and 2018 were less than $0.1 million and $0.6 million, respectively. No tax benefits from stock option exercises were realized during the years ended December 31, 2020, 2019 and 2018. The weighted average grant-date fair values of the stock options granted during the year ended December 31, 2018 was $3.97 per option, determined using the following weighted average assumptions: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50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5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500" w:type="dxa"/>
            <w:vAlign w:val="bottom"/>
          </w:tcPr>
          <w:p>
            <w:pPr>
              <w:jc w:val="right"/>
              <w:spacing w:after="0"/>
              <w:rPr>
                <w:sz w:val="20"/>
                <w:szCs w:val="20"/>
                <w:color w:val="auto"/>
              </w:rPr>
            </w:pPr>
            <w:r>
              <w:rPr>
                <w:rFonts w:ascii="Arial" w:cs="Arial" w:eastAsia="Arial" w:hAnsi="Arial"/>
                <w:sz w:val="18"/>
                <w:szCs w:val="18"/>
                <w:color w:val="auto"/>
              </w:rPr>
              <w:t>63 %</w:t>
            </w:r>
          </w:p>
        </w:tc>
      </w:tr>
    </w:tbl>
    <w:p>
      <w:pPr>
        <w:spacing w:after="0" w:line="9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As of December 31, 2020, the weighted average remaining requisite service period of non-vested stock options was 0.2 years and the total remaining unrecognized compensation cost related to non-vested stock options amounted to $0.2 million.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and Performance Share Units</w:t>
      </w:r>
    </w:p>
    <w:p>
      <w:pPr>
        <w:spacing w:after="0" w:line="121" w:lineRule="exact"/>
        <w:rPr>
          <w:sz w:val="20"/>
          <w:szCs w:val="20"/>
          <w:color w:val="auto"/>
        </w:rPr>
      </w:pPr>
    </w:p>
    <w:p>
      <w:pPr>
        <w:ind w:right="760" w:firstLine="486"/>
        <w:spacing w:after="0" w:line="277" w:lineRule="auto"/>
        <w:rPr>
          <w:sz w:val="20"/>
          <w:szCs w:val="20"/>
          <w:color w:val="auto"/>
        </w:rPr>
      </w:pPr>
      <w:r>
        <w:rPr>
          <w:rFonts w:ascii="Arial" w:cs="Arial" w:eastAsia="Arial" w:hAnsi="Arial"/>
          <w:sz w:val="18"/>
          <w:szCs w:val="18"/>
          <w:color w:val="auto"/>
        </w:rPr>
        <w:t>From time to time, the Company grants RSUs and PSUs to its employees as part of their annual share compensation awards and, in certain circumstances, on an ad hoc basis or upon their commencement of service with the Company.</w:t>
      </w:r>
    </w:p>
    <w:p>
      <w:pPr>
        <w:spacing w:after="0" w:line="62"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RSUs vest ratably, in equal amounts, over a three or four-year service period. PSUs vest in full after a three-year service period and are conditional upon the achievement of performance and/or market conditions established by the Compensation Committee of the Board.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PSUs awarded in 2020, 2019 and 2018 were based upon two discrete measures: relative total shareholder return (TSR) and an adjusted free cash flow performance metric (FCF), each accounting for 50% of the PSU awards upon issuance. TSR performance is measured against the three-year TSR of a custom index of companies. For PSUs awarded in 2020 and 2019, FCF performance is measured against a target covering a single three-year performance period, which is generally established at the grant date. For PSUs awarded in 2018, FCF performance is measured against targets covering three independent successive one-year performance periods, which are generally established for each performance period during the first quarter of that calendar year. Upon the completion of the three-year performance period, the PSUs vest and the actual number of shares awarded is adjusted to between zero and 200% of the target award amount based upon the performance criteria described above. In addition to meeting the performance conditions, grant recipients are also generally subject to being employed by the Company until the conclusion of the three-year vesting period in order to receive the awards. TSR is considered a market condition under applicable authoritative guidance, while FCF is considered performance condition.</w:t>
      </w:r>
    </w:p>
    <w:p>
      <w:pPr>
        <w:spacing w:after="0" w:line="58"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RSUs are valued based on the closing price of Endo’s ordinary shares on the date of grant. PSUs with TSR conditions are valued using a Monte-Carlo variant valuation model, while those with FCF conditions are valued taking into consideration the probability of achieving the specified performance goal. The Monte-Carlo variant valuation model considered a variety of potential future share prices for Endo as well as our peer companies in a selected market index.</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our non-vested RSUs and PSUs for the years ended December 31, 2020, 2019 and 2018 is presented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3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Aggregate Intrinsic</w:t>
            </w:r>
          </w:p>
        </w:tc>
        <w:tc>
          <w:tcPr>
            <w:tcW w:w="0" w:type="dxa"/>
            <w:vAlign w:val="bottom"/>
          </w:tcPr>
          <w:p>
            <w:pPr>
              <w:spacing w:after="0"/>
              <w:rPr>
                <w:sz w:val="1"/>
                <w:szCs w:val="1"/>
                <w:color w:val="auto"/>
              </w:rPr>
            </w:pPr>
          </w:p>
        </w:tc>
      </w:tr>
      <w:tr>
        <w:trPr>
          <w:trHeight w:val="188"/>
        </w:trPr>
        <w:tc>
          <w:tcPr>
            <w:tcW w:w="84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Value (1)</w:t>
            </w:r>
          </w:p>
        </w:tc>
        <w:tc>
          <w:tcPr>
            <w:tcW w:w="0" w:type="dxa"/>
            <w:vAlign w:val="bottom"/>
          </w:tcPr>
          <w:p>
            <w:pPr>
              <w:spacing w:after="0"/>
              <w:rPr>
                <w:sz w:val="1"/>
                <w:szCs w:val="1"/>
                <w:color w:val="auto"/>
              </w:rPr>
            </w:pPr>
          </w:p>
        </w:tc>
      </w:tr>
      <w:tr>
        <w:trPr>
          <w:trHeight w:val="224"/>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as of December 31, 2017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4,724,673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5,609,561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LTCI modification (2)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2,989,965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(753,653)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(1,551,074)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Non-vested as of December 31, 2018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11,019,472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6,687,695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(918,425)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(3,872,453)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Non-vested as of December 31, 2019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12,916,289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3,761,648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(824,299)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(5,513,359)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Non-vested as of December 31, 2020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10,340,279</w:t>
            </w:r>
          </w:p>
        </w:tc>
        <w:tc>
          <w:tcPr>
            <w:tcW w:w="3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74,243,203</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expected to vest as of December 31, 2020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9,702,411</w:t>
            </w:r>
          </w:p>
        </w:tc>
        <w:tc>
          <w:tcPr>
            <w:tcW w:w="3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69,663,311</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20" w:hanging="329"/>
        <w:spacing w:after="0" w:line="241" w:lineRule="auto"/>
        <w:tabs>
          <w:tab w:leader="none" w:pos="572"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aggregate intrinsic values of RSUs and PSUs presented in the table above are calculated by multiplying the closing price of the Company’s ordinary shares on the last trading day of the fiscal year by the corresponding number of RSUs and PSUs.</w:t>
      </w:r>
    </w:p>
    <w:p>
      <w:pPr>
        <w:ind w:left="580" w:right="360" w:hanging="329"/>
        <w:spacing w:after="0" w:line="255" w:lineRule="auto"/>
        <w:tabs>
          <w:tab w:leader="none" w:pos="572" w:val="left"/>
        </w:tabs>
        <w:numPr>
          <w:ilvl w:val="0"/>
          <w:numId w:val="86"/>
        </w:numPr>
        <w:rPr>
          <w:rFonts w:ascii="Arial" w:cs="Arial" w:eastAsia="Arial" w:hAnsi="Arial"/>
          <w:sz w:val="14"/>
          <w:szCs w:val="14"/>
          <w:color w:val="auto"/>
        </w:rPr>
      </w:pPr>
      <w:r>
        <w:rPr>
          <w:rFonts w:ascii="Arial" w:cs="Arial" w:eastAsia="Arial" w:hAnsi="Arial"/>
          <w:sz w:val="14"/>
          <w:szCs w:val="14"/>
          <w:color w:val="auto"/>
        </w:rPr>
        <w:t>As a result of the October 1, 2018 modification to the Company’s LTCI awards described above, modified LTCI awards are treated as RSUs for disclosure purposes; thus, the table above reflects an increase to the non-vested number of shares on the modification date.</w:t>
      </w:r>
    </w:p>
    <w:p>
      <w:pPr>
        <w:spacing w:after="0" w:line="82"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As of December 31, 2020, the weighted average remaining requisite service period of the units presented in the table above was 1.3 years and the corresponding total remaining unrecognized compensation cost amounted to $12.8 million in the case of RSUs and LTCI awards and $8.9 million in the case of PSUs. The weighted average grant-date fair value of the units granted during the years ended December 31, 2020, 2019 and 2018 was $5.54, $7.72 and $6.88 per unit,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OTHER (INCOME) EXPENSE,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components of Other (income) expense, net for the years ended December 31, 2020, 2019 and 2018 are as follows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on sale of business and other assets (1)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(45,155)</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Foreign currency loss (gain), net (2)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(3,762)</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loss from our investments in the equity of other companies (3)</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r>
      <w:tr>
        <w:trPr>
          <w:trHeight w:val="22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miscellaneous, net (4)</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(6,480)</w:t>
            </w:r>
          </w:p>
        </w:tc>
      </w:tr>
      <w:tr>
        <w:trPr>
          <w:trHeight w:val="248"/>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(51,953)</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480" w:hanging="329"/>
        <w:spacing w:after="0" w:line="241" w:lineRule="auto"/>
        <w:tabs>
          <w:tab w:leader="none" w:pos="572" w:val="left"/>
        </w:tabs>
        <w:numPr>
          <w:ilvl w:val="0"/>
          <w:numId w:val="87"/>
        </w:numPr>
        <w:rPr>
          <w:rFonts w:ascii="Arial" w:cs="Arial" w:eastAsia="Arial" w:hAnsi="Arial"/>
          <w:sz w:val="14"/>
          <w:szCs w:val="14"/>
          <w:color w:val="auto"/>
        </w:rPr>
      </w:pPr>
      <w:r>
        <w:rPr>
          <w:rFonts w:ascii="Arial" w:cs="Arial" w:eastAsia="Arial" w:hAnsi="Arial"/>
          <w:sz w:val="14"/>
          <w:szCs w:val="14"/>
          <w:color w:val="auto"/>
        </w:rPr>
        <w:t>Amounts in 2018 include a $12.5 million gain on the sale of the Company’s Huntsville, Alabama facilities, as further discussed in Note 4. Restructuring. The remaining amounts primarily relate to the sales of certain intellectual property rights.</w:t>
      </w:r>
    </w:p>
    <w:p>
      <w:pPr>
        <w:ind w:left="560" w:hanging="309"/>
        <w:spacing w:after="0"/>
        <w:tabs>
          <w:tab w:leader="none" w:pos="5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Amounts relate to the remeasurement of the Company’s foreign currency denominated assets and liabilities.</w:t>
      </w:r>
    </w:p>
    <w:p>
      <w:pPr>
        <w:spacing w:after="0" w:line="1" w:lineRule="exact"/>
        <w:rPr>
          <w:rFonts w:ascii="Arial" w:cs="Arial" w:eastAsia="Arial" w:hAnsi="Arial"/>
          <w:sz w:val="14"/>
          <w:szCs w:val="14"/>
          <w:color w:val="auto"/>
        </w:rPr>
      </w:pPr>
    </w:p>
    <w:p>
      <w:pPr>
        <w:ind w:left="560" w:hanging="309"/>
        <w:spacing w:after="0"/>
        <w:tabs>
          <w:tab w:leader="none" w:pos="5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Amounts relate to the income statement impacts of our investments in the equity of other companies, including investments accounted for under the equity method.</w:t>
      </w:r>
    </w:p>
    <w:p>
      <w:pPr>
        <w:spacing w:after="0" w:line="1" w:lineRule="exact"/>
        <w:rPr>
          <w:rFonts w:ascii="Arial" w:cs="Arial" w:eastAsia="Arial" w:hAnsi="Arial"/>
          <w:sz w:val="14"/>
          <w:szCs w:val="14"/>
          <w:color w:val="auto"/>
        </w:rPr>
      </w:pPr>
    </w:p>
    <w:p>
      <w:pPr>
        <w:ind w:left="580" w:right="320" w:hanging="329"/>
        <w:spacing w:after="0" w:line="255" w:lineRule="auto"/>
        <w:tabs>
          <w:tab w:leader="none" w:pos="572" w:val="left"/>
        </w:tabs>
        <w:numPr>
          <w:ilvl w:val="0"/>
          <w:numId w:val="87"/>
        </w:numPr>
        <w:rPr>
          <w:rFonts w:ascii="Arial" w:cs="Arial" w:eastAsia="Arial" w:hAnsi="Arial"/>
          <w:sz w:val="14"/>
          <w:szCs w:val="14"/>
          <w:color w:val="auto"/>
        </w:rPr>
      </w:pPr>
      <w:r>
        <w:rPr>
          <w:rFonts w:ascii="Arial" w:cs="Arial" w:eastAsia="Arial" w:hAnsi="Arial"/>
          <w:sz w:val="14"/>
          <w:szCs w:val="14"/>
          <w:color w:val="auto"/>
        </w:rPr>
        <w:t>Amounts in 2019 primarily relate to $17.5 million of contract termination costs incurred as a result of certain product discontinuation activities in our International Pharmaceuticals segment.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from Continuing Operations before Income Tax</w:t>
      </w:r>
    </w:p>
    <w:p>
      <w:pPr>
        <w:spacing w:after="0" w:line="12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Our operations are conducted through our various subsidiaries in numerous jurisdictions throughout the world. We have provided for income taxes based upon the tax laws and rates in the jurisdictions in which our operations are conducted.</w:t>
      </w:r>
    </w:p>
    <w:p>
      <w:pPr>
        <w:spacing w:after="0" w:line="6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components of our Loss from continuing operations before income tax by geography for the years ended December 31, 2020, 2019 and 2018 are as follows (in thousands):</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8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r>
      <w:tr>
        <w:trPr>
          <w:trHeight w:val="229"/>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ind w:left="195"/>
              <w:spacing w:after="0"/>
              <w:rPr>
                <w:sz w:val="20"/>
                <w:szCs w:val="20"/>
                <w:color w:val="auto"/>
              </w:rPr>
            </w:pPr>
            <w:r>
              <w:rPr>
                <w:rFonts w:ascii="Arial" w:cs="Arial" w:eastAsia="Arial" w:hAnsi="Arial"/>
                <w:sz w:val="18"/>
                <w:szCs w:val="18"/>
                <w:color w:val="auto"/>
                <w:w w:val="90"/>
              </w:rPr>
              <w:t>(688,224)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(1,342,860)</w:t>
            </w:r>
          </w:p>
        </w:tc>
      </w:tr>
      <w:tr>
        <w:trPr>
          <w:trHeight w:val="230"/>
        </w:trPr>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348,744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235"/>
              <w:spacing w:after="0"/>
              <w:rPr>
                <w:sz w:val="20"/>
                <w:szCs w:val="20"/>
                <w:color w:val="auto"/>
              </w:rPr>
            </w:pPr>
            <w:r>
              <w:rPr>
                <w:rFonts w:ascii="Arial" w:cs="Arial" w:eastAsia="Arial" w:hAnsi="Arial"/>
                <w:sz w:val="18"/>
                <w:szCs w:val="18"/>
                <w:color w:val="auto"/>
                <w:w w:val="89"/>
              </w:rPr>
              <w:t>343,320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404,028</w:t>
            </w:r>
          </w:p>
        </w:tc>
      </w:tr>
      <w:tr>
        <w:trPr>
          <w:trHeight w:val="248"/>
        </w:trPr>
        <w:tc>
          <w:tcPr>
            <w:tcW w:w="6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loss from continuing operations before income tax</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center"/>
              <w:ind w:left="195"/>
              <w:spacing w:after="0"/>
              <w:rPr>
                <w:sz w:val="20"/>
                <w:szCs w:val="20"/>
                <w:color w:val="auto"/>
              </w:rPr>
            </w:pPr>
            <w:r>
              <w:rPr>
                <w:rFonts w:ascii="Arial" w:cs="Arial" w:eastAsia="Arial" w:hAnsi="Arial"/>
                <w:sz w:val="18"/>
                <w:szCs w:val="18"/>
                <w:color w:val="auto"/>
                <w:w w:val="90"/>
              </w:rPr>
              <w:t>(344,904)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(938,832)</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Income tax from continuing operations consists of the following for the years ended December 31, 2020, 2019 and 2018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Borders>
              <w:bottom w:val="single" w:sz="8" w:color="CCEEFF"/>
            </w:tcBorders>
          </w:tcPr>
          <w:p>
            <w:pPr>
              <w:spacing w:after="0"/>
              <w:rPr>
                <w:sz w:val="16"/>
                <w:szCs w:val="16"/>
                <w:color w:val="auto"/>
              </w:rPr>
            </w:pPr>
          </w:p>
        </w:tc>
        <w:tc>
          <w:tcPr>
            <w:tcW w:w="3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15"/>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U.S. Federal</w:t>
            </w:r>
          </w:p>
        </w:tc>
        <w:tc>
          <w:tcPr>
            <w:tcW w:w="3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(108,866)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15,317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6,236</w:t>
            </w:r>
          </w:p>
        </w:tc>
      </w:tr>
      <w:tr>
        <w:trPr>
          <w:trHeight w:val="230"/>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State</w:t>
            </w:r>
          </w:p>
        </w:tc>
        <w:tc>
          <w:tcPr>
            <w:tcW w:w="3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r>
      <w:tr>
        <w:trPr>
          <w:trHeight w:val="229"/>
        </w:trPr>
        <w:tc>
          <w:tcPr>
            <w:tcW w:w="3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International</w:t>
            </w:r>
          </w:p>
        </w:tc>
        <w:tc>
          <w:tcPr>
            <w:tcW w:w="3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8,278</w:t>
            </w: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income tax</w:t>
            </w:r>
          </w:p>
        </w:tc>
        <w:tc>
          <w:tcPr>
            <w:tcW w:w="32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17,378</w:t>
            </w:r>
          </w:p>
        </w:tc>
      </w:tr>
      <w:tr>
        <w:trPr>
          <w:trHeight w:val="210"/>
        </w:trPr>
        <w:tc>
          <w:tcPr>
            <w:tcW w:w="3660" w:type="dxa"/>
            <w:vAlign w:val="bottom"/>
          </w:tcPr>
          <w:p>
            <w:pPr>
              <w:ind w:left="20"/>
              <w:spacing w:after="0"/>
              <w:rPr>
                <w:sz w:val="20"/>
                <w:szCs w:val="20"/>
                <w:color w:val="auto"/>
              </w:rPr>
            </w:pPr>
            <w:r>
              <w:rPr>
                <w:rFonts w:ascii="Arial" w:cs="Arial" w:eastAsia="Arial" w:hAnsi="Arial"/>
                <w:sz w:val="18"/>
                <w:szCs w:val="18"/>
                <w:color w:val="auto"/>
              </w:rPr>
              <w:t>Deferred:</w:t>
            </w:r>
          </w:p>
        </w:tc>
        <w:tc>
          <w:tcPr>
            <w:tcW w:w="3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Federal</w:t>
            </w:r>
          </w:p>
        </w:tc>
        <w:tc>
          <w:tcPr>
            <w:tcW w:w="3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10,084</w:t>
            </w: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U.S. State</w:t>
            </w:r>
          </w:p>
        </w:tc>
        <w:tc>
          <w:tcPr>
            <w:tcW w:w="3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(778)</w:t>
            </w:r>
          </w:p>
        </w:tc>
      </w:tr>
      <w:tr>
        <w:trPr>
          <w:trHeight w:val="230"/>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32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w:t>
            </w:r>
          </w:p>
        </w:tc>
      </w:tr>
      <w:tr>
        <w:trPr>
          <w:trHeight w:val="223"/>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income tax</w:t>
            </w:r>
          </w:p>
        </w:tc>
        <w:tc>
          <w:tcPr>
            <w:tcW w:w="3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5,557</w:t>
            </w:r>
          </w:p>
        </w:tc>
      </w:tr>
      <w:tr>
        <w:trPr>
          <w:trHeight w:val="24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22,935</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703"/>
        </w:trPr>
        <w:tc>
          <w:tcPr>
            <w:tcW w:w="3660" w:type="dxa"/>
            <w:vAlign w:val="bottom"/>
          </w:tcPr>
          <w:p>
            <w:pPr>
              <w:spacing w:after="0"/>
              <w:rPr>
                <w:sz w:val="24"/>
                <w:szCs w:val="24"/>
                <w:color w:val="auto"/>
              </w:rPr>
            </w:pPr>
          </w:p>
        </w:tc>
        <w:tc>
          <w:tcPr>
            <w:tcW w:w="3600" w:type="dxa"/>
            <w:vAlign w:val="bottom"/>
            <w:gridSpan w:val="2"/>
          </w:tcPr>
          <w:p>
            <w:pPr>
              <w:jc w:val="right"/>
              <w:ind w:right="1370"/>
              <w:spacing w:after="0"/>
              <w:rPr>
                <w:sz w:val="20"/>
                <w:szCs w:val="20"/>
                <w:color w:val="auto"/>
              </w:rPr>
            </w:pPr>
            <w:r>
              <w:rPr>
                <w:rFonts w:ascii="Arial" w:cs="Arial" w:eastAsia="Arial" w:hAnsi="Arial"/>
                <w:sz w:val="18"/>
                <w:szCs w:val="18"/>
                <w:color w:val="auto"/>
              </w:rPr>
              <w:t>F-52</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Rate</w:t>
      </w:r>
    </w:p>
    <w:p>
      <w:pPr>
        <w:spacing w:after="0" w:line="121" w:lineRule="exact"/>
        <w:rPr>
          <w:sz w:val="20"/>
          <w:szCs w:val="20"/>
          <w:color w:val="auto"/>
        </w:rPr>
      </w:pPr>
    </w:p>
    <w:p>
      <w:pPr>
        <w:ind w:right="600" w:firstLine="486"/>
        <w:spacing w:after="0" w:line="269" w:lineRule="auto"/>
        <w:rPr>
          <w:sz w:val="20"/>
          <w:szCs w:val="20"/>
          <w:color w:val="auto"/>
        </w:rPr>
      </w:pPr>
      <w:r>
        <w:rPr>
          <w:rFonts w:ascii="Arial" w:cs="Arial" w:eastAsia="Arial" w:hAnsi="Arial"/>
          <w:sz w:val="18"/>
          <w:szCs w:val="18"/>
          <w:color w:val="auto"/>
        </w:rPr>
        <w:t>A reconciliation of income tax from continuing operations at the U.S. federal statutory income tax rate to the total income tax provision from continuing operations for the years ended December 31, 2020, 2019 and 2018 is as follows (in thousands):</w:t>
      </w:r>
    </w:p>
    <w:tbl>
      <w:tblPr>
        <w:tblLayout w:type="fixed"/>
        <w:tblInd w:w="0" w:type="dxa"/>
        <w:tblCellMar>
          <w:top w:w="0" w:type="dxa"/>
          <w:left w:w="0" w:type="dxa"/>
          <w:bottom w:w="0" w:type="dxa"/>
          <w:right w:w="0" w:type="dxa"/>
        </w:tblCellMar>
      </w:tblPr>
      <w:tr>
        <w:trPr>
          <w:trHeight w:val="192"/>
        </w:trPr>
        <w:tc>
          <w:tcPr>
            <w:tcW w:w="6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Notional U.S. federal income tax provision at the statutory rate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(197,155)</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State income tax, net of federal benefit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494</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tax reform impact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Uncertain tax positions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43,273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46,317</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Residual tax on non-U.S. net earnings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(638,724)</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Non-deductible goodwill impairment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109,189</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748,562</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Intra-entity transfers of assets</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(63,335)</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Base erosion minimum tax</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Non-deductible expenses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3,446</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compensation limitation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Equity based compensation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4,118</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Investment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r>
      <w:tr>
        <w:trPr>
          <w:trHeight w:val="223"/>
        </w:trPr>
        <w:tc>
          <w:tcPr>
            <w:tcW w:w="6940" w:type="dxa"/>
            <w:vAlign w:val="bottom"/>
          </w:tcPr>
          <w:p>
            <w:pPr>
              <w:ind w:left="140"/>
              <w:spacing w:after="0"/>
              <w:rPr>
                <w:sz w:val="20"/>
                <w:szCs w:val="20"/>
                <w:color w:val="auto"/>
              </w:rPr>
            </w:pPr>
            <w:r>
              <w:rPr>
                <w:rFonts w:ascii="Arial" w:cs="Arial" w:eastAsia="Arial" w:hAnsi="Arial"/>
                <w:sz w:val="18"/>
                <w:szCs w:val="18"/>
                <w:color w:val="auto"/>
              </w:rPr>
              <w:t>Income tax</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(273,982)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22,935</w:t>
            </w:r>
          </w:p>
        </w:tc>
      </w:tr>
      <w:tr>
        <w:trPr>
          <w:trHeight w:val="21"/>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change in income tax benefit in 2020 as compared to the 2019 income tax expense primarily relates to the income tax benefit arising from the CARES Act, as discussed in more detail below, and a change in deferred tax liabilities following the BioSpecifics acquisition during 2020. The decrease in income tax expense in 2019 as compared to the 2018 income tax expense primarily related to a charge to establish a valuation allowance against certain U.S. deferred tax assets during 2018.</w:t>
      </w:r>
    </w:p>
    <w:p>
      <w:pPr>
        <w:spacing w:after="0" w:line="79"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On March 27, 2020, the CARES Act was enacted by the U.S. government in response to the COVID-19 pandemic. The CARES Act, among other things, permits net operating loss (NOL) carryovers to be carried back to offset taxable income from previous taxable years. Specifically, the CARES Act allows NOLs incurred in 2018, 2019 and 2020 to be carried back to each of the five preceding taxable years to generate a refund of previously paid income taxes. During the year ended December 31, 2020, the Company recorded a tax benefit in continuing operations of $129.6 million as a result of the change in the NOL carryback period, net of valuation allowance.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Assets and Liabilities</w:t>
      </w:r>
    </w:p>
    <w:p>
      <w:pPr>
        <w:spacing w:after="0" w:line="12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Deferred income taxes result from temporary differences between the amount of assets and liabilities recognized for financial reporting and tax purposes. The significant components of the net deferred income tax liability shown on the balance sheets as of December 31, 2020 and 2019 are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2020</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2019</w:t>
            </w:r>
          </w:p>
        </w:tc>
      </w:tr>
      <w:tr>
        <w:trPr>
          <w:trHeight w:val="216"/>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Accrued expenses and customer allowances</w:t>
            </w:r>
          </w:p>
        </w:tc>
        <w:tc>
          <w:tcPr>
            <w:tcW w:w="300" w:type="dxa"/>
            <w:vAlign w:val="bottom"/>
          </w:tcPr>
          <w:p>
            <w:pPr>
              <w:jc w:val="right"/>
              <w:ind w:right="93"/>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109,595</w:t>
            </w:r>
          </w:p>
        </w:tc>
        <w:tc>
          <w:tcPr>
            <w:tcW w:w="12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112,489</w:t>
            </w: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interest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317,997</w:t>
            </w: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Fixed assets and intangible assets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487,378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598,730</w:t>
            </w: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capital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61,971</w:t>
            </w: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Net operating loss carryforward</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9,659,130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9,743,763</w:t>
            </w: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89,501</w:t>
            </w:r>
          </w:p>
        </w:tc>
      </w:tr>
      <w:tr>
        <w:trPr>
          <w:trHeight w:val="230"/>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Research and development and other tax credit carryforwards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16,620</w:t>
            </w: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deferred income tax assets</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10,710,941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10,941,071</w:t>
            </w:r>
          </w:p>
        </w:tc>
      </w:tr>
      <w:tr>
        <w:trPr>
          <w:trHeight w:val="210"/>
        </w:trPr>
        <w:tc>
          <w:tcPr>
            <w:tcW w:w="840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(10,086)</w:t>
            </w:r>
          </w:p>
        </w:tc>
      </w:tr>
      <w:tr>
        <w:trPr>
          <w:trHeight w:val="229"/>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Intercompany notes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(1,057,158)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(1,131,537)</w:t>
            </w: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deferred income tax liabilities</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(1,066,627)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(1,141,623)</w:t>
            </w:r>
          </w:p>
        </w:tc>
      </w:tr>
      <w:tr>
        <w:trPr>
          <w:trHeight w:val="22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Valuation allowance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(9,668,556)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(9,828,959)</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income tax liability</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(29,511)</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As of December 31, 2020, the Company had significant deferred tax assets for tax credits, net operating and capital loss carryforwards, net of unrecognized tax benefits, as presented below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gridSpan w:val="2"/>
          </w:tcPr>
          <w:p>
            <w:pPr>
              <w:ind w:left="20"/>
              <w:spacing w:after="0"/>
              <w:rPr>
                <w:sz w:val="20"/>
                <w:szCs w:val="20"/>
                <w:color w:val="auto"/>
              </w:rPr>
            </w:pPr>
            <w:r>
              <w:rPr>
                <w:rFonts w:ascii="Arial" w:cs="Arial" w:eastAsia="Arial" w:hAnsi="Arial"/>
                <w:sz w:val="14"/>
                <w:szCs w:val="14"/>
                <w:b w:val="1"/>
                <w:bCs w:val="1"/>
                <w:color w:val="auto"/>
              </w:rPr>
              <w:t>Jurisdiction</w:t>
            </w:r>
          </w:p>
        </w:tc>
        <w:tc>
          <w:tcPr>
            <w:tcW w:w="28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360" w:type="dxa"/>
            <w:vAlign w:val="bottom"/>
          </w:tcPr>
          <w:p>
            <w:pPr>
              <w:jc w:val="right"/>
              <w:ind w:right="112"/>
              <w:spacing w:after="0"/>
              <w:rPr>
                <w:sz w:val="20"/>
                <w:szCs w:val="20"/>
                <w:color w:val="auto"/>
              </w:rPr>
            </w:pPr>
            <w:r>
              <w:rPr>
                <w:rFonts w:ascii="Arial" w:cs="Arial" w:eastAsia="Arial" w:hAnsi="Arial"/>
                <w:sz w:val="14"/>
                <w:szCs w:val="14"/>
                <w:b w:val="1"/>
                <w:bCs w:val="1"/>
                <w:color w:val="auto"/>
              </w:rPr>
              <w:t>Begin to Expire</w:t>
            </w:r>
          </w:p>
        </w:tc>
      </w:tr>
      <w:tr>
        <w:trPr>
          <w:trHeight w:val="229"/>
        </w:trPr>
        <w:tc>
          <w:tcPr>
            <w:tcW w:w="8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38,607</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Indefinite</w:t>
            </w:r>
          </w:p>
        </w:tc>
      </w:tr>
      <w:tr>
        <w:trPr>
          <w:trHeight w:val="230"/>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Luxembourg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9,381,910</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2034</w:t>
            </w:r>
          </w:p>
        </w:tc>
      </w:tr>
      <w:tr>
        <w:trPr>
          <w:trHeight w:val="230"/>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Federal-ordinary losses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41,049</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2036</w:t>
            </w:r>
          </w:p>
        </w:tc>
      </w:tr>
      <w:tr>
        <w:trPr>
          <w:trHeight w:val="230"/>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Federal-capital losses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r>
      <w:tr>
        <w:trPr>
          <w:trHeight w:val="229"/>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Federal-tax credits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5,274</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2036</w:t>
            </w:r>
          </w:p>
        </w:tc>
      </w:tr>
      <w:tr>
        <w:trPr>
          <w:trHeight w:val="230"/>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State-ordinary losses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248,148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r>
      <w:tr>
        <w:trPr>
          <w:trHeight w:val="230"/>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State-capital losses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29,292</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2022</w:t>
            </w:r>
          </w:p>
        </w:tc>
      </w:tr>
      <w:tr>
        <w:trPr>
          <w:trHeight w:val="230"/>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State-tax credits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r>
    </w:tbl>
    <w:p>
      <w:pPr>
        <w:spacing w:after="0" w:line="94" w:lineRule="exact"/>
        <w:rPr>
          <w:sz w:val="20"/>
          <w:szCs w:val="20"/>
          <w:color w:val="auto"/>
        </w:rPr>
      </w:pPr>
    </w:p>
    <w:p>
      <w:pPr>
        <w:ind w:right="480" w:firstLine="486"/>
        <w:spacing w:after="0" w:line="308" w:lineRule="auto"/>
        <w:rPr>
          <w:sz w:val="20"/>
          <w:szCs w:val="20"/>
          <w:color w:val="auto"/>
        </w:rPr>
      </w:pPr>
      <w:r>
        <w:rPr>
          <w:rFonts w:ascii="Arial" w:cs="Arial" w:eastAsia="Arial" w:hAnsi="Arial"/>
          <w:sz w:val="17"/>
          <w:szCs w:val="17"/>
          <w:color w:val="auto"/>
        </w:rPr>
        <w:t>A valuation allowance is required when it is more likely than not that all or a portion of a deferred tax asset will not be realized. The Company assesses the available positive and negative evidence to estimate whether the existing deferred tax assets will be realized.</w:t>
      </w:r>
    </w:p>
    <w:p>
      <w:pPr>
        <w:spacing w:after="0" w:line="38"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Company has recorded a valuation allowance against certain jurisdictional NOL carryforwards and other tax attributes. As of December 31, 2020 and 2019, the total valuation allowance was $9,668.6 million and $9,829.0 million, respectively. During the year ended December 31, 2020, the Company decreased its valuation allowance by $160.4 million, which was primarily driven by deferred tax liabilities recognized as part of the BioSpecifics acquisition. During the year ended December 31, 2019, the Company decreased its valuation allowance by $48.7 million, which was primarily driven by statutory rate changes in Luxembourg.</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2020, the Company had the following significant valuation allowances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Jurisdiction</w:t>
            </w:r>
          </w:p>
        </w:tc>
        <w:tc>
          <w:tcPr>
            <w:tcW w:w="6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2020</w:t>
            </w: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6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218,934</w:t>
            </w: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70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8,324,752</w:t>
            </w: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7020" w:type="dxa"/>
            <w:vAlign w:val="bottom"/>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1,121,094</w:t>
            </w:r>
          </w:p>
        </w:tc>
      </w:tr>
      <w:tr>
        <w:trPr>
          <w:trHeight w:val="743"/>
        </w:trPr>
        <w:tc>
          <w:tcPr>
            <w:tcW w:w="3200" w:type="dxa"/>
            <w:vAlign w:val="bottom"/>
          </w:tcPr>
          <w:p>
            <w:pPr>
              <w:spacing w:after="0"/>
              <w:rPr>
                <w:sz w:val="24"/>
                <w:szCs w:val="24"/>
                <w:color w:val="auto"/>
              </w:rPr>
            </w:pPr>
          </w:p>
        </w:tc>
        <w:tc>
          <w:tcPr>
            <w:tcW w:w="7020" w:type="dxa"/>
            <w:vAlign w:val="bottom"/>
            <w:gridSpan w:val="3"/>
          </w:tcPr>
          <w:p>
            <w:pPr>
              <w:jc w:val="right"/>
              <w:ind w:right="4339"/>
              <w:spacing w:after="0"/>
              <w:rPr>
                <w:sz w:val="20"/>
                <w:szCs w:val="20"/>
                <w:color w:val="auto"/>
              </w:rPr>
            </w:pPr>
            <w:r>
              <w:rPr>
                <w:rFonts w:ascii="Arial" w:cs="Arial" w:eastAsia="Arial" w:hAnsi="Arial"/>
                <w:sz w:val="18"/>
                <w:szCs w:val="18"/>
                <w:color w:val="auto"/>
              </w:rPr>
              <w:t>F-54</w:t>
            </w:r>
          </w:p>
        </w:tc>
        <w:tc>
          <w:tcPr>
            <w:tcW w:w="1020" w:type="dxa"/>
            <w:vAlign w:val="bottom"/>
          </w:tcPr>
          <w:p>
            <w:pPr>
              <w:spacing w:after="0"/>
              <w:rPr>
                <w:sz w:val="24"/>
                <w:szCs w:val="24"/>
                <w:color w:val="auto"/>
              </w:rPr>
            </w:pPr>
          </w:p>
        </w:tc>
      </w:tr>
      <w:tr>
        <w:trPr>
          <w:trHeight w:val="115"/>
        </w:trPr>
        <w:tc>
          <w:tcPr>
            <w:tcW w:w="3200" w:type="dxa"/>
            <w:vAlign w:val="bottom"/>
            <w:tcBorders>
              <w:bottom w:val="single" w:sz="8" w:color="9A9A9A"/>
            </w:tcBorders>
          </w:tcPr>
          <w:p>
            <w:pPr>
              <w:spacing w:after="0"/>
              <w:rPr>
                <w:sz w:val="10"/>
                <w:szCs w:val="10"/>
                <w:color w:val="auto"/>
              </w:rPr>
            </w:pPr>
          </w:p>
        </w:tc>
        <w:tc>
          <w:tcPr>
            <w:tcW w:w="6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0" w:name="page141"/>
    <w:bookmarkEnd w:id="1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We have provided for any applicable income taxes associated with current year distributions, as well as any earnings that are expected to be distributed in the future, in the calculation of the income tax provision. No additional provision has been made for Irish and non-Irish income taxes on the undistributed earnings of subsidiaries as such earnings are expected to be indefinitely reinvested. As of December 31, 2020, certain subsidiaries had approximately $1,424.3 million of cumulative undistributed earnings that have been deemed permanently reinvested. A liability could arise if our intention to indefinitely reinvest such earnings were to change and amounts are distributed by such subsidiaries or if such subsidiaries are ultimately disposed. The potential tax implications of unremitted earnings are driven by the facts at the time of the distribution. It is not practicable to estimate the additional income taxes related to indefinitely reinvested earnings or the basis differences related to investments in subsidiaries.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21"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The Company and its subsidiaries are subject to income taxes in the U.S., various states and numerous foreign jurisdictions with varying statutes as to which tax years are subject to examination by the tax authorities. The Company has taken positions on its tax returns that may be challenged by various tax authorities. The Company believes it has appropriately established reserves for tax-related uncertainties. The Company endeavors to resolve matters with a tax authority at the examination level and could reach agreement with a tax authority at any time. The accruals for tax-related uncertainties are based on the Company’s best estimate of the potential tax exposures. When particular matters arise, a number of years may elapse before such matters are audited and finally resolved. The final outcome with a tax authority may result in a tax liability that is more or less than that reflected in our financial statements. Favorable resolution of such matters could be recognized as a reduction of the Company’s effective tax rate in the year of resolution, while a resolution that is not favorable could increase the effective tax rate and may require the use of cash. Uncertain tax positions are reviewed quarterly and adjusted as necessary when events occur that affect potential tax liabilities, such as lapsing of applicable statutes of limitations, proposed assessments by tax authorities, identification of new issues and issuance of new legislation, regulations or case law.</w:t>
      </w:r>
    </w:p>
    <w:p>
      <w:pPr>
        <w:spacing w:after="0" w:line="60"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As of December 31, 2020, the Company had total unrecognized income tax benefits (UTBs) of $576.8 million. If recognized in future years, $230.8 million of such amounts would impact the income tax provision and effective tax rate. As of December 31, 2019, the Company had total UTBs of $530.2 million. If recognized in future years, $320.3 million of such amounts would have impacted the income tax provision and effective tax rate. The following table summarizes the activity related to UTBs during the years ended December 31, 2020, 2019 and 2018 (in thousands):</w:t>
      </w:r>
    </w:p>
    <w:p>
      <w:pPr>
        <w:spacing w:after="0" w:line="72" w:lineRule="exact"/>
        <w:rPr>
          <w:sz w:val="20"/>
          <w:szCs w:val="20"/>
          <w:color w:val="auto"/>
        </w:rPr>
      </w:pPr>
    </w:p>
    <w:p>
      <w:pPr>
        <w:jc w:val="center"/>
        <w:ind w:left="9840"/>
        <w:spacing w:after="0"/>
        <w:rPr>
          <w:sz w:val="20"/>
          <w:szCs w:val="20"/>
          <w:color w:val="auto"/>
        </w:rPr>
      </w:pPr>
      <w:r>
        <w:rPr>
          <w:rFonts w:ascii="Arial" w:cs="Arial" w:eastAsia="Arial" w:hAnsi="Arial"/>
          <w:sz w:val="14"/>
          <w:szCs w:val="14"/>
          <w:b w:val="1"/>
          <w:bCs w:val="1"/>
          <w:color w:val="auto"/>
        </w:rPr>
        <w:t>Unrecognized Tax</w:t>
      </w:r>
    </w:p>
    <w:p>
      <w:pPr>
        <w:jc w:val="center"/>
        <w:ind w:left="9840"/>
        <w:spacing w:after="0" w:line="201" w:lineRule="auto"/>
        <w:rPr>
          <w:sz w:val="20"/>
          <w:szCs w:val="20"/>
          <w:color w:val="auto"/>
        </w:rPr>
      </w:pPr>
      <w:r>
        <w:rPr>
          <w:rFonts w:ascii="Arial" w:cs="Arial" w:eastAsia="Arial" w:hAnsi="Arial"/>
          <w:sz w:val="14"/>
          <w:szCs w:val="14"/>
          <w:b w:val="1"/>
          <w:bCs w:val="1"/>
          <w:color w:val="auto"/>
        </w:rPr>
        <w:t>Benefit Federal,</w:t>
      </w:r>
    </w:p>
    <w:p>
      <w:pPr>
        <w:jc w:val="center"/>
        <w:ind w:left="9840"/>
        <w:spacing w:after="0" w:line="201" w:lineRule="auto"/>
        <w:rPr>
          <w:sz w:val="20"/>
          <w:szCs w:val="20"/>
          <w:color w:val="auto"/>
        </w:rPr>
      </w:pPr>
      <w:r>
        <w:rPr>
          <w:rFonts w:ascii="Arial" w:cs="Arial" w:eastAsia="Arial" w:hAnsi="Arial"/>
          <w:sz w:val="14"/>
          <w:szCs w:val="14"/>
          <w:b w:val="1"/>
          <w:bCs w:val="1"/>
          <w:color w:val="auto"/>
        </w:rPr>
        <w:t>State, and Foreign</w:t>
      </w:r>
    </w:p>
    <w:p>
      <w:pPr>
        <w:jc w:val="center"/>
        <w:ind w:left="9840"/>
        <w:spacing w:after="0"/>
        <w:rPr>
          <w:sz w:val="20"/>
          <w:szCs w:val="20"/>
          <w:color w:val="auto"/>
        </w:rPr>
      </w:pPr>
      <w:r>
        <w:rPr>
          <w:rFonts w:ascii="Arial" w:cs="Arial" w:eastAsia="Arial" w:hAnsi="Arial"/>
          <w:sz w:val="14"/>
          <w:szCs w:val="14"/>
          <w:b w:val="1"/>
          <w:bCs w:val="1"/>
          <w:color w:val="auto"/>
        </w:rPr>
        <w:t>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UTB Balance at December 31, 2017</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Gross additions for current year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Gross reductions for prior period positions</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Gross additions for prior period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Decrease due to lapse of statute of limitations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UTB Balance at December 31, 2018</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Gross additions for current year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Gross reductions for prior period positions</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Gross additions for prior period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Decrease due to lapse of statute of limitations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UTB Balance at December 31, 2019</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Gross additions for current year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Gross reductions for prior period positions</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Gross additions for prior period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Decrease due to lapse of statute of limitations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Currency translation adjustment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686" w:hanging="686"/>
        <w:spacing w:after="0"/>
        <w:tabs>
          <w:tab w:leader="none" w:pos="686" w:val="left"/>
        </w:tabs>
        <w:numPr>
          <w:ilvl w:val="0"/>
          <w:numId w:val="88"/>
        </w:numPr>
        <w:rPr>
          <w:rFonts w:ascii="Arial" w:cs="Arial" w:eastAsia="Arial" w:hAnsi="Arial"/>
          <w:sz w:val="17"/>
          <w:szCs w:val="17"/>
          <w:color w:val="auto"/>
        </w:rPr>
      </w:pPr>
      <w:r>
        <w:rPr>
          <w:rFonts w:ascii="Arial" w:cs="Arial" w:eastAsia="Arial" w:hAnsi="Arial"/>
          <w:sz w:val="17"/>
          <w:szCs w:val="17"/>
          <w:color w:val="auto"/>
        </w:rPr>
        <w:t>415,951</w:t>
      </w:r>
    </w:p>
    <w:p>
      <w:pPr>
        <w:spacing w:after="0" w:line="34" w:lineRule="exact"/>
        <w:rPr>
          <w:rFonts w:ascii="Arial" w:cs="Arial" w:eastAsia="Arial" w:hAnsi="Arial"/>
          <w:sz w:val="17"/>
          <w:szCs w:val="17"/>
          <w:color w:val="auto"/>
        </w:rPr>
      </w:pPr>
    </w:p>
    <w:p>
      <w:pPr>
        <w:ind w:left="786"/>
        <w:spacing w:after="0"/>
        <w:rPr>
          <w:rFonts w:ascii="Arial" w:cs="Arial" w:eastAsia="Arial" w:hAnsi="Arial"/>
          <w:sz w:val="17"/>
          <w:szCs w:val="17"/>
          <w:color w:val="auto"/>
        </w:rPr>
      </w:pPr>
      <w:r>
        <w:rPr>
          <w:rFonts w:ascii="Arial" w:cs="Arial" w:eastAsia="Arial" w:hAnsi="Arial"/>
          <w:sz w:val="17"/>
          <w:szCs w:val="17"/>
          <w:color w:val="auto"/>
        </w:rPr>
        <w:t>36,088</w:t>
      </w:r>
    </w:p>
    <w:p>
      <w:pPr>
        <w:spacing w:after="0" w:line="34" w:lineRule="exact"/>
        <w:rPr>
          <w:rFonts w:ascii="Arial" w:cs="Arial" w:eastAsia="Arial" w:hAnsi="Arial"/>
          <w:sz w:val="17"/>
          <w:szCs w:val="17"/>
          <w:color w:val="auto"/>
        </w:rPr>
      </w:pPr>
    </w:p>
    <w:p>
      <w:pPr>
        <w:ind w:left="786"/>
        <w:spacing w:after="0"/>
        <w:rPr>
          <w:rFonts w:ascii="Arial" w:cs="Arial" w:eastAsia="Arial" w:hAnsi="Arial"/>
          <w:sz w:val="17"/>
          <w:szCs w:val="17"/>
          <w:color w:val="auto"/>
        </w:rPr>
      </w:pPr>
      <w:r>
        <w:rPr>
          <w:rFonts w:ascii="Arial" w:cs="Arial" w:eastAsia="Arial" w:hAnsi="Arial"/>
          <w:sz w:val="17"/>
          <w:szCs w:val="17"/>
          <w:color w:val="auto"/>
        </w:rPr>
        <w:t>(3,570)</w:t>
      </w:r>
    </w:p>
    <w:p>
      <w:pPr>
        <w:spacing w:after="0" w:line="34" w:lineRule="exact"/>
        <w:rPr>
          <w:rFonts w:ascii="Arial" w:cs="Arial" w:eastAsia="Arial" w:hAnsi="Arial"/>
          <w:sz w:val="17"/>
          <w:szCs w:val="17"/>
          <w:color w:val="auto"/>
        </w:rPr>
      </w:pPr>
    </w:p>
    <w:p>
      <w:pPr>
        <w:ind w:left="866"/>
        <w:spacing w:after="0"/>
        <w:rPr>
          <w:rFonts w:ascii="Arial" w:cs="Arial" w:eastAsia="Arial" w:hAnsi="Arial"/>
          <w:sz w:val="17"/>
          <w:szCs w:val="17"/>
          <w:color w:val="auto"/>
        </w:rPr>
      </w:pPr>
      <w:r>
        <w:rPr>
          <w:rFonts w:ascii="Arial" w:cs="Arial" w:eastAsia="Arial" w:hAnsi="Arial"/>
          <w:sz w:val="18"/>
          <w:szCs w:val="18"/>
          <w:color w:val="auto"/>
        </w:rPr>
        <w:t>7,950</w:t>
      </w:r>
    </w:p>
    <w:p>
      <w:pPr>
        <w:spacing w:after="0" w:line="22" w:lineRule="exact"/>
        <w:rPr>
          <w:rFonts w:ascii="Arial" w:cs="Arial" w:eastAsia="Arial" w:hAnsi="Arial"/>
          <w:sz w:val="17"/>
          <w:szCs w:val="17"/>
          <w:color w:val="auto"/>
        </w:rPr>
      </w:pPr>
    </w:p>
    <w:p>
      <w:pPr>
        <w:ind w:left="786"/>
        <w:spacing w:after="0"/>
        <w:rPr>
          <w:rFonts w:ascii="Arial" w:cs="Arial" w:eastAsia="Arial" w:hAnsi="Arial"/>
          <w:sz w:val="17"/>
          <w:szCs w:val="17"/>
          <w:color w:val="auto"/>
        </w:rPr>
      </w:pPr>
      <w:r>
        <w:rPr>
          <w:rFonts w:ascii="Arial" w:cs="Arial" w:eastAsia="Arial" w:hAnsi="Arial"/>
          <w:sz w:val="17"/>
          <w:szCs w:val="17"/>
          <w:color w:val="auto"/>
        </w:rPr>
        <w:t>(2,129)</w:t>
      </w:r>
    </w:p>
    <w:p>
      <w:pPr>
        <w:spacing w:after="0" w:line="34" w:lineRule="exact"/>
        <w:rPr>
          <w:rFonts w:ascii="Arial" w:cs="Arial" w:eastAsia="Arial" w:hAnsi="Arial"/>
          <w:sz w:val="17"/>
          <w:szCs w:val="17"/>
          <w:color w:val="auto"/>
        </w:rPr>
      </w:pPr>
    </w:p>
    <w:p>
      <w:pPr>
        <w:ind w:left="786"/>
        <w:spacing w:after="0"/>
        <w:rPr>
          <w:rFonts w:ascii="Arial" w:cs="Arial" w:eastAsia="Arial" w:hAnsi="Arial"/>
          <w:sz w:val="17"/>
          <w:szCs w:val="17"/>
          <w:color w:val="auto"/>
        </w:rPr>
      </w:pPr>
      <w:r>
        <w:rPr>
          <w:rFonts w:ascii="Arial" w:cs="Arial" w:eastAsia="Arial" w:hAnsi="Arial"/>
          <w:sz w:val="17"/>
          <w:szCs w:val="17"/>
          <w:color w:val="auto"/>
        </w:rPr>
        <w:t>(2,600)</w:t>
      </w:r>
    </w:p>
    <w:p>
      <w:pPr>
        <w:spacing w:after="0" w:line="47" w:lineRule="exact"/>
        <w:rPr>
          <w:sz w:val="20"/>
          <w:szCs w:val="20"/>
          <w:color w:val="auto"/>
        </w:rPr>
      </w:pPr>
    </w:p>
    <w:p>
      <w:pPr>
        <w:ind w:left="686" w:hanging="686"/>
        <w:spacing w:after="0"/>
        <w:tabs>
          <w:tab w:leader="none" w:pos="686" w:val="left"/>
        </w:tabs>
        <w:numPr>
          <w:ilvl w:val="0"/>
          <w:numId w:val="89"/>
        </w:numPr>
        <w:rPr>
          <w:rFonts w:ascii="Arial" w:cs="Arial" w:eastAsia="Arial" w:hAnsi="Arial"/>
          <w:sz w:val="17"/>
          <w:szCs w:val="17"/>
          <w:color w:val="auto"/>
        </w:rPr>
      </w:pPr>
      <w:r>
        <w:rPr>
          <w:rFonts w:ascii="Arial" w:cs="Arial" w:eastAsia="Arial" w:hAnsi="Arial"/>
          <w:sz w:val="17"/>
          <w:szCs w:val="17"/>
          <w:color w:val="auto"/>
        </w:rPr>
        <w:t>451,690</w:t>
      </w:r>
    </w:p>
    <w:p>
      <w:pPr>
        <w:spacing w:after="0" w:line="47" w:lineRule="exact"/>
        <w:rPr>
          <w:rFonts w:ascii="Arial" w:cs="Arial" w:eastAsia="Arial" w:hAnsi="Arial"/>
          <w:sz w:val="17"/>
          <w:szCs w:val="17"/>
          <w:color w:val="auto"/>
        </w:rPr>
      </w:pPr>
    </w:p>
    <w:p>
      <w:pPr>
        <w:ind w:left="786"/>
        <w:spacing w:after="0"/>
        <w:rPr>
          <w:rFonts w:ascii="Arial" w:cs="Arial" w:eastAsia="Arial" w:hAnsi="Arial"/>
          <w:sz w:val="17"/>
          <w:szCs w:val="17"/>
          <w:color w:val="auto"/>
        </w:rPr>
      </w:pPr>
      <w:r>
        <w:rPr>
          <w:rFonts w:ascii="Arial" w:cs="Arial" w:eastAsia="Arial" w:hAnsi="Arial"/>
          <w:sz w:val="17"/>
          <w:szCs w:val="17"/>
          <w:color w:val="auto"/>
        </w:rPr>
        <w:t>35,766</w:t>
      </w:r>
    </w:p>
    <w:p>
      <w:pPr>
        <w:spacing w:after="0" w:line="34" w:lineRule="exact"/>
        <w:rPr>
          <w:rFonts w:ascii="Arial" w:cs="Arial" w:eastAsia="Arial" w:hAnsi="Arial"/>
          <w:sz w:val="17"/>
          <w:szCs w:val="17"/>
          <w:color w:val="auto"/>
        </w:rPr>
      </w:pPr>
    </w:p>
    <w:p>
      <w:pPr>
        <w:ind w:left="786"/>
        <w:spacing w:after="0"/>
        <w:rPr>
          <w:rFonts w:ascii="Arial" w:cs="Arial" w:eastAsia="Arial" w:hAnsi="Arial"/>
          <w:sz w:val="17"/>
          <w:szCs w:val="17"/>
          <w:color w:val="auto"/>
        </w:rPr>
      </w:pPr>
      <w:r>
        <w:rPr>
          <w:rFonts w:ascii="Arial" w:cs="Arial" w:eastAsia="Arial" w:hAnsi="Arial"/>
          <w:sz w:val="17"/>
          <w:szCs w:val="17"/>
          <w:color w:val="auto"/>
        </w:rPr>
        <w:t>(2,377)</w:t>
      </w:r>
    </w:p>
    <w:p>
      <w:pPr>
        <w:spacing w:after="0" w:line="34" w:lineRule="exact"/>
        <w:rPr>
          <w:rFonts w:ascii="Arial" w:cs="Arial" w:eastAsia="Arial" w:hAnsi="Arial"/>
          <w:sz w:val="17"/>
          <w:szCs w:val="17"/>
          <w:color w:val="auto"/>
        </w:rPr>
      </w:pPr>
    </w:p>
    <w:p>
      <w:pPr>
        <w:ind w:left="1006"/>
        <w:spacing w:after="0"/>
        <w:rPr>
          <w:rFonts w:ascii="Arial" w:cs="Arial" w:eastAsia="Arial" w:hAnsi="Arial"/>
          <w:sz w:val="17"/>
          <w:szCs w:val="17"/>
          <w:color w:val="auto"/>
        </w:rPr>
      </w:pPr>
      <w:r>
        <w:rPr>
          <w:rFonts w:ascii="Arial" w:cs="Arial" w:eastAsia="Arial" w:hAnsi="Arial"/>
          <w:sz w:val="18"/>
          <w:szCs w:val="18"/>
          <w:color w:val="auto"/>
        </w:rPr>
        <w:t>880</w:t>
      </w:r>
    </w:p>
    <w:p>
      <w:pPr>
        <w:spacing w:after="0" w:line="22" w:lineRule="exact"/>
        <w:rPr>
          <w:rFonts w:ascii="Arial" w:cs="Arial" w:eastAsia="Arial" w:hAnsi="Arial"/>
          <w:sz w:val="17"/>
          <w:szCs w:val="17"/>
          <w:color w:val="auto"/>
        </w:rPr>
      </w:pPr>
    </w:p>
    <w:p>
      <w:pPr>
        <w:ind w:left="786"/>
        <w:spacing w:after="0"/>
        <w:rPr>
          <w:rFonts w:ascii="Arial" w:cs="Arial" w:eastAsia="Arial" w:hAnsi="Arial"/>
          <w:sz w:val="17"/>
          <w:szCs w:val="17"/>
          <w:color w:val="auto"/>
        </w:rPr>
      </w:pPr>
      <w:r>
        <w:rPr>
          <w:rFonts w:ascii="Arial" w:cs="Arial" w:eastAsia="Arial" w:hAnsi="Arial"/>
          <w:sz w:val="17"/>
          <w:szCs w:val="17"/>
          <w:color w:val="auto"/>
        </w:rPr>
        <w:t>(1,006)</w:t>
      </w:r>
    </w:p>
    <w:p>
      <w:pPr>
        <w:spacing w:after="0" w:line="34" w:lineRule="exact"/>
        <w:rPr>
          <w:rFonts w:ascii="Arial" w:cs="Arial" w:eastAsia="Arial" w:hAnsi="Arial"/>
          <w:sz w:val="17"/>
          <w:szCs w:val="17"/>
          <w:color w:val="auto"/>
        </w:rPr>
      </w:pPr>
    </w:p>
    <w:p>
      <w:pPr>
        <w:ind w:left="866"/>
        <w:spacing w:after="0"/>
        <w:rPr>
          <w:rFonts w:ascii="Arial" w:cs="Arial" w:eastAsia="Arial" w:hAnsi="Arial"/>
          <w:sz w:val="17"/>
          <w:szCs w:val="17"/>
          <w:color w:val="auto"/>
        </w:rPr>
      </w:pPr>
      <w:r>
        <w:rPr>
          <w:rFonts w:ascii="Arial" w:cs="Arial" w:eastAsia="Arial" w:hAnsi="Arial"/>
          <w:sz w:val="18"/>
          <w:szCs w:val="18"/>
          <w:color w:val="auto"/>
        </w:rPr>
        <w:t>1,528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-721995</wp:posOffset>
            </wp:positionV>
            <wp:extent cx="86550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7">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5" w:lineRule="exact"/>
        <w:rPr>
          <w:sz w:val="20"/>
          <w:szCs w:val="20"/>
          <w:color w:val="auto"/>
        </w:rPr>
      </w:pPr>
    </w:p>
    <w:p>
      <w:pPr>
        <w:ind w:left="686" w:hanging="686"/>
        <w:spacing w:after="0"/>
        <w:tabs>
          <w:tab w:leader="none" w:pos="686" w:val="left"/>
        </w:tabs>
        <w:numPr>
          <w:ilvl w:val="0"/>
          <w:numId w:val="90"/>
        </w:numPr>
        <w:rPr>
          <w:rFonts w:ascii="Arial" w:cs="Arial" w:eastAsia="Arial" w:hAnsi="Arial"/>
          <w:sz w:val="17"/>
          <w:szCs w:val="17"/>
          <w:color w:val="auto"/>
        </w:rPr>
      </w:pPr>
      <w:r>
        <w:rPr>
          <w:rFonts w:ascii="Arial" w:cs="Arial" w:eastAsia="Arial" w:hAnsi="Arial"/>
          <w:sz w:val="17"/>
          <w:szCs w:val="17"/>
          <w:color w:val="auto"/>
        </w:rPr>
        <w:t>486,481</w:t>
      </w:r>
    </w:p>
    <w:p>
      <w:pPr>
        <w:spacing w:after="0" w:line="47" w:lineRule="exact"/>
        <w:rPr>
          <w:rFonts w:ascii="Arial" w:cs="Arial" w:eastAsia="Arial" w:hAnsi="Arial"/>
          <w:sz w:val="17"/>
          <w:szCs w:val="17"/>
          <w:color w:val="auto"/>
        </w:rPr>
      </w:pPr>
    </w:p>
    <w:p>
      <w:pPr>
        <w:ind w:left="786"/>
        <w:spacing w:after="0"/>
        <w:rPr>
          <w:rFonts w:ascii="Arial" w:cs="Arial" w:eastAsia="Arial" w:hAnsi="Arial"/>
          <w:sz w:val="17"/>
          <w:szCs w:val="17"/>
          <w:color w:val="auto"/>
        </w:rPr>
      </w:pPr>
      <w:r>
        <w:rPr>
          <w:rFonts w:ascii="Arial" w:cs="Arial" w:eastAsia="Arial" w:hAnsi="Arial"/>
          <w:sz w:val="17"/>
          <w:szCs w:val="17"/>
          <w:color w:val="auto"/>
        </w:rPr>
        <w:t>33,402</w:t>
      </w:r>
    </w:p>
    <w:p>
      <w:pPr>
        <w:spacing w:after="0" w:line="34" w:lineRule="exact"/>
        <w:rPr>
          <w:rFonts w:ascii="Arial" w:cs="Arial" w:eastAsia="Arial" w:hAnsi="Arial"/>
          <w:sz w:val="17"/>
          <w:szCs w:val="17"/>
          <w:color w:val="auto"/>
        </w:rPr>
      </w:pPr>
    </w:p>
    <w:p>
      <w:pPr>
        <w:ind w:left="926"/>
        <w:spacing w:after="0"/>
        <w:rPr>
          <w:rFonts w:ascii="Arial" w:cs="Arial" w:eastAsia="Arial" w:hAnsi="Arial"/>
          <w:sz w:val="17"/>
          <w:szCs w:val="17"/>
          <w:color w:val="auto"/>
        </w:rPr>
      </w:pPr>
      <w:r>
        <w:rPr>
          <w:rFonts w:ascii="Arial" w:cs="Arial" w:eastAsia="Arial" w:hAnsi="Arial"/>
          <w:sz w:val="17"/>
          <w:szCs w:val="17"/>
          <w:color w:val="auto"/>
        </w:rPr>
        <w:t>(577)</w:t>
      </w:r>
    </w:p>
    <w:p>
      <w:pPr>
        <w:spacing w:after="0" w:line="34" w:lineRule="exact"/>
        <w:rPr>
          <w:rFonts w:ascii="Arial" w:cs="Arial" w:eastAsia="Arial" w:hAnsi="Arial"/>
          <w:sz w:val="17"/>
          <w:szCs w:val="17"/>
          <w:color w:val="auto"/>
        </w:rPr>
      </w:pPr>
    </w:p>
    <w:p>
      <w:pPr>
        <w:ind w:left="786"/>
        <w:spacing w:after="0"/>
        <w:rPr>
          <w:rFonts w:ascii="Arial" w:cs="Arial" w:eastAsia="Arial" w:hAnsi="Arial"/>
          <w:sz w:val="17"/>
          <w:szCs w:val="17"/>
          <w:color w:val="auto"/>
        </w:rPr>
      </w:pPr>
      <w:r>
        <w:rPr>
          <w:rFonts w:ascii="Arial" w:cs="Arial" w:eastAsia="Arial" w:hAnsi="Arial"/>
          <w:sz w:val="17"/>
          <w:szCs w:val="17"/>
          <w:color w:val="auto"/>
        </w:rPr>
        <w:t>16,914</w:t>
      </w:r>
    </w:p>
    <w:p>
      <w:pPr>
        <w:spacing w:after="0" w:line="34" w:lineRule="exact"/>
        <w:rPr>
          <w:rFonts w:ascii="Arial" w:cs="Arial" w:eastAsia="Arial" w:hAnsi="Arial"/>
          <w:sz w:val="17"/>
          <w:szCs w:val="17"/>
          <w:color w:val="auto"/>
        </w:rPr>
      </w:pPr>
    </w:p>
    <w:p>
      <w:pPr>
        <w:ind w:left="786"/>
        <w:spacing w:after="0"/>
        <w:rPr>
          <w:rFonts w:ascii="Arial" w:cs="Arial" w:eastAsia="Arial" w:hAnsi="Arial"/>
          <w:sz w:val="17"/>
          <w:szCs w:val="17"/>
          <w:color w:val="auto"/>
        </w:rPr>
      </w:pPr>
      <w:r>
        <w:rPr>
          <w:rFonts w:ascii="Arial" w:cs="Arial" w:eastAsia="Arial" w:hAnsi="Arial"/>
          <w:sz w:val="17"/>
          <w:szCs w:val="17"/>
          <w:color w:val="auto"/>
        </w:rPr>
        <w:t>(7,033)</w:t>
      </w:r>
    </w:p>
    <w:p>
      <w:pPr>
        <w:spacing w:after="0" w:line="34" w:lineRule="exact"/>
        <w:rPr>
          <w:rFonts w:ascii="Arial" w:cs="Arial" w:eastAsia="Arial" w:hAnsi="Arial"/>
          <w:sz w:val="17"/>
          <w:szCs w:val="17"/>
          <w:color w:val="auto"/>
        </w:rPr>
      </w:pPr>
    </w:p>
    <w:p>
      <w:pPr>
        <w:ind w:left="1006"/>
        <w:spacing w:after="0"/>
        <w:rPr>
          <w:rFonts w:ascii="Arial" w:cs="Arial" w:eastAsia="Arial" w:hAnsi="Arial"/>
          <w:sz w:val="17"/>
          <w:szCs w:val="17"/>
          <w:color w:val="auto"/>
        </w:rPr>
      </w:pPr>
      <w:r>
        <w:rPr>
          <w:rFonts w:ascii="Arial" w:cs="Arial" w:eastAsia="Arial" w:hAnsi="Arial"/>
          <w:sz w:val="18"/>
          <w:szCs w:val="18"/>
          <w:color w:val="auto"/>
        </w:rPr>
        <w:t>588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-721995</wp:posOffset>
            </wp:positionV>
            <wp:extent cx="86550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8">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9174" w:space="720"/>
            <w:col w:w="1346"/>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UTB Balance at December 31, 2020</w:t>
            </w:r>
          </w:p>
        </w:tc>
        <w:tc>
          <w:tcPr>
            <w:tcW w:w="50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529,775</w:t>
            </w:r>
          </w:p>
        </w:tc>
      </w:tr>
      <w:tr>
        <w:trPr>
          <w:trHeight w:val="223"/>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Accrued interest and penalties</w:t>
            </w:r>
          </w:p>
        </w:tc>
        <w:tc>
          <w:tcPr>
            <w:tcW w:w="50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47,006</w:t>
            </w: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UTB balance including accrued interest and penalties</w:t>
            </w:r>
          </w:p>
        </w:tc>
        <w:tc>
          <w:tcPr>
            <w:tcW w:w="5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576,781</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676"/>
        </w:trPr>
        <w:tc>
          <w:tcPr>
            <w:tcW w:w="4860" w:type="dxa"/>
            <w:vAlign w:val="bottom"/>
          </w:tcPr>
          <w:p>
            <w:pPr>
              <w:spacing w:after="0"/>
              <w:rPr>
                <w:sz w:val="24"/>
                <w:szCs w:val="24"/>
                <w:color w:val="auto"/>
              </w:rPr>
            </w:pPr>
          </w:p>
        </w:tc>
        <w:tc>
          <w:tcPr>
            <w:tcW w:w="5420" w:type="dxa"/>
            <w:vAlign w:val="bottom"/>
            <w:gridSpan w:val="2"/>
          </w:tcPr>
          <w:p>
            <w:pPr>
              <w:jc w:val="right"/>
              <w:ind w:right="4390"/>
              <w:spacing w:after="0"/>
              <w:rPr>
                <w:sz w:val="20"/>
                <w:szCs w:val="20"/>
                <w:color w:val="auto"/>
              </w:rPr>
            </w:pPr>
            <w:r>
              <w:rPr>
                <w:rFonts w:ascii="Arial" w:cs="Arial" w:eastAsia="Arial" w:hAnsi="Arial"/>
                <w:sz w:val="18"/>
                <w:szCs w:val="18"/>
                <w:color w:val="auto"/>
              </w:rPr>
              <w:t>F-55</w:t>
            </w:r>
          </w:p>
        </w:tc>
        <w:tc>
          <w:tcPr>
            <w:tcW w:w="960" w:type="dxa"/>
            <w:vAlign w:val="bottom"/>
          </w:tcPr>
          <w:p>
            <w:pPr>
              <w:spacing w:after="0"/>
              <w:rPr>
                <w:sz w:val="24"/>
                <w:szCs w:val="24"/>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50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41" w:name="page142"/>
    <w:bookmarkEnd w:id="1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20" w:firstLine="486"/>
        <w:spacing w:after="0" w:line="263" w:lineRule="auto"/>
        <w:rPr>
          <w:sz w:val="20"/>
          <w:szCs w:val="20"/>
          <w:color w:val="auto"/>
        </w:rPr>
      </w:pPr>
      <w:r>
        <w:rPr>
          <w:rFonts w:ascii="Arial" w:cs="Arial" w:eastAsia="Arial" w:hAnsi="Arial"/>
          <w:sz w:val="18"/>
          <w:szCs w:val="18"/>
          <w:color w:val="auto"/>
        </w:rPr>
        <w:t>The Company records accrued interest and penalties, where applicable, related to uncertain tax positions as part of the provision for income taxes. The cumulative accrued interest and penalties related to uncertain tax positions were $47.0 million and $43.7 million as of December 31, 2020 and 2019, respectively.</w:t>
      </w:r>
    </w:p>
    <w:p>
      <w:pPr>
        <w:spacing w:after="0" w:line="76"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During the year ended December 31, 2020, the Company recognized a benefit of $78.2 million, primarily related to the CARES Act, as a reduction to our net uncertain tax position liability. During the years ended December 31, 2019 and 2018, we recognized expense of $13.8 million and $8.6 million, respectively, related to interest and penalties. The current portion of our UTB liability of $0.2 million is included in our Consolidated Balance Sheet as Accounts payable and accrued expenses. The noncurrent portion of our UTB liability is included in our Consolidated Balance Sheet as Other liabilities or, if and to the extent appropriate, as a reduction to Deferred tax assets.</w:t>
      </w:r>
    </w:p>
    <w:p>
      <w:pPr>
        <w:spacing w:after="0" w:line="80"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Our subsidiaries file income tax returns in the countries in which they have operations. Generally, these countries have statutes of limitations ranging from 3 to 5 years. Certain subsidiary tax returns are currently under examination by taxing authorities, including U.S. tax returns for the 2006 through 2018 tax years by the IRS.</w:t>
      </w:r>
    </w:p>
    <w:p>
      <w:pPr>
        <w:spacing w:after="0" w:line="76"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It is expected that the amount of UTBs will change during the next twelve months; however, the Company does not currently anticipate any adjustments that would lead to a material impact on our results of operations or our financial position.</w:t>
      </w:r>
    </w:p>
    <w:p>
      <w:pPr>
        <w:spacing w:after="0" w:line="62"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On June 3, 2020, in connection with the IRS’s examination of our U.S. income tax return for the fiscal year ended December 31, 2015 (2015 Return), we received an acknowledgement of facts (AoF) from the IRS related to transfer pricing positions taken by Endo U.S., Inc. and its subsidiaries (Endo U.S.). The AoF asserted that Endo U.S. overpaid for certain pharmaceutical products that it purchased from certain non-U.S. related parties and proposed a specific adjustment to our 2015 Return position. On September 4, 2020, we received a Form 5701 Notice of Proposed Adjustment (NOPA) that is consistent with the previously disclosed AoF. We believe that the terms of the subject transactions are consistent with comparable transactions for similarly situated unrelated parties, and we intend to contest the proposed adjustment. While the NOPA is not material to our business, financial condition, results of operations or cash flows, the IRS could seek to apply its position to subsequent tax periods and propose similar adjustments. The aggregate impact of these adjustments, if sustained, could have a material adverse effect on our business, financial condition, results of operations and cash flows. Although the timing of the outcome of this matter is uncertain, it is possible any final resolution of the matter could take a number of years.</w:t>
      </w:r>
    </w:p>
    <w:p>
      <w:pPr>
        <w:spacing w:after="0" w:line="58" w:lineRule="exact"/>
        <w:rPr>
          <w:sz w:val="20"/>
          <w:szCs w:val="20"/>
          <w:color w:val="auto"/>
        </w:rPr>
      </w:pPr>
    </w:p>
    <w:p>
      <w:pPr>
        <w:ind w:right="120" w:firstLine="486"/>
        <w:spacing w:after="0" w:line="272" w:lineRule="auto"/>
        <w:rPr>
          <w:sz w:val="20"/>
          <w:szCs w:val="20"/>
          <w:color w:val="auto"/>
        </w:rPr>
      </w:pPr>
      <w:r>
        <w:rPr>
          <w:rFonts w:ascii="Arial" w:cs="Arial" w:eastAsia="Arial" w:hAnsi="Arial"/>
          <w:sz w:val="17"/>
          <w:szCs w:val="17"/>
          <w:color w:val="auto"/>
        </w:rPr>
        <w:t>In connection with the IRS’s examination of our 2015 Return, on December 31, 2020, the IRS issued a TAM that we previously disclosed we were expecting to receive regarding the portion of our 2015 NOL that qualifies as a specified product liability loss (SLL). The TAM concurred in part with our positions on the 2015 Return but disagreed with our position that the AMS worthless stock loss qualifies as an SLL. If the IRS’s position is sustained in whole or in part, we could be required to repay with interest a portion of the $760 million tax refund we disclosed in our 2016 Annual Report on Form 10-K. This result could have a material adverse effect on our business, financial condition, results of operations and cash flows. We disagree with the IRS’s position in the TAM regarding the AMS worthless stock loss and, if necessary, intend to contest the proposed adjustment. Although the timing of the outcome of this matter is uncertain, it is possible any final resolution of the matter could take a number of years.</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2020, we may be subject to examination in the following major tax jurisdictions: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Jurisdiction</w:t>
            </w:r>
          </w:p>
        </w:tc>
        <w:tc>
          <w:tcPr>
            <w:tcW w:w="5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Open Years</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5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9"/>
              </w:rPr>
              <w:t>2013 through 2020</w:t>
            </w: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India</w:t>
            </w:r>
          </w:p>
        </w:tc>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ind w:left="560"/>
              <w:spacing w:after="0"/>
              <w:rPr>
                <w:sz w:val="20"/>
                <w:szCs w:val="20"/>
                <w:color w:val="auto"/>
              </w:rPr>
            </w:pPr>
            <w:r>
              <w:rPr>
                <w:rFonts w:ascii="Arial" w:cs="Arial" w:eastAsia="Arial" w:hAnsi="Arial"/>
                <w:sz w:val="18"/>
                <w:szCs w:val="18"/>
                <w:color w:val="auto"/>
                <w:w w:val="89"/>
              </w:rPr>
              <w:t>2012 through 2020</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5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9"/>
              </w:rPr>
              <w:t>2014 through 2020</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ind w:left="560"/>
              <w:spacing w:after="0"/>
              <w:rPr>
                <w:sz w:val="20"/>
                <w:szCs w:val="20"/>
                <w:color w:val="auto"/>
              </w:rPr>
            </w:pPr>
            <w:r>
              <w:rPr>
                <w:rFonts w:ascii="Arial" w:cs="Arial" w:eastAsia="Arial" w:hAnsi="Arial"/>
                <w:sz w:val="18"/>
                <w:szCs w:val="18"/>
                <w:color w:val="auto"/>
                <w:w w:val="89"/>
              </w:rPr>
              <w:t>2014 through 2020</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 federal, state and local</w:t>
            </w:r>
          </w:p>
        </w:tc>
        <w:tc>
          <w:tcPr>
            <w:tcW w:w="5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9"/>
              </w:rPr>
              <w:t>2006 through 2020</w:t>
            </w:r>
          </w:p>
        </w:tc>
      </w:tr>
      <w:tr>
        <w:trPr>
          <w:trHeight w:val="729"/>
        </w:trPr>
        <w:tc>
          <w:tcPr>
            <w:tcW w:w="3780" w:type="dxa"/>
            <w:vAlign w:val="bottom"/>
          </w:tcPr>
          <w:p>
            <w:pPr>
              <w:spacing w:after="0"/>
              <w:rPr>
                <w:sz w:val="24"/>
                <w:szCs w:val="24"/>
                <w:color w:val="auto"/>
              </w:rPr>
            </w:pPr>
          </w:p>
        </w:tc>
        <w:tc>
          <w:tcPr>
            <w:tcW w:w="7460" w:type="dxa"/>
            <w:vAlign w:val="bottom"/>
            <w:gridSpan w:val="3"/>
          </w:tcPr>
          <w:p>
            <w:pPr>
              <w:ind w:left="1680"/>
              <w:spacing w:after="0"/>
              <w:rPr>
                <w:sz w:val="20"/>
                <w:szCs w:val="20"/>
                <w:color w:val="auto"/>
              </w:rPr>
            </w:pPr>
            <w:r>
              <w:rPr>
                <w:rFonts w:ascii="Arial" w:cs="Arial" w:eastAsia="Arial" w:hAnsi="Arial"/>
                <w:sz w:val="18"/>
                <w:szCs w:val="18"/>
                <w:color w:val="auto"/>
              </w:rPr>
              <w:t>F-56</w:t>
            </w:r>
          </w:p>
        </w:tc>
      </w:tr>
      <w:tr>
        <w:trPr>
          <w:trHeight w:val="115"/>
        </w:trPr>
        <w:tc>
          <w:tcPr>
            <w:tcW w:w="3780" w:type="dxa"/>
            <w:vAlign w:val="bottom"/>
            <w:tcBorders>
              <w:bottom w:val="single" w:sz="8" w:color="9A9A9A"/>
            </w:tcBorders>
          </w:tcPr>
          <w:p>
            <w:pPr>
              <w:spacing w:after="0"/>
              <w:rPr>
                <w:sz w:val="10"/>
                <w:szCs w:val="10"/>
                <w:color w:val="auto"/>
              </w:rPr>
            </w:pPr>
          </w:p>
        </w:tc>
        <w:tc>
          <w:tcPr>
            <w:tcW w:w="5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NET INCOME (LOSS) PER SHARE</w:t>
      </w:r>
    </w:p>
    <w:p>
      <w:pPr>
        <w:spacing w:after="0" w:line="121"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The following is a reconciliation of the numerator and denominator of basic and diluted net income (loss) per share for the years ended December 31, 2020, 2019 and 2018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15"/>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Income (loss) from 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247,464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(360,584)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(961,767)</w:t>
            </w:r>
          </w:p>
        </w:tc>
      </w:tr>
      <w:tr>
        <w:trPr>
          <w:trHeight w:val="230"/>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discontinued operations, net of tax</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(62,052)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(69,702)</w:t>
            </w:r>
          </w:p>
        </w:tc>
      </w:tr>
      <w:tr>
        <w:trPr>
          <w:trHeight w:val="223"/>
        </w:trPr>
        <w:tc>
          <w:tcPr>
            <w:tcW w:w="694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183,944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(422,636)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(1,031,469)</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6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For basic per share data—weighted average shares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229,314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226,050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223,960</w:t>
            </w:r>
          </w:p>
        </w:tc>
      </w:tr>
      <w:tr>
        <w:trPr>
          <w:trHeight w:val="229"/>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ordinary share equivalents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940" w:type="dxa"/>
            <w:vAlign w:val="bottom"/>
          </w:tcPr>
          <w:p>
            <w:pPr>
              <w:ind w:left="140"/>
              <w:spacing w:after="0"/>
              <w:rPr>
                <w:sz w:val="20"/>
                <w:szCs w:val="20"/>
                <w:color w:val="auto"/>
              </w:rPr>
            </w:pPr>
            <w:r>
              <w:rPr>
                <w:rFonts w:ascii="Arial" w:cs="Arial" w:eastAsia="Arial" w:hAnsi="Arial"/>
                <w:sz w:val="18"/>
                <w:szCs w:val="18"/>
                <w:color w:val="auto"/>
              </w:rPr>
              <w:t>For diluted per share data—weighted average shares</w:t>
            </w: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233,653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226,050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223,960</w:t>
            </w:r>
          </w:p>
        </w:tc>
      </w:tr>
      <w:tr>
        <w:trPr>
          <w:trHeight w:val="21"/>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Basic per share amounts are computed based on the weighted average number of ordinary shares outstanding during the period. Diluted per share amounts are computed based on the weighted average number of ordinary shares outstanding and, if there is net income from continuing operations during the period, the dilutive effect of ordinary share equivalents outstanding during the period.</w:t>
      </w:r>
    </w:p>
    <w:p>
      <w:pPr>
        <w:spacing w:after="0" w:line="76"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The dilutive effect of ordinary share equivalents is measured using the treasury stock method. Stock options and awards that have been issued but for which a grant date has not yet been established are not considered in the calculation of basic or diluted weighted average shares.</w:t>
      </w:r>
    </w:p>
    <w:p>
      <w:pPr>
        <w:spacing w:after="0" w:line="38" w:lineRule="exact"/>
        <w:rPr>
          <w:sz w:val="20"/>
          <w:szCs w:val="20"/>
          <w:color w:val="auto"/>
        </w:rPr>
      </w:pPr>
    </w:p>
    <w:p>
      <w:pPr>
        <w:ind w:right="220" w:firstLine="486"/>
        <w:spacing w:after="0" w:line="311" w:lineRule="auto"/>
        <w:rPr>
          <w:sz w:val="20"/>
          <w:szCs w:val="20"/>
          <w:color w:val="auto"/>
        </w:rPr>
      </w:pPr>
      <w:r>
        <w:rPr>
          <w:rFonts w:ascii="Arial" w:cs="Arial" w:eastAsia="Arial" w:hAnsi="Arial"/>
          <w:sz w:val="16"/>
          <w:szCs w:val="16"/>
          <w:color w:val="auto"/>
        </w:rPr>
        <w:t>For the year ended December 31, 2020, aggregate stock options and stock awards of 7.1 million and 5.2 million, respectively, were excluded from the diluted share calculation because their effect would have been anti-dilutive. All potentially dilutive items were excluded from the diluted share calculation for the years ended December 31, 2019 and 2018 because their effect would have been anti-dilutive as the Company was in a loss position.</w:t>
      </w:r>
    </w:p>
    <w:p>
      <w:pPr>
        <w:spacing w:after="0" w:line="253" w:lineRule="exact"/>
        <w:rPr>
          <w:sz w:val="20"/>
          <w:szCs w:val="20"/>
          <w:color w:val="auto"/>
        </w:rPr>
      </w:pPr>
    </w:p>
    <w:p>
      <w:pPr>
        <w:ind w:right="3780"/>
        <w:spacing w:after="0" w:line="378" w:lineRule="auto"/>
        <w:rPr>
          <w:sz w:val="20"/>
          <w:szCs w:val="20"/>
          <w:color w:val="auto"/>
        </w:rPr>
      </w:pPr>
      <w:r>
        <w:rPr>
          <w:rFonts w:ascii="Arial" w:cs="Arial" w:eastAsia="Arial" w:hAnsi="Arial"/>
          <w:sz w:val="18"/>
          <w:szCs w:val="18"/>
          <w:b w:val="1"/>
          <w:bCs w:val="1"/>
          <w:color w:val="auto"/>
        </w:rPr>
        <w:t>NOTE 23. SAVINGS AND INVESTMENT PLAN AND DEFERRED COMPENSATION PLANS Savings and Investment Plan</w:t>
      </w:r>
    </w:p>
    <w:p>
      <w:pPr>
        <w:jc w:val="both"/>
        <w:ind w:right="20" w:firstLine="486"/>
        <w:spacing w:after="0" w:line="311" w:lineRule="auto"/>
        <w:rPr>
          <w:sz w:val="20"/>
          <w:szCs w:val="20"/>
          <w:color w:val="auto"/>
        </w:rPr>
      </w:pPr>
      <w:r>
        <w:rPr>
          <w:rFonts w:ascii="Arial" w:cs="Arial" w:eastAsia="Arial" w:hAnsi="Arial"/>
          <w:sz w:val="16"/>
          <w:szCs w:val="16"/>
          <w:color w:val="auto"/>
        </w:rPr>
        <w:t>The Company maintains a defined contribution Savings and Investment Plan (the Endo 401(k) Plan) covering all U.S.-based eligible employees. The Company matches 100% of the first 3% of eligible cash compensation that a participant contributes to the Endo 401(k) Plan plus 50% of the next 2% for a total of up to 4%, subject to statutory limitations. The Company’s matching contributions generally vest ratably over a two-year period.</w:t>
      </w:r>
    </w:p>
    <w:p>
      <w:pPr>
        <w:spacing w:after="0" w:line="4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Costs incurred for contributions made by the Company to the Endo 401(k) Plan amounted to $7.6 million, $7.4 million and $6.4 million for the years ended December 31, 2020, 2019 and 2018,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Stock Election Plan</w:t>
      </w:r>
    </w:p>
    <w:p>
      <w:pPr>
        <w:spacing w:after="0" w:line="121" w:lineRule="exact"/>
        <w:rPr>
          <w:sz w:val="20"/>
          <w:szCs w:val="20"/>
          <w:color w:val="auto"/>
        </w:rPr>
      </w:pPr>
    </w:p>
    <w:p>
      <w:pPr>
        <w:jc w:val="both"/>
        <w:ind w:right="160" w:firstLine="486"/>
        <w:spacing w:after="0" w:line="311" w:lineRule="auto"/>
        <w:rPr>
          <w:sz w:val="20"/>
          <w:szCs w:val="20"/>
          <w:color w:val="auto"/>
        </w:rPr>
      </w:pPr>
      <w:r>
        <w:rPr>
          <w:rFonts w:ascii="Arial" w:cs="Arial" w:eastAsia="Arial" w:hAnsi="Arial"/>
          <w:sz w:val="16"/>
          <w:szCs w:val="16"/>
          <w:color w:val="auto"/>
        </w:rPr>
        <w:t>The Company maintains a directors stock election plan. The purpose of this plan is to provide non-employee directors the opportunity to have their cash retainer fees, or a portion thereof, delivered in the form of Endo ordinary shares. The amount of shares will be determined by dividing the portion of cash fees elected to be received as shares by the closing price of the shares on the day the payment would have otherwise been paid in cash.</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QUARTERLY FINANCIAL DATA (UNAUDITED)</w:t>
      </w:r>
    </w:p>
    <w:p>
      <w:pPr>
        <w:spacing w:after="0" w:line="121"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following table presents select unaudited financial data for each of the three-month periods ending March 31, 2020, June 30, 2020, September 30, 2020 and December 31, 2020, as well as the comparable 2019 periods (in thousands, except per share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7"/>
        </w:trPr>
        <w:tc>
          <w:tcPr>
            <w:tcW w:w="5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r>
      <w:tr>
        <w:trPr>
          <w:trHeight w:val="211"/>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2020 (1)</w:t>
            </w: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820,405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687,588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634,860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760,221</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390,682</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157,581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17,610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(68,974)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141,247</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 net of tax</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(21,904)</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129,930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10,558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(75,887)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119,343</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share—Basic:</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0.61</w:t>
            </w: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23"/>
        </w:trPr>
        <w:tc>
          <w:tcPr>
            <w:tcW w:w="5480" w:type="dxa"/>
            <w:vAlign w:val="bottom"/>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5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per share—Diluted:</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0.60</w:t>
            </w: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23"/>
        </w:trPr>
        <w:tc>
          <w:tcPr>
            <w:tcW w:w="5480" w:type="dxa"/>
            <w:vAlign w:val="bottom"/>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shares—Basic</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230,301</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Weighted average shares—Diluted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233,014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233,681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230,040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234,474</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2019 (2)</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720,411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699,727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729,426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764,800</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364,744</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Loss from continuing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(12,612)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(98,052)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(41,431)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(208,489)</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 net of tax</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(10,154)</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(18,573)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(106,005)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(79,415)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(218,643)</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share—Basic:</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(0.92)</w:t>
            </w: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23"/>
        </w:trPr>
        <w:tc>
          <w:tcPr>
            <w:tcW w:w="5480" w:type="dxa"/>
            <w:vAlign w:val="bottom"/>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(0.96)</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5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per share—Diluted:</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(0.92)</w:t>
            </w: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23"/>
        </w:trPr>
        <w:tc>
          <w:tcPr>
            <w:tcW w:w="5480" w:type="dxa"/>
            <w:vAlign w:val="bottom"/>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(0.96)</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shares—Basic</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226,787</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Weighted average shares—Diluted</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224,594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226,221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226,598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226,787</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17" w:lineRule="exact"/>
        <w:rPr>
          <w:sz w:val="20"/>
          <w:szCs w:val="20"/>
          <w:color w:val="auto"/>
        </w:rPr>
      </w:pPr>
    </w:p>
    <w:p>
      <w:pPr>
        <w:ind w:left="580" w:right="60" w:hanging="329"/>
        <w:spacing w:after="0" w:line="260" w:lineRule="auto"/>
        <w:tabs>
          <w:tab w:leader="none" w:pos="572" w:val="left"/>
        </w:tabs>
        <w:numPr>
          <w:ilvl w:val="0"/>
          <w:numId w:val="91"/>
        </w:numPr>
        <w:rPr>
          <w:rFonts w:ascii="Arial" w:cs="Arial" w:eastAsia="Arial" w:hAnsi="Arial"/>
          <w:sz w:val="13"/>
          <w:szCs w:val="13"/>
          <w:color w:val="auto"/>
        </w:rPr>
      </w:pPr>
      <w:r>
        <w:rPr>
          <w:rFonts w:ascii="Arial" w:cs="Arial" w:eastAsia="Arial" w:hAnsi="Arial"/>
          <w:sz w:val="13"/>
          <w:szCs w:val="13"/>
          <w:color w:val="auto"/>
        </w:rPr>
        <w:t>Income (loss) from continuing operations for the year ended December 31, 2020 was impacted by (i) acquisition-related and integration items, net of $12.5 million, $6.0 million, $(1.4) million and $(0.6) million during the first, second, third and fourth quarters, respectively, which related primarily to changes in the fair value of contingent consideration, (ii) asset impairment charges of $97.8 million, $8.4 million and $14.1 million during the first, third and fourth quarters, respectively, (iii) certain continuity and separation benefits and other cost reduction initiatives of $23.2 million, $9.4 million, $67.7 million and $25.9 million during the first, second, third and fourth quarters, respectively, (iv) amounts related to litigation-related and other contingent matters totaling $(17.2) million, $(8.6) million, $1.8 million and $4.9 million during the first, second, third and fourth quarters, respectively, and (v) amounts related to sales of businesses and other assets of $(8.2) million, $(6.7) million, $(1.9) million and $0.4 million during the first, second, third and fourth quarters, respectively.</w:t>
      </w:r>
    </w:p>
    <w:p>
      <w:pPr>
        <w:ind w:left="580" w:right="20" w:hanging="329"/>
        <w:spacing w:after="0" w:line="243" w:lineRule="auto"/>
        <w:tabs>
          <w:tab w:leader="none" w:pos="572" w:val="left"/>
        </w:tabs>
        <w:numPr>
          <w:ilvl w:val="0"/>
          <w:numId w:val="91"/>
        </w:numPr>
        <w:rPr>
          <w:rFonts w:ascii="Arial" w:cs="Arial" w:eastAsia="Arial" w:hAnsi="Arial"/>
          <w:sz w:val="14"/>
          <w:szCs w:val="14"/>
          <w:color w:val="auto"/>
        </w:rPr>
      </w:pPr>
      <w:r>
        <w:rPr>
          <w:rFonts w:ascii="Arial" w:cs="Arial" w:eastAsia="Arial" w:hAnsi="Arial"/>
          <w:sz w:val="14"/>
          <w:szCs w:val="14"/>
          <w:color w:val="auto"/>
        </w:rPr>
        <w:t>Loss from continuing operations for the year ended December 31, 2019 was impacted by (i) acquisition-related and integration items, net of $(37.5) million, $(5.5) million, $16.0 million and $(19.1) million during the first, second, third and fourth quarters, respectively, which related primarily to changes in the fair value of contingent consideration, (ii) asset impairment charges of $165.4 million, $88.4 million, $4.8 million and $267.4 million during the first, second, third and fourth quarters, respectively, (iii) certain continuity and separation benefits and other cost reduction initiatives of $2.0 million, $2.1 million, $11.0 million and $19.4 million during the first, second, third and fourth quarters, respectively, (iv) a gain on extinguishment of debt of $(119.8) million during the first quarter, (v) amounts related to litigation-related and other contingent matters totaling $10.3 million, $(14.4) million and $15.3 million during the second, third and fourth quarters, respectively, and (vi) amounts related to sales of businesses and other assets of $1.3 million, $(2.5) million, $(1.9) million and $(3.3) million during the first, second, third and fourth quarters, respectively.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The operating results of the Astora business are reported as Discontinued operations, net of tax in the Consolidated Statements of Operations for all periods presented. For additional information, see Note 3. Discontinued Operations. Quarterly and year-to-date computations of per share amounts are made independently; therefore, the sum of the per share amounts for the quarters may not equal the per share amounts for the year.</w:t>
      </w:r>
    </w:p>
    <w:p>
      <w:pPr>
        <w:spacing w:after="0" w:line="3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20"/>
          </w:cols>
          <w:pgMar w:left="320" w:top="118" w:right="459" w:bottom="1440" w:gutter="0" w:footer="0" w:header="0"/>
        </w:sectPr>
      </w:pPr>
    </w:p>
    <w:bookmarkStart w:id="145" w:name="page146"/>
    <w:bookmarkEnd w:id="145"/>
    <w:p>
      <w:pPr>
        <w:jc w:val="right"/>
        <w:spacing w:after="0"/>
        <w:rPr>
          <w:sz w:val="20"/>
          <w:szCs w:val="20"/>
          <w:color w:val="auto"/>
        </w:rPr>
      </w:pPr>
      <w:r>
        <w:rPr>
          <w:rFonts w:ascii="Arial" w:cs="Arial" w:eastAsia="Arial" w:hAnsi="Arial"/>
          <w:sz w:val="22"/>
          <w:szCs w:val="22"/>
          <w:b w:val="1"/>
          <w:bCs w:val="1"/>
          <w:color w:val="auto"/>
        </w:rPr>
        <w:t>Exhibit 4.1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REGISTRANT’S SECURITIES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REGISTERED PURSUANT TO SECTION 12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88" w:lineRule="exact"/>
        <w:rPr>
          <w:sz w:val="20"/>
          <w:szCs w:val="20"/>
          <w:color w:val="auto"/>
        </w:rPr>
      </w:pPr>
    </w:p>
    <w:p>
      <w:pPr>
        <w:ind w:right="220"/>
        <w:spacing w:after="0" w:line="228" w:lineRule="auto"/>
        <w:rPr>
          <w:sz w:val="20"/>
          <w:szCs w:val="20"/>
          <w:color w:val="auto"/>
        </w:rPr>
      </w:pPr>
      <w:r>
        <w:rPr>
          <w:rFonts w:ascii="Arial" w:cs="Arial" w:eastAsia="Arial" w:hAnsi="Arial"/>
          <w:sz w:val="22"/>
          <w:szCs w:val="22"/>
          <w:color w:val="auto"/>
        </w:rPr>
        <w:t>As of the date of our annual report on Form 10-K of which this exhibit is a part, we have the following class of securities registered pursuant to Section 12 of the Securities Exchange Act of 1934, as amended (the “Exchange Act”): ordinary shares of Endo International plc (the “Company”), par value $0.0001 per share (the “Ordinary Shares”), which is the only security of the Company registered under the Exchange Act.</w:t>
      </w:r>
    </w:p>
    <w:p>
      <w:pPr>
        <w:spacing w:after="0" w:line="173" w:lineRule="exact"/>
        <w:rPr>
          <w:sz w:val="20"/>
          <w:szCs w:val="20"/>
          <w:color w:val="auto"/>
        </w:rPr>
      </w:pPr>
    </w:p>
    <w:p>
      <w:pPr>
        <w:ind w:right="820"/>
        <w:spacing w:after="0" w:line="239" w:lineRule="auto"/>
        <w:rPr>
          <w:sz w:val="20"/>
          <w:szCs w:val="20"/>
          <w:color w:val="auto"/>
        </w:rPr>
      </w:pPr>
      <w:r>
        <w:rPr>
          <w:rFonts w:ascii="Arial" w:cs="Arial" w:eastAsia="Arial" w:hAnsi="Arial"/>
          <w:sz w:val="22"/>
          <w:szCs w:val="22"/>
          <w:color w:val="auto"/>
        </w:rPr>
        <w:t>Except as otherwise indicated or the context otherwise requires, the terms “Company,” “we,” “us” and “our” mean Endo International plc and all entities included in its consolidated financial statements.</w:t>
      </w:r>
    </w:p>
    <w:p>
      <w:pPr>
        <w:spacing w:after="0" w:line="171" w:lineRule="exact"/>
        <w:rPr>
          <w:sz w:val="20"/>
          <w:szCs w:val="20"/>
          <w:color w:val="auto"/>
        </w:rPr>
      </w:pPr>
    </w:p>
    <w:p>
      <w:pPr>
        <w:jc w:val="both"/>
        <w:ind w:right="280"/>
        <w:spacing w:after="0" w:line="231" w:lineRule="auto"/>
        <w:rPr>
          <w:sz w:val="20"/>
          <w:szCs w:val="20"/>
          <w:color w:val="auto"/>
        </w:rPr>
      </w:pPr>
      <w:r>
        <w:rPr>
          <w:rFonts w:ascii="Arial" w:cs="Arial" w:eastAsia="Arial" w:hAnsi="Arial"/>
          <w:sz w:val="22"/>
          <w:szCs w:val="22"/>
          <w:i w:val="1"/>
          <w:iCs w:val="1"/>
          <w:color w:val="auto"/>
        </w:rPr>
        <w:t>Set forth below is a summary description of the material terms of our Ordinary Shares, which does not purport to be complete. For more information, please see our certificate of incorporation and memorandum and articles of association, each of which are incorporated by reference as an exhibit to our annual report on Form 10-K.</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85" w:lineRule="exact"/>
        <w:rPr>
          <w:sz w:val="20"/>
          <w:szCs w:val="20"/>
          <w:color w:val="auto"/>
        </w:rPr>
      </w:pPr>
    </w:p>
    <w:p>
      <w:pPr>
        <w:jc w:val="both"/>
        <w:ind w:right="280"/>
        <w:spacing w:after="0" w:line="313" w:lineRule="auto"/>
        <w:rPr>
          <w:sz w:val="20"/>
          <w:szCs w:val="20"/>
          <w:color w:val="auto"/>
        </w:rPr>
      </w:pPr>
      <w:r>
        <w:rPr>
          <w:rFonts w:ascii="Arial" w:cs="Arial" w:eastAsia="Arial" w:hAnsi="Arial"/>
          <w:sz w:val="19"/>
          <w:szCs w:val="19"/>
          <w:color w:val="auto"/>
        </w:rPr>
        <w:t>The Company is authorized to issue 1,000,000,000 Ordinary Shares, par value $0.0001 per share, of which 230,500,639 shares were issued and outstanding as of February 18, 2021. There are no sinking fund rights with respect to our Ordinary Shares.</w:t>
      </w:r>
    </w:p>
    <w:p>
      <w:pPr>
        <w:spacing w:after="0" w:line="92" w:lineRule="exact"/>
        <w:rPr>
          <w:sz w:val="20"/>
          <w:szCs w:val="20"/>
          <w:color w:val="auto"/>
        </w:rPr>
      </w:pPr>
    </w:p>
    <w:p>
      <w:pPr>
        <w:ind w:right="140"/>
        <w:spacing w:after="0" w:line="231" w:lineRule="auto"/>
        <w:rPr>
          <w:sz w:val="20"/>
          <w:szCs w:val="20"/>
          <w:color w:val="auto"/>
        </w:rPr>
      </w:pPr>
      <w:r>
        <w:rPr>
          <w:rFonts w:ascii="Arial" w:cs="Arial" w:eastAsia="Arial" w:hAnsi="Arial"/>
          <w:sz w:val="21"/>
          <w:szCs w:val="21"/>
          <w:color w:val="auto"/>
        </w:rPr>
        <w:t>We may issue shares subject to the maximum authorized share capital contained in our memorandum and articles of association. The authorized share capital may be increased or reduced by a resolution approved by a simple majority of the votes cast at a general meeting of our shareholders at which a quorum is present (referred to under Irish law as an “ordinary resolution”). The shares comprising our authorized share capital may be divided into shares of such nominal value as the resolution shall prescribe. As a matter of Irish company law, the directors of a company may issue new Ordinary Shares without shareholder approval once authorized to do so by the memorandum and articles of association or by an ordinary resolution adopted by the shareholders at a general meeting. The authorization must include the maximum amount that may be allotted and may be granted for a maximum period of five years, at which point it must be renewed by the shareholders by an ordinary resolution. Our shareholders adopted an ordinary resolution at the 2020 annual general meeting of the Company on June 11, 2020 authorizing our directors to issue up to an aggregate nominal amount of $7,580 (being equivalent to approximately 33% of the aggregate nominal value of the issued ordinary share capital of the Company as of April 13, 2020), for a period of 18 months from June 11, 2020.</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The rights and restrictions to which our Ordinary Shares are subject are prescribed in our articles of association.</w:t>
      </w:r>
    </w:p>
    <w:p>
      <w:pPr>
        <w:spacing w:after="0" w:line="166" w:lineRule="exact"/>
        <w:rPr>
          <w:sz w:val="20"/>
          <w:szCs w:val="20"/>
          <w:color w:val="auto"/>
        </w:rPr>
      </w:pPr>
    </w:p>
    <w:p>
      <w:pPr>
        <w:ind w:right="240"/>
        <w:spacing w:after="0" w:line="282" w:lineRule="auto"/>
        <w:rPr>
          <w:sz w:val="20"/>
          <w:szCs w:val="20"/>
          <w:color w:val="auto"/>
        </w:rPr>
      </w:pPr>
      <w:r>
        <w:rPr>
          <w:rFonts w:ascii="Arial" w:cs="Arial" w:eastAsia="Arial" w:hAnsi="Arial"/>
          <w:sz w:val="19"/>
          <w:szCs w:val="19"/>
          <w:color w:val="auto"/>
        </w:rPr>
        <w:t>We may, by ordinary resolution and without obtaining any vote or consent of the holders of any class or series of shares, unless expressly provided by the terms of that class or series of shares, provide from time to time for the issuance of other classes or series of shares and to establish the characteristics of each class or series, including the number of shares, designations, relative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08" w:right="339" w:bottom="1440" w:gutter="0" w:footer="0" w:header="0"/>
        </w:sectPr>
      </w:pPr>
    </w:p>
    <w:bookmarkStart w:id="146" w:name="page147"/>
    <w:bookmarkEnd w:id="146"/>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1"/>
          <w:szCs w:val="21"/>
          <w:color w:val="auto"/>
        </w:rPr>
        <w:t>voting rights, dividend rights, liquidation and other rights, redemption, repurchase or exchange rights and any other preferences and relative, participating, optional or other rights and limitations not inconsistent with applicable law.</w:t>
      </w:r>
    </w:p>
    <w:p>
      <w:pPr>
        <w:spacing w:after="0" w:line="125" w:lineRule="exact"/>
        <w:rPr>
          <w:sz w:val="20"/>
          <w:szCs w:val="20"/>
          <w:color w:val="auto"/>
        </w:rPr>
      </w:pPr>
    </w:p>
    <w:p>
      <w:pPr>
        <w:ind w:right="420"/>
        <w:spacing w:after="0" w:line="239" w:lineRule="auto"/>
        <w:rPr>
          <w:sz w:val="20"/>
          <w:szCs w:val="20"/>
          <w:color w:val="auto"/>
        </w:rPr>
      </w:pPr>
      <w:r>
        <w:rPr>
          <w:rFonts w:ascii="Arial" w:cs="Arial" w:eastAsia="Arial" w:hAnsi="Arial"/>
          <w:sz w:val="22"/>
          <w:szCs w:val="22"/>
          <w:color w:val="auto"/>
        </w:rPr>
        <w:t>Irish law does not recognize fractional shares held of record. Accordingly, our articles of association do not provide for the issuance of fractional shares and our official Irish register will not reflect any fractional shares.</w:t>
      </w:r>
    </w:p>
    <w:p>
      <w:pPr>
        <w:spacing w:after="0" w:line="158" w:lineRule="exact"/>
        <w:rPr>
          <w:sz w:val="20"/>
          <w:szCs w:val="20"/>
          <w:color w:val="auto"/>
        </w:rPr>
      </w:pPr>
    </w:p>
    <w:p>
      <w:pPr>
        <w:ind w:right="40"/>
        <w:spacing w:after="0" w:line="224" w:lineRule="auto"/>
        <w:rPr>
          <w:sz w:val="20"/>
          <w:szCs w:val="20"/>
          <w:color w:val="auto"/>
        </w:rPr>
      </w:pPr>
      <w:r>
        <w:rPr>
          <w:rFonts w:ascii="Arial" w:cs="Arial" w:eastAsia="Arial" w:hAnsi="Arial"/>
          <w:sz w:val="22"/>
          <w:szCs w:val="22"/>
          <w:color w:val="auto"/>
        </w:rPr>
        <w:t>Whenever an issuance, alteration, reorganization, consolidation, division or subdivision of our share capital would result in any shareholder becoming entitled to fractions of a share, no such fractions shall be issued or delivered to any shareholder. All such fractions of a share will be aggregated into whole shares and sold in the open market at prevailing market prices and the aggregate cash proceeds from such sale (net of tax, commissions, costs and other expenses) shall be distributed on a pro rata basis, rounding down to the nearest cent, to each shareholder who would otherwise have been entitled to receive fractions of a share.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Ordinary Shares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Voting</w:t>
      </w:r>
    </w:p>
    <w:p>
      <w:pPr>
        <w:spacing w:after="0" w:line="179" w:lineRule="exact"/>
        <w:rPr>
          <w:sz w:val="20"/>
          <w:szCs w:val="20"/>
          <w:color w:val="auto"/>
        </w:rPr>
      </w:pPr>
    </w:p>
    <w:p>
      <w:pPr>
        <w:ind w:right="40"/>
        <w:spacing w:after="0" w:line="231" w:lineRule="auto"/>
        <w:rPr>
          <w:sz w:val="20"/>
          <w:szCs w:val="20"/>
          <w:color w:val="auto"/>
        </w:rPr>
      </w:pPr>
      <w:r>
        <w:rPr>
          <w:rFonts w:ascii="Arial" w:cs="Arial" w:eastAsia="Arial" w:hAnsi="Arial"/>
          <w:sz w:val="22"/>
          <w:szCs w:val="22"/>
          <w:color w:val="auto"/>
        </w:rPr>
        <w:t>Each of our shareholders is entitled to one vote for each Ordinary Share that he or she holds as of the record date for the meeting. Voting rights may be exercised by shareholders registered in our share register as of the record date for the meeting or by a duly appointed proxy, which proxy need not be a Company shareholder.</w:t>
      </w:r>
    </w:p>
    <w:p>
      <w:pPr>
        <w:spacing w:after="0" w:line="161" w:lineRule="exact"/>
        <w:rPr>
          <w:sz w:val="20"/>
          <w:szCs w:val="20"/>
          <w:color w:val="auto"/>
        </w:rPr>
      </w:pPr>
    </w:p>
    <w:p>
      <w:pPr>
        <w:ind w:right="160"/>
        <w:spacing w:after="0" w:line="228" w:lineRule="auto"/>
        <w:rPr>
          <w:sz w:val="20"/>
          <w:szCs w:val="20"/>
          <w:color w:val="auto"/>
        </w:rPr>
      </w:pPr>
      <w:r>
        <w:rPr>
          <w:rFonts w:ascii="Arial" w:cs="Arial" w:eastAsia="Arial" w:hAnsi="Arial"/>
          <w:sz w:val="22"/>
          <w:szCs w:val="22"/>
          <w:color w:val="auto"/>
        </w:rPr>
        <w:t>Irish law requires special resolutions of our shareholders at a general meeting to approve certain matters. A special resolution requires the approval of three-quarters of the votes of our shareholders cast at a general meeting at which a quorum is present. Ordinary resolutions, by contrast, require the approval of a simple majority of shareholders at a general meeting at which a quorum is present.</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color w:val="auto"/>
        </w:rPr>
        <w:t>Examples of matters requiring special resolutions include:</w:t>
      </w:r>
    </w:p>
    <w:p>
      <w:pPr>
        <w:ind w:left="660" w:hanging="328"/>
        <w:spacing w:after="0" w:line="217" w:lineRule="auto"/>
        <w:tabs>
          <w:tab w:leader="none" w:pos="6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amending the objects or our memorandum of association;</w:t>
      </w:r>
    </w:p>
    <w:p>
      <w:pPr>
        <w:ind w:left="660" w:hanging="328"/>
        <w:spacing w:after="0" w:line="217" w:lineRule="auto"/>
        <w:tabs>
          <w:tab w:leader="none" w:pos="6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amending our articles of association;</w:t>
      </w:r>
    </w:p>
    <w:p>
      <w:pPr>
        <w:ind w:left="660" w:hanging="328"/>
        <w:spacing w:after="0" w:line="217" w:lineRule="auto"/>
        <w:tabs>
          <w:tab w:leader="none" w:pos="6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approving a change in our name;</w:t>
      </w:r>
    </w:p>
    <w:p>
      <w:pPr>
        <w:ind w:left="660" w:right="560" w:hanging="328"/>
        <w:spacing w:after="0" w:line="217" w:lineRule="auto"/>
        <w:tabs>
          <w:tab w:leader="none" w:pos="655" w:val="left"/>
        </w:tabs>
        <w:numPr>
          <w:ilvl w:val="0"/>
          <w:numId w:val="92"/>
        </w:numPr>
        <w:rPr>
          <w:rFonts w:ascii="Arial" w:cs="Arial" w:eastAsia="Arial" w:hAnsi="Arial"/>
          <w:sz w:val="22"/>
          <w:szCs w:val="22"/>
          <w:color w:val="auto"/>
        </w:rPr>
      </w:pPr>
      <w:r>
        <w:rPr>
          <w:rFonts w:ascii="Arial" w:cs="Arial" w:eastAsia="Arial" w:hAnsi="Arial"/>
          <w:sz w:val="22"/>
          <w:szCs w:val="22"/>
          <w:color w:val="auto"/>
        </w:rPr>
        <w:t>authorizing the entering into of a guarantee or provision of security in connection with a loan, quasi-loan or credit transaction to a director or connected person;</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opting out of pre-emption rights on the issuance of new shares;</w:t>
      </w:r>
    </w:p>
    <w:p>
      <w:pPr>
        <w:ind w:left="660" w:hanging="328"/>
        <w:spacing w:after="0" w:line="217" w:lineRule="auto"/>
        <w:tabs>
          <w:tab w:leader="none" w:pos="6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our re-registration from a public limited company to a private company;</w:t>
      </w:r>
    </w:p>
    <w:p>
      <w:pPr>
        <w:ind w:left="660" w:hanging="328"/>
        <w:spacing w:after="0"/>
        <w:tabs>
          <w:tab w:leader="none" w:pos="660" w:val="left"/>
        </w:tabs>
        <w:numPr>
          <w:ilvl w:val="0"/>
          <w:numId w:val="92"/>
        </w:numPr>
        <w:rPr>
          <w:rFonts w:ascii="Arial" w:cs="Arial" w:eastAsia="Arial" w:hAnsi="Arial"/>
          <w:sz w:val="19"/>
          <w:szCs w:val="19"/>
          <w:color w:val="auto"/>
        </w:rPr>
      </w:pPr>
      <w:r>
        <w:rPr>
          <w:rFonts w:ascii="Arial" w:cs="Arial" w:eastAsia="Arial" w:hAnsi="Arial"/>
          <w:sz w:val="19"/>
          <w:szCs w:val="19"/>
          <w:color w:val="auto"/>
        </w:rPr>
        <w:t>variation of class rights attaching to classes of shares (where our articles of association do not provide otherwise);</w:t>
      </w:r>
    </w:p>
    <w:p>
      <w:pPr>
        <w:spacing w:after="0" w:line="11" w:lineRule="exact"/>
        <w:rPr>
          <w:rFonts w:ascii="Arial" w:cs="Arial" w:eastAsia="Arial" w:hAnsi="Arial"/>
          <w:sz w:val="19"/>
          <w:szCs w:val="19"/>
          <w:color w:val="auto"/>
        </w:rPr>
      </w:pPr>
    </w:p>
    <w:p>
      <w:pPr>
        <w:ind w:left="660" w:hanging="328"/>
        <w:spacing w:after="0" w:line="217" w:lineRule="auto"/>
        <w:tabs>
          <w:tab w:leader="none" w:pos="6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purchase of our Ordinary Shares off market;</w:t>
      </w:r>
    </w:p>
    <w:p>
      <w:pPr>
        <w:ind w:left="660" w:hanging="328"/>
        <w:spacing w:after="0" w:line="217" w:lineRule="auto"/>
        <w:tabs>
          <w:tab w:leader="none" w:pos="6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reduction of issued share capital;</w:t>
      </w:r>
    </w:p>
    <w:p>
      <w:pPr>
        <w:ind w:left="660" w:hanging="328"/>
        <w:spacing w:after="0" w:line="217" w:lineRule="auto"/>
        <w:tabs>
          <w:tab w:leader="none" w:pos="6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resolving that we be wound up by the Irish courts;</w:t>
      </w:r>
    </w:p>
    <w:p>
      <w:pPr>
        <w:ind w:left="660" w:hanging="328"/>
        <w:spacing w:after="0" w:line="217" w:lineRule="auto"/>
        <w:tabs>
          <w:tab w:leader="none" w:pos="6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resolving in favor of a shareholders’ voluntary winding-up;</w:t>
      </w:r>
    </w:p>
    <w:p>
      <w:pPr>
        <w:ind w:left="660" w:hanging="328"/>
        <w:spacing w:after="0" w:line="217" w:lineRule="auto"/>
        <w:tabs>
          <w:tab w:leader="none" w:pos="6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re-designation of shares into different share classes; and</w:t>
      </w:r>
    </w:p>
    <w:p>
      <w:pPr>
        <w:ind w:left="660" w:hanging="328"/>
        <w:spacing w:after="0"/>
        <w:tabs>
          <w:tab w:leader="none" w:pos="660" w:val="left"/>
        </w:tabs>
        <w:numPr>
          <w:ilvl w:val="0"/>
          <w:numId w:val="92"/>
        </w:numPr>
        <w:rPr>
          <w:rFonts w:ascii="Arial" w:cs="Arial" w:eastAsia="Arial" w:hAnsi="Arial"/>
          <w:sz w:val="22"/>
          <w:szCs w:val="22"/>
          <w:i w:val="1"/>
          <w:iCs w:val="1"/>
          <w:color w:val="auto"/>
        </w:rPr>
      </w:pPr>
      <w:r>
        <w:rPr>
          <w:rFonts w:ascii="Arial" w:cs="Arial" w:eastAsia="Arial" w:hAnsi="Arial"/>
          <w:sz w:val="22"/>
          <w:szCs w:val="22"/>
          <w:color w:val="auto"/>
        </w:rPr>
        <w:t>setting the re-issue price of treasury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040"/>
          </w:cols>
          <w:pgMar w:left="320" w:top="1440" w:right="539" w:bottom="1440" w:gutter="0" w:footer="0" w:header="0"/>
        </w:sectPr>
      </w:pPr>
    </w:p>
    <w:bookmarkStart w:id="147" w:name="page148"/>
    <w:bookmarkEnd w:id="147"/>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Variation of Rights Attaching to a Class or Series of Shares</w:t>
      </w:r>
    </w:p>
    <w:p>
      <w:pPr>
        <w:spacing w:after="0" w:line="166" w:lineRule="exact"/>
        <w:rPr>
          <w:sz w:val="20"/>
          <w:szCs w:val="20"/>
          <w:color w:val="auto"/>
        </w:rPr>
      </w:pPr>
    </w:p>
    <w:p>
      <w:pPr>
        <w:ind w:right="500"/>
        <w:spacing w:after="0" w:line="239" w:lineRule="auto"/>
        <w:rPr>
          <w:sz w:val="20"/>
          <w:szCs w:val="20"/>
          <w:color w:val="auto"/>
        </w:rPr>
      </w:pPr>
      <w:r>
        <w:rPr>
          <w:rFonts w:ascii="Arial" w:cs="Arial" w:eastAsia="Arial" w:hAnsi="Arial"/>
          <w:sz w:val="22"/>
          <w:szCs w:val="22"/>
          <w:color w:val="auto"/>
        </w:rPr>
        <w:t>Neither Irish company law nor any of our constitutional documents place limitations on the right of non-resident or foreign owners to vote or hold our Ordinary Shares.</w:t>
      </w:r>
    </w:p>
    <w:p>
      <w:pPr>
        <w:spacing w:after="0" w:line="158" w:lineRule="exact"/>
        <w:rPr>
          <w:sz w:val="20"/>
          <w:szCs w:val="20"/>
          <w:color w:val="auto"/>
        </w:rPr>
      </w:pPr>
    </w:p>
    <w:p>
      <w:pPr>
        <w:ind w:right="540"/>
        <w:spacing w:after="0" w:line="244" w:lineRule="auto"/>
        <w:rPr>
          <w:sz w:val="20"/>
          <w:szCs w:val="20"/>
          <w:color w:val="auto"/>
        </w:rPr>
      </w:pPr>
      <w:r>
        <w:rPr>
          <w:rFonts w:ascii="Arial" w:cs="Arial" w:eastAsia="Arial" w:hAnsi="Arial"/>
          <w:sz w:val="21"/>
          <w:szCs w:val="21"/>
          <w:color w:val="auto"/>
        </w:rPr>
        <w:t>Under our articles of association and the Irish Companies Act 2014 (the “Companies Act”), any variation of class rights attaching to our issued shares must be approved by a special resolution of the shareholders of the affected class or with the consent in writing of the holders of three-quarters of all the votes of that class of shares.</w:t>
      </w:r>
    </w:p>
    <w:p>
      <w:pPr>
        <w:spacing w:after="0" w:line="154" w:lineRule="exact"/>
        <w:rPr>
          <w:sz w:val="20"/>
          <w:szCs w:val="20"/>
          <w:color w:val="auto"/>
        </w:rPr>
      </w:pPr>
    </w:p>
    <w:p>
      <w:pPr>
        <w:ind w:right="60"/>
        <w:spacing w:after="0" w:line="228" w:lineRule="auto"/>
        <w:rPr>
          <w:sz w:val="20"/>
          <w:szCs w:val="20"/>
          <w:color w:val="auto"/>
        </w:rPr>
      </w:pPr>
      <w:r>
        <w:rPr>
          <w:rFonts w:ascii="Arial" w:cs="Arial" w:eastAsia="Arial" w:hAnsi="Arial"/>
          <w:sz w:val="22"/>
          <w:szCs w:val="22"/>
          <w:color w:val="auto"/>
        </w:rPr>
        <w:t>The provisions of our articles of association relating to general meetings apply to general meetings of the holders of any class of shares except that the necessary quorum is determined in reference to the shares of the holders of the class. Accordingly, for general meetings of holders of a particular class of shares, a quorum consists of one or more persons holding or representing by proxy at least one-half of the issued shares of the class.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Dividends</w:t>
      </w:r>
    </w:p>
    <w:p>
      <w:pPr>
        <w:spacing w:after="0" w:line="179" w:lineRule="exact"/>
        <w:rPr>
          <w:sz w:val="20"/>
          <w:szCs w:val="20"/>
          <w:color w:val="auto"/>
        </w:rPr>
      </w:pPr>
    </w:p>
    <w:p>
      <w:pPr>
        <w:ind w:right="80"/>
        <w:spacing w:after="0" w:line="228" w:lineRule="auto"/>
        <w:rPr>
          <w:sz w:val="20"/>
          <w:szCs w:val="20"/>
          <w:color w:val="auto"/>
        </w:rPr>
      </w:pPr>
      <w:r>
        <w:rPr>
          <w:rFonts w:ascii="Arial" w:cs="Arial" w:eastAsia="Arial" w:hAnsi="Arial"/>
          <w:sz w:val="22"/>
          <w:szCs w:val="22"/>
          <w:color w:val="auto"/>
        </w:rPr>
        <w:t>Our memorandum and articles of association authorize our board of directors to declare dividends without shareholder approval to the extent they appear justified by profits. Our board of directors may also recommend a dividend to be approved and declared by the shareholders at a general meeting. No dividend issued may exceed the amount recommended by our board of directors.</w:t>
      </w:r>
    </w:p>
    <w:p>
      <w:pPr>
        <w:spacing w:after="0" w:line="159" w:lineRule="exact"/>
        <w:rPr>
          <w:sz w:val="20"/>
          <w:szCs w:val="20"/>
          <w:color w:val="auto"/>
        </w:rPr>
      </w:pPr>
    </w:p>
    <w:p>
      <w:pPr>
        <w:jc w:val="both"/>
        <w:ind w:right="160"/>
        <w:spacing w:after="0" w:line="231" w:lineRule="auto"/>
        <w:rPr>
          <w:sz w:val="20"/>
          <w:szCs w:val="20"/>
          <w:color w:val="auto"/>
        </w:rPr>
      </w:pPr>
      <w:r>
        <w:rPr>
          <w:rFonts w:ascii="Arial" w:cs="Arial" w:eastAsia="Arial" w:hAnsi="Arial"/>
          <w:sz w:val="22"/>
          <w:szCs w:val="22"/>
          <w:color w:val="auto"/>
        </w:rPr>
        <w:t>Dividends may be declared and paid in the form of cash or non-cash assets, including shares, and may be paid in dollars or any other currency. Our board of directors may deduct from any dividend payable to any shareholder any amounts payable by such shareholder to us in relation to our shares.</w:t>
      </w:r>
    </w:p>
    <w:p>
      <w:pPr>
        <w:spacing w:after="0" w:line="147"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color w:val="auto"/>
        </w:rPr>
        <w:t>Under Irish law, dividends and distributions may only be made from distributable reserves. Distributable reserves generally means accumulated realized profits, so far as not previously utilized by distribution or capitalization, less accumulated, realized losses, so far as not previously written off in a reduction or reorganization of capital duly made. In addition, no distribution or dividend may be made unless our net assets are equal to, or in excess of, the aggregate of our called up share capital plus undistributable reserves and the distribution does not reduce our net assets below such aggregate. Undistributable reserves include the undenominated capital (effectively the share premium account and capital redemption reserve) and the amount by which our accumulated unrealized profits, so far as not previously utilized by any capitalization, exceed our accumulated unrealized losses, so far as not previously written off in a reduction or reorganization of capital.</w:t>
      </w:r>
    </w:p>
    <w:p>
      <w:pPr>
        <w:spacing w:after="0" w:line="145" w:lineRule="exact"/>
        <w:rPr>
          <w:sz w:val="20"/>
          <w:szCs w:val="20"/>
          <w:color w:val="auto"/>
        </w:rPr>
      </w:pPr>
    </w:p>
    <w:p>
      <w:pPr>
        <w:spacing w:after="0" w:line="224" w:lineRule="auto"/>
        <w:rPr>
          <w:sz w:val="20"/>
          <w:szCs w:val="20"/>
          <w:color w:val="auto"/>
        </w:rPr>
      </w:pPr>
      <w:r>
        <w:rPr>
          <w:rFonts w:ascii="Arial" w:cs="Arial" w:eastAsia="Arial" w:hAnsi="Arial"/>
          <w:sz w:val="22"/>
          <w:szCs w:val="22"/>
          <w:color w:val="auto"/>
        </w:rPr>
        <w:t>The determination as to whether or not we have sufficient distributable reserves to fund a dividend must be made by reference to our “relevant financial statements.” Our “relevant financial statements” will be either our last set of unconsolidated annual audited financial statements or other financial statements properly prepared in accordance with the Companies Act (not in accordance with U.S. GAAP), which give a “true and fair view” of our unconsolidated financial position and accord with accepted accounting practice. Our relevant financial statements must be filed in the Companies Registration Office (the official public registry for companies in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40"/>
          </w:cols>
          <w:pgMar w:left="320" w:top="1440" w:right="439" w:bottom="1440" w:gutter="0" w:footer="0" w:header="0"/>
        </w:sectPr>
      </w:pPr>
    </w:p>
    <w:bookmarkStart w:id="148" w:name="page149"/>
    <w:bookmarkEnd w:id="148"/>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Bonus Shares</w:t>
      </w:r>
    </w:p>
    <w:p>
      <w:pPr>
        <w:spacing w:after="0" w:line="152" w:lineRule="exact"/>
        <w:rPr>
          <w:sz w:val="20"/>
          <w:szCs w:val="20"/>
          <w:color w:val="auto"/>
        </w:rPr>
      </w:pPr>
    </w:p>
    <w:p>
      <w:pPr>
        <w:ind w:right="20"/>
        <w:spacing w:after="0" w:line="228" w:lineRule="auto"/>
        <w:rPr>
          <w:sz w:val="20"/>
          <w:szCs w:val="20"/>
          <w:color w:val="auto"/>
        </w:rPr>
      </w:pPr>
      <w:r>
        <w:rPr>
          <w:rFonts w:ascii="Arial" w:cs="Arial" w:eastAsia="Arial" w:hAnsi="Arial"/>
          <w:sz w:val="22"/>
          <w:szCs w:val="22"/>
          <w:color w:val="auto"/>
        </w:rPr>
        <w:t>Under our memorandum and articles of association, our board of directors may resolve to capitalize any amount credited to any reserve available for distribution or the share premium account or other of our undistributable reserves for issuance and distribution to shareholders as fully paid up bonus shares on the same basis of entitlement as would apply in respect of a dividend distribution.</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Preemption Rights and Share Options</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Under Irish law, certain statutory pre-emption rights apply automatically in favor of shareholders where shares are to be issued for cash. However, we initially opted out of these pre-emption rights on incorporation in our articles of association as permitted under Irish company law. As Irish law requires this opt-out to be renewed every five years by a special resolution of shareholders, our memorandum and articles of association provided that this opt-out must be so renewed. If the opt-out is not renewed, shares issued for cash must be offered to our existing shareholders on a pro rata basis to their existing shareholding before the shares can be issued to any new shareholders. The statutory pre-emption rights do not apply where shares are issued for non-cash consideration (such as in a share-for-share acquisition) and do not apply to the issue of non-equity shares (that is, shares that have the right to participate only up to a specified amount in any income or capital distribution) or where shares are issued pursuant to an employee option or similar equity plan. Our shareholders passed a special resolution at the 2020 annual general meeting of the Company on June 11, 2020 authorizing the directors of the Company to opt out of pre-emption rights with respect to equity securities with up to an aggregate nominal value of $2,297 (being equivalent to approximately 10% of the aggregate nominal value of the issued ordinary share capital of the Company as of April 13, 2020) for a period of 18 months from June 11, 2020 (provided that with respect to equity securities up to an aggregate nominal value of $1,149 (being equivalent to approximately</w:t>
      </w:r>
    </w:p>
    <w:p>
      <w:pPr>
        <w:spacing w:after="0" w:line="7" w:lineRule="exact"/>
        <w:rPr>
          <w:sz w:val="20"/>
          <w:szCs w:val="20"/>
          <w:color w:val="auto"/>
        </w:rPr>
      </w:pPr>
    </w:p>
    <w:p>
      <w:pPr>
        <w:ind w:right="160"/>
        <w:spacing w:after="0" w:line="230" w:lineRule="auto"/>
        <w:rPr>
          <w:sz w:val="20"/>
          <w:szCs w:val="20"/>
          <w:color w:val="auto"/>
        </w:rPr>
      </w:pPr>
      <w:r>
        <w:rPr>
          <w:rFonts w:ascii="Arial" w:cs="Arial" w:eastAsia="Arial" w:hAnsi="Arial"/>
          <w:sz w:val="22"/>
          <w:szCs w:val="22"/>
          <w:color w:val="auto"/>
        </w:rPr>
        <w:t>5% of the issued ordinary share capital as of April 13, 2020), such allotment is to be used for the purposes of an acquisition or a specified capital investment).</w:t>
      </w:r>
    </w:p>
    <w:p>
      <w:pPr>
        <w:spacing w:after="0" w:line="132" w:lineRule="exact"/>
        <w:rPr>
          <w:sz w:val="20"/>
          <w:szCs w:val="20"/>
          <w:color w:val="auto"/>
        </w:rPr>
      </w:pPr>
    </w:p>
    <w:p>
      <w:pPr>
        <w:ind w:right="40"/>
        <w:spacing w:after="0" w:line="232" w:lineRule="auto"/>
        <w:rPr>
          <w:sz w:val="20"/>
          <w:szCs w:val="20"/>
          <w:color w:val="auto"/>
        </w:rPr>
      </w:pPr>
      <w:r>
        <w:rPr>
          <w:rFonts w:ascii="Arial" w:cs="Arial" w:eastAsia="Arial" w:hAnsi="Arial"/>
          <w:sz w:val="21"/>
          <w:szCs w:val="21"/>
          <w:color w:val="auto"/>
        </w:rPr>
        <w:t>Our memorandum and articles of association provide that, subject to any shareholder approval requirement under any laws, regulations or the rules of any stock exchange to which we are subject, our board of directors is authorized, from time to time, in its discretion, to grant such persons, for such periods and upon such terms as our board of directors deems advisable, options to purchase such number of shares of any class or classes or of any series of any class as our board of directors may deem advisable and to cause warrants or other appropriate instruments evidencing such options to be issued. The Companies Act provides that directors may issue share warrants or options without shareholder approval once authorized to do so by the articles of association or an ordinary resolution of shareholders. We are subject to the rules of NASDAQ and the United States Internal Revenue Code of 1986 that require shareholder approval of certain equity plans and share issuances. Our board of directors may issue shares upon exercise of warrants or options without shareholder approval or authorization (up to the relevant authorized share capital limit).</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 Repurchases, Redemptions and Conversions</w:t>
      </w:r>
    </w:p>
    <w:p>
      <w:pPr>
        <w:spacing w:after="0" w:line="166" w:lineRule="exact"/>
        <w:rPr>
          <w:sz w:val="20"/>
          <w:szCs w:val="20"/>
          <w:color w:val="auto"/>
        </w:rPr>
      </w:pPr>
    </w:p>
    <w:p>
      <w:pPr>
        <w:ind w:right="140"/>
        <w:spacing w:after="0" w:line="239" w:lineRule="auto"/>
        <w:rPr>
          <w:sz w:val="20"/>
          <w:szCs w:val="20"/>
          <w:color w:val="auto"/>
        </w:rPr>
      </w:pPr>
      <w:r>
        <w:rPr>
          <w:rFonts w:ascii="Arial" w:cs="Arial" w:eastAsia="Arial" w:hAnsi="Arial"/>
          <w:sz w:val="22"/>
          <w:szCs w:val="22"/>
          <w:color w:val="auto"/>
        </w:rPr>
        <w:t>Our memorandum and articles of association provide that any Ordinary Share that we have agreed to acquire shall be deemed to be a redeemable share, unless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20"/>
          </w:cols>
          <w:pgMar w:left="320" w:top="1440" w:right="359" w:bottom="1440" w:gutter="0" w:footer="0" w:header="0"/>
        </w:sectPr>
      </w:pPr>
    </w:p>
    <w:bookmarkStart w:id="149" w:name="page150"/>
    <w:bookmarkEnd w:id="149"/>
    <w:p>
      <w:pPr>
        <w:spacing w:after="0" w:line="150" w:lineRule="exact"/>
        <w:rPr>
          <w:sz w:val="20"/>
          <w:szCs w:val="20"/>
          <w:color w:val="auto"/>
        </w:rPr>
      </w:pPr>
    </w:p>
    <w:p>
      <w:pPr>
        <w:ind w:right="140"/>
        <w:spacing w:after="0" w:line="264" w:lineRule="auto"/>
        <w:rPr>
          <w:sz w:val="20"/>
          <w:szCs w:val="20"/>
          <w:color w:val="auto"/>
        </w:rPr>
      </w:pPr>
      <w:r>
        <w:rPr>
          <w:rFonts w:ascii="Arial" w:cs="Arial" w:eastAsia="Arial" w:hAnsi="Arial"/>
          <w:sz w:val="19"/>
          <w:szCs w:val="19"/>
          <w:color w:val="auto"/>
        </w:rPr>
        <w:t>resolves otherwise. Accordingly, for Irish company law purposes, our repurchase of Ordinary Shares will technically be effected as a redemption of those shares as described below under “—Repurchases and Redemptions by Endo.” If our memorandum and articles of association did not contain such provision, all repurchases we undertake would be subject to many of the same rules that apply to purchases of our Ordinary Shares by our subsidiaries as described below under “—Purchases by Subsidiaries of Endo, “ including the shareholder approval requirements described below and the requirement that any purchases on market be effected on a “recognized stock exchange,” which, for purposes of the Companies Act, includes NASDAQ.</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Repurchases and Redemptions by Endo</w:t>
      </w:r>
    </w:p>
    <w:p>
      <w:pPr>
        <w:spacing w:after="0" w:line="152" w:lineRule="exact"/>
        <w:rPr>
          <w:sz w:val="20"/>
          <w:szCs w:val="20"/>
          <w:color w:val="auto"/>
        </w:rPr>
      </w:pPr>
    </w:p>
    <w:p>
      <w:pPr>
        <w:ind w:right="120"/>
        <w:spacing w:after="0" w:line="264" w:lineRule="auto"/>
        <w:rPr>
          <w:sz w:val="20"/>
          <w:szCs w:val="20"/>
          <w:color w:val="auto"/>
        </w:rPr>
      </w:pPr>
      <w:r>
        <w:rPr>
          <w:rFonts w:ascii="Arial" w:cs="Arial" w:eastAsia="Arial" w:hAnsi="Arial"/>
          <w:sz w:val="19"/>
          <w:szCs w:val="19"/>
          <w:color w:val="auto"/>
        </w:rPr>
        <w:t>Under Irish law, a company may issue redeemable shares and redeem them out of distributable reserves or the proceeds of a new issue of shares for that purpose. We may only issue redeemable shares if the nominal value of our issued share capital that is not redeemable is not less than 10% of the nominal value of our total issued share capital. All redeemable shares must also be fully-paid and the terms of redemption of the shares must provide for payment on redemption. Redeemable shares may, upon redemption, be cancelled or held in treasury. Based on the provisions of our memorandum and articles of association described above, shareholder approval will not be required to redeem our Ordinary Shares.</w:t>
      </w:r>
    </w:p>
    <w:p>
      <w:pPr>
        <w:spacing w:after="0" w:line="110" w:lineRule="exact"/>
        <w:rPr>
          <w:sz w:val="20"/>
          <w:szCs w:val="20"/>
          <w:color w:val="auto"/>
        </w:rPr>
      </w:pPr>
    </w:p>
    <w:p>
      <w:pPr>
        <w:ind w:right="40"/>
        <w:spacing w:after="0" w:line="231" w:lineRule="auto"/>
        <w:rPr>
          <w:sz w:val="20"/>
          <w:szCs w:val="20"/>
          <w:color w:val="auto"/>
        </w:rPr>
      </w:pPr>
      <w:r>
        <w:rPr>
          <w:rFonts w:ascii="Arial" w:cs="Arial" w:eastAsia="Arial" w:hAnsi="Arial"/>
          <w:sz w:val="22"/>
          <w:szCs w:val="22"/>
          <w:color w:val="auto"/>
        </w:rPr>
        <w:t>We may also be given an additional general authority to purchase our own shares on market by way of ordinary resolution, which would take effect on the same terms and be subject to the same conditions as applicable to purchases by our subsidiaries as described below.</w:t>
      </w:r>
    </w:p>
    <w:p>
      <w:pPr>
        <w:spacing w:after="0" w:line="147" w:lineRule="exact"/>
        <w:rPr>
          <w:sz w:val="20"/>
          <w:szCs w:val="20"/>
          <w:color w:val="auto"/>
        </w:rPr>
      </w:pPr>
    </w:p>
    <w:p>
      <w:pPr>
        <w:jc w:val="both"/>
        <w:ind w:right="20"/>
        <w:spacing w:after="0" w:line="282" w:lineRule="auto"/>
        <w:rPr>
          <w:sz w:val="20"/>
          <w:szCs w:val="20"/>
          <w:color w:val="auto"/>
        </w:rPr>
      </w:pPr>
      <w:r>
        <w:rPr>
          <w:rFonts w:ascii="Arial" w:cs="Arial" w:eastAsia="Arial" w:hAnsi="Arial"/>
          <w:sz w:val="19"/>
          <w:szCs w:val="19"/>
          <w:color w:val="auto"/>
        </w:rPr>
        <w:t>Repurchased and redeemed shares may be cancelled or held as treasury shares. The nominal value of treasury shares held by us at any time must not exceed 10% of the nominal value of our issued share capital. We may not exercise any voting rights in respect of any shares held as treasury shares. We may cancel or re-issue treasury shares subject to certain conditions.</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Purchases by Subsidiaries of Endo</w:t>
      </w:r>
    </w:p>
    <w:p>
      <w:pPr>
        <w:spacing w:after="0" w:line="152"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Under Irish law, an Irish or non-Irish subsidiary of the Company may purchase our shares either on market or off market. For one of our subsidiaries to make purchases on market of our Ordinary Shares, our shareholders must provide general authorization for such purchase by way of ordinary resolution. However, as long as this general authority has been granted, no specific shareholder authority for a particular on-market purchase by one of our subsidiaries of our Ordinary Shares is required. For an off-market purchase by one of our subsidiaries, the proposed purchase contract must be authorized by special resolution of our shareholders before the contract is entered into. The person whose shares are to be bought back cannot vote in favor of the special resolution and from the date of the notice of the meeting at which the resolution approving the contract is proposed, the purchase contract must be on display or must be available for inspection by our shareholders at our registered office.</w:t>
      </w:r>
    </w:p>
    <w:p>
      <w:pPr>
        <w:spacing w:after="0" w:line="131" w:lineRule="exact"/>
        <w:rPr>
          <w:sz w:val="20"/>
          <w:szCs w:val="20"/>
          <w:color w:val="auto"/>
        </w:rPr>
      </w:pPr>
    </w:p>
    <w:p>
      <w:pPr>
        <w:spacing w:after="0" w:line="228" w:lineRule="auto"/>
        <w:rPr>
          <w:sz w:val="20"/>
          <w:szCs w:val="20"/>
          <w:color w:val="auto"/>
        </w:rPr>
      </w:pPr>
      <w:r>
        <w:rPr>
          <w:rFonts w:ascii="Arial" w:cs="Arial" w:eastAsia="Arial" w:hAnsi="Arial"/>
          <w:sz w:val="22"/>
          <w:szCs w:val="22"/>
          <w:color w:val="auto"/>
        </w:rPr>
        <w:t>The number of shares held by our subsidiaries at any time will count as treasury shares and will be included in any calculation of the permitted treasury share threshold of 10% of the nominal value of our issued share capital. While a subsidiary holds our shares, it cannot exercise any voting rights in respect of those shares. The acquisition of our Ordinary Shares by a subsidiary must be funded out of distributable reserves of the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Lien on Shares, Calls on Shares and Forfeiture of Shares</w:t>
      </w:r>
    </w:p>
    <w:p>
      <w:pPr>
        <w:spacing w:after="0" w:line="166" w:lineRule="exact"/>
        <w:rPr>
          <w:sz w:val="20"/>
          <w:szCs w:val="20"/>
          <w:color w:val="auto"/>
        </w:rPr>
      </w:pPr>
    </w:p>
    <w:p>
      <w:pPr>
        <w:ind w:right="100"/>
        <w:spacing w:after="0" w:line="267" w:lineRule="auto"/>
        <w:rPr>
          <w:sz w:val="20"/>
          <w:szCs w:val="20"/>
          <w:color w:val="auto"/>
        </w:rPr>
      </w:pPr>
      <w:r>
        <w:rPr>
          <w:rFonts w:ascii="Arial" w:cs="Arial" w:eastAsia="Arial" w:hAnsi="Arial"/>
          <w:sz w:val="19"/>
          <w:szCs w:val="19"/>
          <w:color w:val="auto"/>
        </w:rPr>
        <w:t>Our memorandum and articles of association provide that we have a first and paramount lien on every share that is not a fully paid up share for all amounts payable at a fixed time or called in respect of that share. Subject to the terms of their allotment, our board of directors may call for any unpaid amounts in respect of any shares to be paid, and if payment is not made, the shares may be forfeited. These provisions are standard inclusions in the memorandum and articles of association of an Irish public limited company such as the Company and are only applicable to our shares that have not been fully paid up.</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Consolidation and Division; Subdivision</w:t>
      </w:r>
    </w:p>
    <w:p>
      <w:pPr>
        <w:spacing w:after="0" w:line="152" w:lineRule="exact"/>
        <w:rPr>
          <w:sz w:val="20"/>
          <w:szCs w:val="20"/>
          <w:color w:val="auto"/>
        </w:rPr>
      </w:pPr>
    </w:p>
    <w:p>
      <w:pPr>
        <w:spacing w:after="0" w:line="231" w:lineRule="auto"/>
        <w:rPr>
          <w:sz w:val="20"/>
          <w:szCs w:val="20"/>
          <w:color w:val="auto"/>
        </w:rPr>
      </w:pPr>
      <w:r>
        <w:rPr>
          <w:rFonts w:ascii="Arial" w:cs="Arial" w:eastAsia="Arial" w:hAnsi="Arial"/>
          <w:sz w:val="22"/>
          <w:szCs w:val="22"/>
          <w:color w:val="auto"/>
        </w:rPr>
        <w:t>Under our articles of association, we may, by ordinary resolution, consolidate and divide all or any of our share capital into shares of larger nominal value than our existing shares or subdivide our shares into smaller amounts than is fixed by our memorandum of association.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Reduction of Share Capital</w:t>
      </w:r>
    </w:p>
    <w:p>
      <w:pPr>
        <w:spacing w:after="0" w:line="152" w:lineRule="exact"/>
        <w:rPr>
          <w:sz w:val="20"/>
          <w:szCs w:val="20"/>
          <w:color w:val="auto"/>
        </w:rPr>
      </w:pPr>
    </w:p>
    <w:p>
      <w:pPr>
        <w:ind w:right="40"/>
        <w:spacing w:after="0" w:line="313" w:lineRule="auto"/>
        <w:rPr>
          <w:sz w:val="20"/>
          <w:szCs w:val="20"/>
          <w:color w:val="auto"/>
        </w:rPr>
      </w:pPr>
      <w:r>
        <w:rPr>
          <w:rFonts w:ascii="Arial" w:cs="Arial" w:eastAsia="Arial" w:hAnsi="Arial"/>
          <w:sz w:val="19"/>
          <w:szCs w:val="19"/>
          <w:color w:val="auto"/>
        </w:rPr>
        <w:t>We may, by ordinary resolution, reduce our authorized share capital in any way. We also may, by special resolution and subject to confirmation by the Irish High Court, reduce or cancel our issued share capital in any manner permitted by the Companies Act.</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Election of Directors</w:t>
      </w:r>
    </w:p>
    <w:p>
      <w:pPr>
        <w:spacing w:after="0" w:line="166" w:lineRule="exact"/>
        <w:rPr>
          <w:sz w:val="20"/>
          <w:szCs w:val="20"/>
          <w:color w:val="auto"/>
        </w:rPr>
      </w:pPr>
    </w:p>
    <w:p>
      <w:pPr>
        <w:ind w:right="80"/>
        <w:spacing w:after="0" w:line="244" w:lineRule="auto"/>
        <w:rPr>
          <w:sz w:val="20"/>
          <w:szCs w:val="20"/>
          <w:color w:val="auto"/>
        </w:rPr>
      </w:pPr>
      <w:r>
        <w:rPr>
          <w:rFonts w:ascii="Arial" w:cs="Arial" w:eastAsia="Arial" w:hAnsi="Arial"/>
          <w:sz w:val="21"/>
          <w:szCs w:val="21"/>
          <w:color w:val="auto"/>
        </w:rPr>
        <w:t>The Companies Act provides for a minimum of two directors on the board of an Irish public limited company. Our memorandum and articles of association provide that the number of directors shall not be less than five (5) nor more than twelve (12) with the exact number of directors being fixed from time to time by resolution of our board of directors.</w:t>
      </w:r>
    </w:p>
    <w:p>
      <w:pPr>
        <w:spacing w:after="0" w:line="127" w:lineRule="exact"/>
        <w:rPr>
          <w:sz w:val="20"/>
          <w:szCs w:val="20"/>
          <w:color w:val="auto"/>
        </w:rPr>
      </w:pPr>
    </w:p>
    <w:p>
      <w:pPr>
        <w:ind w:right="220"/>
        <w:spacing w:after="0" w:line="239" w:lineRule="auto"/>
        <w:rPr>
          <w:sz w:val="20"/>
          <w:szCs w:val="20"/>
          <w:color w:val="auto"/>
        </w:rPr>
      </w:pPr>
      <w:r>
        <w:rPr>
          <w:rFonts w:ascii="Arial" w:cs="Arial" w:eastAsia="Arial" w:hAnsi="Arial"/>
          <w:sz w:val="22"/>
          <w:szCs w:val="22"/>
          <w:color w:val="auto"/>
        </w:rPr>
        <w:t>At each annual general meeting, all of our directors shall retire from office and be re-eligible for re-election. Each director shall hold office until the next annual general meeting or until his or her earlier resignation or removal.</w:t>
      </w:r>
    </w:p>
    <w:p>
      <w:pPr>
        <w:spacing w:after="0" w:line="131" w:lineRule="exact"/>
        <w:rPr>
          <w:sz w:val="20"/>
          <w:szCs w:val="20"/>
          <w:color w:val="auto"/>
        </w:rPr>
      </w:pPr>
    </w:p>
    <w:p>
      <w:pPr>
        <w:ind w:right="200"/>
        <w:spacing w:after="0" w:line="231" w:lineRule="auto"/>
        <w:rPr>
          <w:sz w:val="20"/>
          <w:szCs w:val="20"/>
          <w:color w:val="auto"/>
        </w:rPr>
      </w:pPr>
      <w:r>
        <w:rPr>
          <w:rFonts w:ascii="Arial" w:cs="Arial" w:eastAsia="Arial" w:hAnsi="Arial"/>
          <w:sz w:val="22"/>
          <w:szCs w:val="22"/>
          <w:color w:val="auto"/>
        </w:rPr>
        <w:t>Directors are elected by ordinary resolution at a general meeting. Irish law requires majority voting for the election of directors, which could result in the number of directors falling below the prescribed minimum number of directors due to the failure of nominees to be elected.</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Removal of Directors; Vacancies</w:t>
      </w:r>
    </w:p>
    <w:p>
      <w:pPr>
        <w:spacing w:after="0" w:line="152"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Under the Companies Act and notwithstanding anything contained in our memorandum and articles of association or in any agreement between us and a director, our shareholders may, by an ordinary resolution, remove a director from office before the expiration of his or her term at a meeting held on no less than 28 days’ notice and at which the director is entitled to be heard. The power of removal is without prejudice to any claim for damages for breach of contract (e.g., employment contract) that the director may have against us in respect of his or her removal. Our memorandum and articles of association provide that our board of directors may fill any vacancy occurring on our board of directors. If our board of directors fills a vacancy, the director’s term expires at the next annual general meeting. A vacancy on our board of directors created by the removal of a director may be filled by our shareholders at the meeting at which such director is removed.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Annual General Meetings of Shareholders</w:t>
      </w:r>
    </w:p>
    <w:p>
      <w:pPr>
        <w:spacing w:after="0" w:line="166" w:lineRule="exact"/>
        <w:rPr>
          <w:sz w:val="20"/>
          <w:szCs w:val="20"/>
          <w:color w:val="auto"/>
        </w:rPr>
      </w:pPr>
    </w:p>
    <w:p>
      <w:pPr>
        <w:ind w:right="200"/>
        <w:spacing w:after="0" w:line="272" w:lineRule="auto"/>
        <w:rPr>
          <w:sz w:val="20"/>
          <w:szCs w:val="20"/>
          <w:color w:val="auto"/>
        </w:rPr>
      </w:pPr>
      <w:r>
        <w:rPr>
          <w:rFonts w:ascii="Arial" w:cs="Arial" w:eastAsia="Arial" w:hAnsi="Arial"/>
          <w:sz w:val="19"/>
          <w:szCs w:val="19"/>
          <w:color w:val="auto"/>
        </w:rPr>
        <w:t>We are required to hold an annual general meeting at intervals of no more than 15 months from the previous annual general meeting, provided that an annual general meeting is held in each calendar year following our first annual general meeting. Each general meeting will be held at such time and place as designated by our board of directors and as specified in the notice of meeting. Subject to section 176 of the Companies Act, all general meetings may be held outside of Ireland.</w:t>
      </w:r>
    </w:p>
    <w:p>
      <w:pPr>
        <w:spacing w:after="0" w:line="103" w:lineRule="exact"/>
        <w:rPr>
          <w:sz w:val="20"/>
          <w:szCs w:val="20"/>
          <w:color w:val="auto"/>
        </w:rPr>
      </w:pPr>
    </w:p>
    <w:p>
      <w:pPr>
        <w:ind w:right="280"/>
        <w:spacing w:after="0" w:line="228" w:lineRule="auto"/>
        <w:rPr>
          <w:sz w:val="20"/>
          <w:szCs w:val="20"/>
          <w:color w:val="auto"/>
        </w:rPr>
      </w:pPr>
      <w:r>
        <w:rPr>
          <w:rFonts w:ascii="Arial" w:cs="Arial" w:eastAsia="Arial" w:hAnsi="Arial"/>
          <w:sz w:val="22"/>
          <w:szCs w:val="22"/>
          <w:color w:val="auto"/>
        </w:rPr>
        <w:t>The only matters that must, as a matter of Irish law, be transacted at an annual general meeting are the consideration of the statutory financial statements, the report of the directors and the report of the auditors on those statements and that report, the review by the members of the Company’s affairs, the appointment of new auditors and the fixing of the auditor’s remuneration (or delegation of same).</w:t>
      </w:r>
    </w:p>
    <w:p>
      <w:pPr>
        <w:spacing w:after="0" w:line="132" w:lineRule="exact"/>
        <w:rPr>
          <w:sz w:val="20"/>
          <w:szCs w:val="20"/>
          <w:color w:val="auto"/>
        </w:rPr>
      </w:pPr>
    </w:p>
    <w:p>
      <w:pPr>
        <w:ind w:right="220"/>
        <w:spacing w:after="0" w:line="239" w:lineRule="auto"/>
        <w:rPr>
          <w:sz w:val="20"/>
          <w:szCs w:val="20"/>
          <w:color w:val="auto"/>
        </w:rPr>
      </w:pPr>
      <w:r>
        <w:rPr>
          <w:rFonts w:ascii="Arial" w:cs="Arial" w:eastAsia="Arial" w:hAnsi="Arial"/>
          <w:sz w:val="22"/>
          <w:szCs w:val="22"/>
          <w:color w:val="auto"/>
        </w:rPr>
        <w:t>If no resolution is made in respect of the reappointment of an existing auditor at an annual general meeting, the existing auditor will be deemed to have continued in office.</w:t>
      </w:r>
    </w:p>
    <w:p>
      <w:pPr>
        <w:spacing w:after="0" w:line="144" w:lineRule="exact"/>
        <w:rPr>
          <w:sz w:val="20"/>
          <w:szCs w:val="20"/>
          <w:color w:val="auto"/>
        </w:rPr>
      </w:pPr>
    </w:p>
    <w:p>
      <w:pPr>
        <w:ind w:right="400"/>
        <w:spacing w:after="0" w:line="231" w:lineRule="auto"/>
        <w:rPr>
          <w:sz w:val="20"/>
          <w:szCs w:val="20"/>
          <w:color w:val="auto"/>
        </w:rPr>
      </w:pPr>
      <w:r>
        <w:rPr>
          <w:rFonts w:ascii="Arial" w:cs="Arial" w:eastAsia="Arial" w:hAnsi="Arial"/>
          <w:sz w:val="22"/>
          <w:szCs w:val="22"/>
          <w:color w:val="auto"/>
        </w:rPr>
        <w:t>The provisions of our memorandum and articles of association relating to general meetings will apply to every such general meeting of the holders of any class of shares except that the necessary quorum shall be one person holding or representing by proxy at least one-half of the issued shares of such class.</w:t>
      </w:r>
    </w:p>
    <w:p>
      <w:pPr>
        <w:spacing w:after="0" w:line="134" w:lineRule="exact"/>
        <w:rPr>
          <w:sz w:val="20"/>
          <w:szCs w:val="20"/>
          <w:color w:val="auto"/>
        </w:rPr>
      </w:pPr>
    </w:p>
    <w:p>
      <w:pPr>
        <w:spacing w:after="0" w:line="223" w:lineRule="auto"/>
        <w:rPr>
          <w:sz w:val="20"/>
          <w:szCs w:val="20"/>
          <w:color w:val="auto"/>
        </w:rPr>
      </w:pPr>
      <w:r>
        <w:rPr>
          <w:rFonts w:ascii="Arial" w:cs="Arial" w:eastAsia="Arial" w:hAnsi="Arial"/>
          <w:sz w:val="22"/>
          <w:szCs w:val="22"/>
          <w:color w:val="auto"/>
        </w:rPr>
        <w:t>Our memorandum and articles of association provide that a resolution may only be put to vote at a general meeting or of the holders of any class of shares if (i) it is specified in the notice of the meeting; (ii) it is proposed by or at the direction of the board of directors; (iii) it is proposed at the direction of a court of competent jurisdiction; (iv) it is proposed on the requisition in writing of the holder of shares as is prescribed by, and is made in accordance with, section 178(3) of the Companies Act; (v) the chairman of the meeting in his or her absolute discretion decides that the resolution may properly be regarded as within the scope of the meeting; or (vi) it is proposed in accordance with the procedures and requirements set out in our articles with respect to nominations of directors.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Extraordinary General Meetings of Shareholders</w:t>
      </w:r>
    </w:p>
    <w:p>
      <w:pPr>
        <w:spacing w:after="0" w:line="166" w:lineRule="exact"/>
        <w:rPr>
          <w:sz w:val="20"/>
          <w:szCs w:val="20"/>
          <w:color w:val="auto"/>
        </w:rPr>
      </w:pPr>
    </w:p>
    <w:p>
      <w:pPr>
        <w:ind w:right="200"/>
        <w:spacing w:after="0" w:line="261" w:lineRule="auto"/>
        <w:rPr>
          <w:sz w:val="20"/>
          <w:szCs w:val="20"/>
          <w:color w:val="auto"/>
        </w:rPr>
      </w:pPr>
      <w:r>
        <w:rPr>
          <w:rFonts w:ascii="Arial" w:cs="Arial" w:eastAsia="Arial" w:hAnsi="Arial"/>
          <w:sz w:val="19"/>
          <w:szCs w:val="19"/>
          <w:color w:val="auto"/>
        </w:rPr>
        <w:t>Extraordinary general meetings of the Company may be convened by (i) our board of directors; (ii) on requisition of our shareholders holding not less than 10% of our paid up share capital carrying voting rights; (iii) on requisition of our auditors; or</w:t>
      </w:r>
    </w:p>
    <w:p>
      <w:pPr>
        <w:spacing w:after="0" w:line="2" w:lineRule="exact"/>
        <w:rPr>
          <w:sz w:val="20"/>
          <w:szCs w:val="20"/>
          <w:color w:val="auto"/>
        </w:rPr>
      </w:pPr>
    </w:p>
    <w:p>
      <w:pPr>
        <w:ind w:right="240" w:firstLine="8"/>
        <w:spacing w:after="0" w:line="226" w:lineRule="auto"/>
        <w:tabs>
          <w:tab w:leader="none" w:pos="366" w:val="left"/>
        </w:tabs>
        <w:numPr>
          <w:ilvl w:val="0"/>
          <w:numId w:val="93"/>
        </w:numPr>
        <w:rPr>
          <w:rFonts w:ascii="Arial" w:cs="Arial" w:eastAsia="Arial" w:hAnsi="Arial"/>
          <w:sz w:val="22"/>
          <w:szCs w:val="22"/>
          <w:color w:val="auto"/>
        </w:rPr>
      </w:pPr>
      <w:r>
        <w:rPr>
          <w:rFonts w:ascii="Arial" w:cs="Arial" w:eastAsia="Arial" w:hAnsi="Arial"/>
          <w:sz w:val="22"/>
          <w:szCs w:val="22"/>
          <w:color w:val="auto"/>
        </w:rPr>
        <w:t>in exceptional cases, by order of the Irish High Court. Extraordinary general meetings are generally held for the purpose of approving shareholder resolutions as may be required from time to time. At any extraordinary general meeting, only such business shall be conducted as is set forth in the notice thereof.</w:t>
      </w:r>
    </w:p>
    <w:p>
      <w:pPr>
        <w:spacing w:after="0" w:line="131" w:lineRule="exact"/>
        <w:rPr>
          <w:sz w:val="20"/>
          <w:szCs w:val="20"/>
          <w:color w:val="auto"/>
        </w:rPr>
      </w:pPr>
    </w:p>
    <w:p>
      <w:pPr>
        <w:ind w:right="220"/>
        <w:spacing w:after="0" w:line="264" w:lineRule="auto"/>
        <w:rPr>
          <w:sz w:val="20"/>
          <w:szCs w:val="20"/>
          <w:color w:val="auto"/>
        </w:rPr>
      </w:pPr>
      <w:r>
        <w:rPr>
          <w:rFonts w:ascii="Arial" w:cs="Arial" w:eastAsia="Arial" w:hAnsi="Arial"/>
          <w:sz w:val="19"/>
          <w:szCs w:val="19"/>
          <w:color w:val="auto"/>
        </w:rPr>
        <w:t>In the case of an extraordinary general meeting convened by our shareholders, the purpose of the meeting must be set out in the requisition notice. Upon receipt of any such valid requisition notice, our board of directors has 21 days to convene a meeting of our shareholders to vote on the matters set out in the requisition notice. This meeting must be held within two months of the receipt of the requisition notice. If our board of directors does not convene the meeting within such 21-day period, the requisitioning shareholders, or any of them representing more than one half of the total voting rights of all of them, may themselves convene a meeting, which meeting must be held within three months of our receipt of the requisition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50"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If our board of directors becomes aware that our net assets are not greater than half of the amount of our called-up share capital, it must convene an extraordinary general meeting of our shareholders not later than 28 days from the date that the directors learn of this fact to consider how to address the situation.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Record Date; Notice Provisions</w:t>
      </w:r>
    </w:p>
    <w:p>
      <w:pPr>
        <w:spacing w:after="0" w:line="152" w:lineRule="exact"/>
        <w:rPr>
          <w:sz w:val="20"/>
          <w:szCs w:val="20"/>
          <w:color w:val="auto"/>
        </w:rPr>
      </w:pPr>
    </w:p>
    <w:p>
      <w:pPr>
        <w:ind w:right="60"/>
        <w:spacing w:after="0" w:line="264" w:lineRule="auto"/>
        <w:rPr>
          <w:sz w:val="20"/>
          <w:szCs w:val="20"/>
          <w:color w:val="auto"/>
        </w:rPr>
      </w:pPr>
      <w:r>
        <w:rPr>
          <w:rFonts w:ascii="Arial" w:cs="Arial" w:eastAsia="Arial" w:hAnsi="Arial"/>
          <w:sz w:val="19"/>
          <w:szCs w:val="19"/>
          <w:color w:val="auto"/>
        </w:rPr>
        <w:t>Our memorandum and articles of association provide that our board of directors may fix in advance a record date (i) to determine the shareholders entitled to notice of or to vote at a meeting of the shareholders that is no more than 60 days and no less than 10 days before the date of the meeting and (ii) for the purpose of determining the shareholders entitled to receive payment of any dividend, or in order to make a determination of shareholders for any other proper purpose that is no more than 60 days prior to the date of payment of the dividend or the date of any other action to which the determination of shareholders is relevant. The record date may not precede the date upon which the resolution fixing the record date is adopted by our directors.</w:t>
      </w:r>
    </w:p>
    <w:p>
      <w:pPr>
        <w:spacing w:after="0" w:line="110" w:lineRule="exact"/>
        <w:rPr>
          <w:sz w:val="20"/>
          <w:szCs w:val="20"/>
          <w:color w:val="auto"/>
        </w:rPr>
      </w:pPr>
    </w:p>
    <w:p>
      <w:pPr>
        <w:ind w:right="60"/>
        <w:spacing w:after="0" w:line="231" w:lineRule="auto"/>
        <w:rPr>
          <w:sz w:val="20"/>
          <w:szCs w:val="20"/>
          <w:color w:val="auto"/>
        </w:rPr>
      </w:pPr>
      <w:r>
        <w:rPr>
          <w:rFonts w:ascii="Arial" w:cs="Arial" w:eastAsia="Arial" w:hAnsi="Arial"/>
          <w:sz w:val="22"/>
          <w:szCs w:val="22"/>
          <w:color w:val="auto"/>
        </w:rPr>
        <w:t>If the register of our shareholders is closed in connection with a meeting, it must be closed for at least five days preceding the meeting and the record date for determination of the shareholders entitled to receive notice of, and to vote at, that meeting will be the date of the closing of the register of our shareholders.</w:t>
      </w:r>
    </w:p>
    <w:p>
      <w:pPr>
        <w:spacing w:after="0" w:line="147" w:lineRule="exact"/>
        <w:rPr>
          <w:sz w:val="20"/>
          <w:szCs w:val="20"/>
          <w:color w:val="auto"/>
        </w:rPr>
      </w:pPr>
    </w:p>
    <w:p>
      <w:pPr>
        <w:ind w:right="60"/>
        <w:spacing w:after="0" w:line="226" w:lineRule="auto"/>
        <w:rPr>
          <w:sz w:val="20"/>
          <w:szCs w:val="20"/>
          <w:color w:val="auto"/>
        </w:rPr>
      </w:pPr>
      <w:r>
        <w:rPr>
          <w:rFonts w:ascii="Arial" w:cs="Arial" w:eastAsia="Arial" w:hAnsi="Arial"/>
          <w:sz w:val="22"/>
          <w:szCs w:val="22"/>
          <w:color w:val="auto"/>
        </w:rPr>
        <w:t>Notice of an annual or extraordinary general meeting must be given to all of our shareholders and to our auditors. Our memorandum and articles of association provide for a minimum notice period of 21 days for an annual general meeting, which is the minimum permitted under Irish law. In addition, under Irish law and our memorandum and articles of association, the minimum notice periods are 21 days’ notice in writing for an extraordinary general meeting to approve a special resolution and 14 days’ notice in writing for any other extraordinary general meeting.</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Advance Notice of Director Nominations and Other Proposals</w:t>
      </w:r>
    </w:p>
    <w:p>
      <w:pPr>
        <w:spacing w:after="0" w:line="152" w:lineRule="exact"/>
        <w:rPr>
          <w:sz w:val="20"/>
          <w:szCs w:val="20"/>
          <w:color w:val="auto"/>
        </w:rPr>
      </w:pPr>
    </w:p>
    <w:p>
      <w:pPr>
        <w:jc w:val="both"/>
        <w:ind w:right="440"/>
        <w:spacing w:after="0" w:line="231" w:lineRule="auto"/>
        <w:rPr>
          <w:sz w:val="20"/>
          <w:szCs w:val="20"/>
          <w:color w:val="auto"/>
        </w:rPr>
      </w:pPr>
      <w:r>
        <w:rPr>
          <w:rFonts w:ascii="Arial" w:cs="Arial" w:eastAsia="Arial" w:hAnsi="Arial"/>
          <w:sz w:val="22"/>
          <w:szCs w:val="22"/>
          <w:color w:val="auto"/>
        </w:rPr>
        <w:t>The Companies Act provides that shareholders holding not less than 10% of the total voting rights may call an extraordinary general meeting for the purpose of considering director nominations or other proposals, as described under “—Extraordinary General Meetings of Shareholders.”</w:t>
      </w:r>
    </w:p>
    <w:p>
      <w:pPr>
        <w:spacing w:after="0" w:line="147" w:lineRule="exact"/>
        <w:rPr>
          <w:sz w:val="20"/>
          <w:szCs w:val="20"/>
          <w:color w:val="auto"/>
        </w:rPr>
      </w:pPr>
    </w:p>
    <w:p>
      <w:pPr>
        <w:ind w:right="640"/>
        <w:spacing w:after="0" w:line="282" w:lineRule="auto"/>
        <w:rPr>
          <w:sz w:val="20"/>
          <w:szCs w:val="20"/>
          <w:color w:val="auto"/>
        </w:rPr>
      </w:pPr>
      <w:r>
        <w:rPr>
          <w:rFonts w:ascii="Arial" w:cs="Arial" w:eastAsia="Arial" w:hAnsi="Arial"/>
          <w:sz w:val="19"/>
          <w:szCs w:val="19"/>
          <w:color w:val="auto"/>
        </w:rPr>
        <w:t>Our memorandum and articles of association provide that shareholder nominations of persons to be elected to our board of directors at an annual general meeting must be made following written notice to our secretary executed by a shareholder accompanied by certain background and other information specified in our memorandum and articles of association.</w:t>
      </w:r>
    </w:p>
    <w:p>
      <w:pPr>
        <w:spacing w:after="0" w:line="94"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Such written notice and information must be received by our secretary not less than 60 days nor more than 90 days before the anniversary date of the prior year’s annual general meeting, provided, however, that in the event that the annual general meeting is called for a date that is not within 30 days before or after such anniversary date, notice must be received not later than the close of business on the 10th day following the day on which notice of the annual general meeting is published.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Quorum for General Meetings</w:t>
      </w:r>
    </w:p>
    <w:p>
      <w:pPr>
        <w:spacing w:after="0" w:line="166" w:lineRule="exact"/>
        <w:rPr>
          <w:sz w:val="20"/>
          <w:szCs w:val="20"/>
          <w:color w:val="auto"/>
        </w:rPr>
      </w:pPr>
    </w:p>
    <w:p>
      <w:pPr>
        <w:jc w:val="both"/>
        <w:ind w:right="40"/>
        <w:spacing w:after="0" w:line="231" w:lineRule="auto"/>
        <w:rPr>
          <w:sz w:val="20"/>
          <w:szCs w:val="20"/>
          <w:color w:val="auto"/>
        </w:rPr>
      </w:pPr>
      <w:r>
        <w:rPr>
          <w:rFonts w:ascii="Arial" w:cs="Arial" w:eastAsia="Arial" w:hAnsi="Arial"/>
          <w:sz w:val="22"/>
          <w:szCs w:val="22"/>
          <w:color w:val="auto"/>
        </w:rPr>
        <w:t>Our memorandum and articles of association provide that no business shall be transacted at any general meeting unless a quorum is present. One or more shareholders present in person or by proxy holding not less than a majority of our issued and outstanding shares entitled to vote at the meeting in question constitute a quorum.</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Provisions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Irish Takeover Rules and Substantial Acquisition Rules</w:t>
      </w:r>
    </w:p>
    <w:p>
      <w:pPr>
        <w:spacing w:after="0" w:line="166" w:lineRule="exact"/>
        <w:rPr>
          <w:sz w:val="20"/>
          <w:szCs w:val="20"/>
          <w:color w:val="auto"/>
        </w:rPr>
      </w:pPr>
    </w:p>
    <w:p>
      <w:pPr>
        <w:ind w:right="120"/>
        <w:spacing w:after="0" w:line="272" w:lineRule="auto"/>
        <w:rPr>
          <w:sz w:val="20"/>
          <w:szCs w:val="20"/>
          <w:color w:val="auto"/>
        </w:rPr>
      </w:pPr>
      <w:r>
        <w:rPr>
          <w:rFonts w:ascii="Arial" w:cs="Arial" w:eastAsia="Arial" w:hAnsi="Arial"/>
          <w:sz w:val="19"/>
          <w:szCs w:val="19"/>
          <w:color w:val="auto"/>
        </w:rPr>
        <w:t>A transaction in which a third party seeks to acquire 30% or more of our voting rights will be governed by the Irish Takeover Panel Act 1997, which is referred to in this exhibit as the “Takeover Panel Act,” and the Irish Takeover Rules made thereunder and will be regulated by the Irish Takeover Panel, which is referred to in this exhibit as the “Panel.” The “General Principles” of the Irish Takeover Rules and certain important aspects of the Irish Takeover Rules are described below.</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General Principles</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color w:val="auto"/>
        </w:rPr>
        <w:t>The Takeover Rules are built on the following General Principles which will apply to any transaction regulated by the Panel:</w:t>
      </w:r>
    </w:p>
    <w:p>
      <w:pPr>
        <w:spacing w:after="0" w:line="29" w:lineRule="exact"/>
        <w:rPr>
          <w:sz w:val="20"/>
          <w:szCs w:val="20"/>
          <w:color w:val="auto"/>
        </w:rPr>
      </w:pPr>
    </w:p>
    <w:p>
      <w:pPr>
        <w:ind w:left="660" w:right="300" w:hanging="328"/>
        <w:spacing w:after="0" w:line="228" w:lineRule="auto"/>
        <w:tabs>
          <w:tab w:leader="none" w:pos="655" w:val="left"/>
        </w:tabs>
        <w:numPr>
          <w:ilvl w:val="0"/>
          <w:numId w:val="94"/>
        </w:numPr>
        <w:rPr>
          <w:rFonts w:ascii="Arial" w:cs="Arial" w:eastAsia="Arial" w:hAnsi="Arial"/>
          <w:sz w:val="21"/>
          <w:szCs w:val="21"/>
          <w:color w:val="auto"/>
        </w:rPr>
      </w:pPr>
      <w:r>
        <w:rPr>
          <w:rFonts w:ascii="Arial" w:cs="Arial" w:eastAsia="Arial" w:hAnsi="Arial"/>
          <w:sz w:val="21"/>
          <w:szCs w:val="21"/>
          <w:color w:val="auto"/>
        </w:rPr>
        <w:t>in the event of an offer, all holders of securities of the target company should be afforded equivalent treatment and, if a person acquires control of a company, the other holders of securities must be protected;</w:t>
      </w:r>
    </w:p>
    <w:p>
      <w:pPr>
        <w:ind w:left="660" w:right="200" w:hanging="328"/>
        <w:spacing w:after="0" w:line="217" w:lineRule="auto"/>
        <w:tabs>
          <w:tab w:leader="none" w:pos="655"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holders of securities in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3" w:lineRule="exact"/>
        <w:rPr>
          <w:rFonts w:ascii="Arial" w:cs="Arial" w:eastAsia="Arial" w:hAnsi="Arial"/>
          <w:sz w:val="22"/>
          <w:szCs w:val="22"/>
          <w:color w:val="auto"/>
        </w:rPr>
      </w:pPr>
    </w:p>
    <w:p>
      <w:pPr>
        <w:ind w:left="660" w:right="480" w:hanging="328"/>
        <w:spacing w:after="0" w:line="217" w:lineRule="auto"/>
        <w:tabs>
          <w:tab w:leader="none" w:pos="655"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board of the target company must act in the interests of the company as a whole and must not deny the holders of securities the opportunity to decide on the merits of the offer;</w:t>
      </w:r>
    </w:p>
    <w:p>
      <w:pPr>
        <w:spacing w:after="0" w:line="1" w:lineRule="exact"/>
        <w:rPr>
          <w:rFonts w:ascii="Arial" w:cs="Arial" w:eastAsia="Arial" w:hAnsi="Arial"/>
          <w:sz w:val="22"/>
          <w:szCs w:val="22"/>
          <w:color w:val="auto"/>
        </w:rPr>
      </w:pPr>
    </w:p>
    <w:p>
      <w:pPr>
        <w:ind w:left="660" w:right="140" w:hanging="328"/>
        <w:spacing w:after="0" w:line="217" w:lineRule="auto"/>
        <w:tabs>
          <w:tab w:leader="none" w:pos="655" w:val="left"/>
        </w:tabs>
        <w:numPr>
          <w:ilvl w:val="0"/>
          <w:numId w:val="94"/>
        </w:numPr>
        <w:rPr>
          <w:rFonts w:ascii="Arial" w:cs="Arial" w:eastAsia="Arial" w:hAnsi="Arial"/>
          <w:sz w:val="22"/>
          <w:szCs w:val="22"/>
          <w:color w:val="auto"/>
        </w:rPr>
      </w:pPr>
      <w:r>
        <w:rPr>
          <w:rFonts w:ascii="Arial" w:cs="Arial" w:eastAsia="Arial" w:hAnsi="Arial"/>
          <w:sz w:val="22"/>
          <w:szCs w:val="22"/>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2" w:lineRule="exact"/>
        <w:rPr>
          <w:rFonts w:ascii="Arial" w:cs="Arial" w:eastAsia="Arial" w:hAnsi="Arial"/>
          <w:sz w:val="22"/>
          <w:szCs w:val="22"/>
          <w:color w:val="auto"/>
        </w:rPr>
      </w:pPr>
    </w:p>
    <w:p>
      <w:pPr>
        <w:ind w:left="660" w:right="440" w:hanging="328"/>
        <w:spacing w:after="0" w:line="252" w:lineRule="auto"/>
        <w:tabs>
          <w:tab w:leader="none" w:pos="655" w:val="left"/>
        </w:tabs>
        <w:numPr>
          <w:ilvl w:val="0"/>
          <w:numId w:val="94"/>
        </w:numPr>
        <w:rPr>
          <w:rFonts w:ascii="Arial" w:cs="Arial" w:eastAsia="Arial" w:hAnsi="Arial"/>
          <w:sz w:val="19"/>
          <w:szCs w:val="19"/>
          <w:color w:val="auto"/>
        </w:rPr>
      </w:pPr>
      <w:r>
        <w:rPr>
          <w:rFonts w:ascii="Arial" w:cs="Arial" w:eastAsia="Arial" w:hAnsi="Arial"/>
          <w:sz w:val="19"/>
          <w:szCs w:val="19"/>
          <w:color w:val="auto"/>
        </w:rPr>
        <w:t>a bidder must announce an offer only after ensuring that he or she can fulfill in full, any cash consideration, if such is offered and after taking all reasonable measures to secure the implementation of any other type of consideration;</w:t>
      </w:r>
    </w:p>
    <w:p>
      <w:pPr>
        <w:ind w:left="660" w:right="760" w:hanging="328"/>
        <w:spacing w:after="0" w:line="217" w:lineRule="auto"/>
        <w:tabs>
          <w:tab w:leader="none" w:pos="655" w:val="left"/>
        </w:tabs>
        <w:numPr>
          <w:ilvl w:val="0"/>
          <w:numId w:val="94"/>
        </w:numPr>
        <w:rPr>
          <w:rFonts w:ascii="Arial" w:cs="Arial" w:eastAsia="Arial" w:hAnsi="Arial"/>
          <w:sz w:val="22"/>
          <w:szCs w:val="22"/>
          <w:color w:val="auto"/>
        </w:rPr>
      </w:pPr>
      <w:r>
        <w:rPr>
          <w:rFonts w:ascii="Arial" w:cs="Arial" w:eastAsia="Arial" w:hAnsi="Arial"/>
          <w:sz w:val="22"/>
          <w:szCs w:val="22"/>
          <w:color w:val="auto"/>
        </w:rPr>
        <w:t>a target company must not be hindered in the conduct of its affairs for longer than is reasonable by an offer for its securities; and</w:t>
      </w:r>
    </w:p>
    <w:p>
      <w:pPr>
        <w:spacing w:after="0" w:line="1" w:lineRule="exact"/>
        <w:rPr>
          <w:rFonts w:ascii="Arial" w:cs="Arial" w:eastAsia="Arial" w:hAnsi="Arial"/>
          <w:sz w:val="22"/>
          <w:szCs w:val="22"/>
          <w:color w:val="auto"/>
        </w:rPr>
      </w:pPr>
    </w:p>
    <w:p>
      <w:pPr>
        <w:ind w:left="660" w:right="800" w:hanging="328"/>
        <w:spacing w:after="0" w:line="293" w:lineRule="auto"/>
        <w:tabs>
          <w:tab w:leader="none" w:pos="655" w:val="left"/>
        </w:tabs>
        <w:numPr>
          <w:ilvl w:val="0"/>
          <w:numId w:val="94"/>
        </w:numPr>
        <w:rPr>
          <w:rFonts w:ascii="Arial" w:cs="Arial" w:eastAsia="Arial" w:hAnsi="Arial"/>
          <w:sz w:val="19"/>
          <w:szCs w:val="19"/>
          <w:color w:val="auto"/>
        </w:rPr>
      </w:pPr>
      <w:r>
        <w:rPr>
          <w:rFonts w:ascii="Arial" w:cs="Arial" w:eastAsia="Arial" w:hAnsi="Arial"/>
          <w:sz w:val="19"/>
          <w:szCs w:val="19"/>
          <w:color w:val="auto"/>
        </w:rPr>
        <w:t>a substantial acquisition of securities (whether such acquisition is to be effected by one transactions or a series of transactions) shall take place only at an acceptable speed and shall be subject to adequate and timely disclosure.</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Mandatory Bid</w:t>
      </w:r>
    </w:p>
    <w:p>
      <w:pPr>
        <w:spacing w:after="0" w:line="152" w:lineRule="exact"/>
        <w:rPr>
          <w:sz w:val="20"/>
          <w:szCs w:val="20"/>
          <w:color w:val="auto"/>
        </w:rPr>
      </w:pPr>
    </w:p>
    <w:p>
      <w:pPr>
        <w:spacing w:after="0" w:line="231" w:lineRule="auto"/>
        <w:rPr>
          <w:sz w:val="20"/>
          <w:szCs w:val="20"/>
          <w:color w:val="auto"/>
        </w:rPr>
      </w:pPr>
      <w:r>
        <w:rPr>
          <w:rFonts w:ascii="Arial" w:cs="Arial" w:eastAsia="Arial" w:hAnsi="Arial"/>
          <w:sz w:val="22"/>
          <w:szCs w:val="22"/>
          <w:color w:val="auto"/>
        </w:rPr>
        <w:t>Under certain circumstances, a person who acquires our shares or other voting rights in Endo may be required under the Takeover Rules to make a mandatory cash offer for our remaining outstanding shares at a price not less than the highest price paid for the shares by the acquirer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20"/>
          </w:cols>
          <w:pgMar w:left="320" w:top="1440" w:right="359" w:bottom="1440" w:gutter="0" w:footer="0" w:header="0"/>
        </w:sectPr>
      </w:pPr>
    </w:p>
    <w:bookmarkStart w:id="154" w:name="page155"/>
    <w:bookmarkEnd w:id="154"/>
    <w:p>
      <w:pPr>
        <w:spacing w:after="0" w:line="150"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any parties acting in concert with the acquirer) during the previous 12 months. This mandatory bid requirement is triggered if an acquisition of shares would increase the aggregate holding of an acquirer (including the holdings of any parties acting in concert with the acquirer) to shares representing 30% or more of the voting rights in Endo, unless the Panel otherwise consents. An acquisition of shares by a person holding (together with its concert parties) shares representing between 30% and 50% of the voting rights in Endo would also trigger the mandatory bid requirement if, after giving effect to the acquisition, the percentage of the voting rights held by that person (together with its concert parties) would increase by 0.05% within a 12-month period. Any person (excluding any parties acting in concert with the holder) holding shares representing more than 50% of the voting rights of a company is not subject to these mandatory offer requirements in purchasing additional securities.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Voluntary Bid; Requirements to Make a Cash Offer and Minimum Price Requirements</w:t>
      </w:r>
    </w:p>
    <w:p>
      <w:pPr>
        <w:spacing w:after="0" w:line="152" w:lineRule="exact"/>
        <w:rPr>
          <w:sz w:val="20"/>
          <w:szCs w:val="20"/>
          <w:color w:val="auto"/>
        </w:rPr>
      </w:pPr>
    </w:p>
    <w:p>
      <w:pPr>
        <w:ind w:right="160"/>
        <w:spacing w:after="0" w:line="228" w:lineRule="auto"/>
        <w:rPr>
          <w:sz w:val="20"/>
          <w:szCs w:val="20"/>
          <w:color w:val="auto"/>
        </w:rPr>
      </w:pPr>
      <w:r>
        <w:rPr>
          <w:rFonts w:ascii="Arial" w:cs="Arial" w:eastAsia="Arial" w:hAnsi="Arial"/>
          <w:sz w:val="22"/>
          <w:szCs w:val="22"/>
          <w:color w:val="auto"/>
        </w:rPr>
        <w:t>If a person makes a voluntary offer to acquire our outstanding Ordinary Shares, the offer price must be no less than the highest price paid for our Ordinary Shares by the bidder or its concert parties during the three-month period prior to the commencement of the offer period. The Panel has the power to extend the “look back” period to 12 months if the Panel, taking into account the General Principles, believes it is appropriate to do so.</w:t>
      </w:r>
    </w:p>
    <w:p>
      <w:pPr>
        <w:spacing w:after="0" w:line="132"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If the bidder or any of its concert parties has acquired our Ordinary Shares (i) during the period of 12 months prior to the commencement of the offer period which represent more than 10% of our total Ordinary Shares or (ii) at any time after the commencement of the offer period, the offer must be in cash (or accompanied by a full cash alternative) and the price per Ordinary Share must not be less than the highest price paid by the bidder or its concert parties during, in the case of (i), the 12-month period prior to the commencement of the offer period and, in the case of (ii), the offer period. The Panel may apply this rule to a bidder who, together with its concert parties, has acquired less than 10% of our total Ordinary Shares in the 12-month period prior to the commencement of the offer period if the Panel, taking into account the General Principles, considers it just and proper to do so. An offer period will generally commence from the date of the first announcement of the offer or proposed offer.</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Substantial Acquisition Rules</w:t>
      </w:r>
    </w:p>
    <w:p>
      <w:pPr>
        <w:spacing w:after="0" w:line="152" w:lineRule="exact"/>
        <w:rPr>
          <w:sz w:val="20"/>
          <w:szCs w:val="20"/>
          <w:color w:val="auto"/>
        </w:rPr>
      </w:pPr>
    </w:p>
    <w:p>
      <w:pPr>
        <w:ind w:right="60"/>
        <w:spacing w:after="0" w:line="234" w:lineRule="auto"/>
        <w:rPr>
          <w:sz w:val="20"/>
          <w:szCs w:val="20"/>
          <w:color w:val="auto"/>
        </w:rPr>
      </w:pPr>
      <w:r>
        <w:rPr>
          <w:rFonts w:ascii="Arial" w:cs="Arial" w:eastAsia="Arial" w:hAnsi="Arial"/>
          <w:sz w:val="21"/>
          <w:szCs w:val="21"/>
          <w:color w:val="auto"/>
        </w:rPr>
        <w:t>The Irish Takeover Rules also contain rules governing substantial acquisitions of shares which restrict the speed at which a person may increase his or her holding of shares and rights over shares to an aggregate of between 15% and 30% of the voting rights of Endo. Except in certain circumstances, an acquisition or series of acquisitions of shares or rights over shares representing 10% or more of the voting rights of Endo is prohibited, if such acquisition(s), when aggregated with shares or rights already held, would result in the acquirer holding 15% or more but less than 30% of the voting rights of Endo and such acquisitions are made within a period of seven days. These rules also require accelerated disclosure of acquisitions of shares or rights over shares relating to such holdings.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Frustrating Action</w:t>
      </w:r>
    </w:p>
    <w:p>
      <w:pPr>
        <w:spacing w:after="0" w:line="166" w:lineRule="exact"/>
        <w:rPr>
          <w:sz w:val="20"/>
          <w:szCs w:val="20"/>
          <w:color w:val="auto"/>
        </w:rPr>
      </w:pPr>
    </w:p>
    <w:p>
      <w:pPr>
        <w:ind w:right="100"/>
        <w:spacing w:after="0" w:line="231" w:lineRule="auto"/>
        <w:rPr>
          <w:sz w:val="20"/>
          <w:szCs w:val="20"/>
          <w:color w:val="auto"/>
        </w:rPr>
      </w:pPr>
      <w:r>
        <w:rPr>
          <w:rFonts w:ascii="Arial" w:cs="Arial" w:eastAsia="Arial" w:hAnsi="Arial"/>
          <w:sz w:val="22"/>
          <w:szCs w:val="22"/>
          <w:color w:val="auto"/>
        </w:rPr>
        <w:t>Under the Takeover Rules, our board of directors is not permitted to take any action which might frustrate an offer for our shares once our board of directors has received an approach which may lead to an offer or has reason to believe an offer is or may be imminent,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20"/>
          </w:cols>
          <w:pgMar w:left="320" w:top="1440" w:right="359" w:bottom="1440" w:gutter="0" w:footer="0" w:header="0"/>
        </w:sectPr>
      </w:pPr>
    </w:p>
    <w:bookmarkStart w:id="155" w:name="page156"/>
    <w:bookmarkEnd w:id="155"/>
    <w:p>
      <w:pPr>
        <w:spacing w:after="0" w:line="150" w:lineRule="exact"/>
        <w:rPr>
          <w:sz w:val="20"/>
          <w:szCs w:val="20"/>
          <w:color w:val="auto"/>
        </w:rPr>
      </w:pPr>
    </w:p>
    <w:p>
      <w:pPr>
        <w:ind w:right="300"/>
        <w:spacing w:after="0" w:line="257" w:lineRule="auto"/>
        <w:rPr>
          <w:sz w:val="20"/>
          <w:szCs w:val="20"/>
          <w:color w:val="auto"/>
        </w:rPr>
      </w:pPr>
      <w:r>
        <w:rPr>
          <w:rFonts w:ascii="Arial" w:cs="Arial" w:eastAsia="Arial" w:hAnsi="Arial"/>
          <w:sz w:val="19"/>
          <w:szCs w:val="19"/>
          <w:color w:val="auto"/>
        </w:rPr>
        <w:t>Potentially frustrating actions such as (i) the issue of shares, options or convertible securities; (ii) material acquisitions or disposals; (iii) entering into contracts other than in the ordinary course of business; or (iv) any action, other than seeking alternative offers, which may result in frustration of an offer, are prohibited during the course of an offer or at any time during which the board has reason to believe an offer is or may be imminent. Exceptions to this prohibition are available where:</w:t>
      </w:r>
    </w:p>
    <w:p>
      <w:pPr>
        <w:ind w:left="700" w:hanging="328"/>
        <w:spacing w:after="0" w:line="217" w:lineRule="auto"/>
        <w:tabs>
          <w:tab w:leader="none" w:pos="70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action is approved by our shareholders at a general meeting; or</w:t>
      </w:r>
    </w:p>
    <w:p>
      <w:pPr>
        <w:ind w:left="700" w:hanging="328"/>
        <w:spacing w:after="0" w:line="217" w:lineRule="auto"/>
        <w:tabs>
          <w:tab w:leader="none" w:pos="70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Panel has given its consent, where:</w:t>
      </w:r>
    </w:p>
    <w:p>
      <w:pPr>
        <w:ind w:left="1300" w:hanging="280"/>
        <w:spacing w:after="0" w:line="218" w:lineRule="auto"/>
        <w:tabs>
          <w:tab w:leader="none" w:pos="1300" w:val="left"/>
        </w:tabs>
        <w:numPr>
          <w:ilvl w:val="0"/>
          <w:numId w:val="96"/>
        </w:numPr>
        <w:rPr>
          <w:rFonts w:ascii="Arial" w:cs="Arial" w:eastAsia="Arial" w:hAnsi="Arial"/>
          <w:sz w:val="20"/>
          <w:szCs w:val="20"/>
          <w:color w:val="auto"/>
        </w:rPr>
      </w:pPr>
      <w:r>
        <w:rPr>
          <w:rFonts w:ascii="Arial" w:cs="Arial" w:eastAsia="Arial" w:hAnsi="Arial"/>
          <w:sz w:val="22"/>
          <w:szCs w:val="22"/>
          <w:color w:val="auto"/>
        </w:rPr>
        <w:t>it is satisfied the action would not constitute frustrating action;</w:t>
      </w:r>
    </w:p>
    <w:p>
      <w:pPr>
        <w:ind w:left="1340" w:right="120" w:hanging="320"/>
        <w:spacing w:after="0" w:line="217" w:lineRule="auto"/>
        <w:tabs>
          <w:tab w:leader="none" w:pos="1295" w:val="left"/>
        </w:tabs>
        <w:numPr>
          <w:ilvl w:val="0"/>
          <w:numId w:val="96"/>
        </w:numPr>
        <w:rPr>
          <w:rFonts w:ascii="Arial" w:cs="Arial" w:eastAsia="Arial" w:hAnsi="Arial"/>
          <w:sz w:val="20"/>
          <w:szCs w:val="20"/>
          <w:color w:val="auto"/>
        </w:rPr>
      </w:pPr>
      <w:r>
        <w:rPr>
          <w:rFonts w:ascii="Arial" w:cs="Arial" w:eastAsia="Arial" w:hAnsi="Arial"/>
          <w:sz w:val="22"/>
          <w:szCs w:val="22"/>
          <w:color w:val="auto"/>
        </w:rPr>
        <w:t>our shareholders that hold 50% of the voting rights in Endo state in writing that they approve the proposed action and would vote in favor of it at a general meeting;</w:t>
      </w:r>
    </w:p>
    <w:p>
      <w:pPr>
        <w:spacing w:after="0" w:line="1" w:lineRule="exact"/>
        <w:rPr>
          <w:rFonts w:ascii="Arial" w:cs="Arial" w:eastAsia="Arial" w:hAnsi="Arial"/>
          <w:sz w:val="20"/>
          <w:szCs w:val="20"/>
          <w:color w:val="auto"/>
        </w:rPr>
      </w:pPr>
    </w:p>
    <w:p>
      <w:pPr>
        <w:ind w:left="1300" w:hanging="280"/>
        <w:spacing w:after="0" w:line="228" w:lineRule="auto"/>
        <w:tabs>
          <w:tab w:leader="none" w:pos="1300" w:val="left"/>
        </w:tabs>
        <w:numPr>
          <w:ilvl w:val="0"/>
          <w:numId w:val="96"/>
        </w:numPr>
        <w:rPr>
          <w:rFonts w:ascii="Arial" w:cs="Arial" w:eastAsia="Arial" w:hAnsi="Arial"/>
          <w:sz w:val="19"/>
          <w:szCs w:val="19"/>
          <w:color w:val="auto"/>
        </w:rPr>
      </w:pPr>
      <w:r>
        <w:rPr>
          <w:rFonts w:ascii="Arial" w:cs="Arial" w:eastAsia="Arial" w:hAnsi="Arial"/>
          <w:sz w:val="21"/>
          <w:szCs w:val="21"/>
          <w:color w:val="auto"/>
        </w:rPr>
        <w:t>the action is taken in accordance with a contract entered into prior to the announcement of the offer; or</w:t>
      </w:r>
    </w:p>
    <w:p>
      <w:pPr>
        <w:ind w:left="1340" w:right="640" w:hanging="320"/>
        <w:spacing w:after="0" w:line="230" w:lineRule="auto"/>
        <w:tabs>
          <w:tab w:leader="none" w:pos="1295" w:val="left"/>
        </w:tabs>
        <w:numPr>
          <w:ilvl w:val="0"/>
          <w:numId w:val="96"/>
        </w:numPr>
        <w:rPr>
          <w:rFonts w:ascii="Arial" w:cs="Arial" w:eastAsia="Arial" w:hAnsi="Arial"/>
          <w:sz w:val="20"/>
          <w:szCs w:val="20"/>
          <w:color w:val="auto"/>
        </w:rPr>
      </w:pPr>
      <w:r>
        <w:rPr>
          <w:rFonts w:ascii="Arial" w:cs="Arial" w:eastAsia="Arial" w:hAnsi="Arial"/>
          <w:sz w:val="22"/>
          <w:szCs w:val="22"/>
          <w:color w:val="auto"/>
        </w:rPr>
        <w:t>the decision to take such action was made before the announcement of the offer and either has been at least partially implemented or is in the ordinary course of business.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Rights Agreement</w:t>
      </w:r>
    </w:p>
    <w:p>
      <w:pPr>
        <w:spacing w:after="0" w:line="152" w:lineRule="exact"/>
        <w:rPr>
          <w:sz w:val="20"/>
          <w:szCs w:val="20"/>
          <w:color w:val="auto"/>
        </w:rPr>
      </w:pPr>
    </w:p>
    <w:p>
      <w:pPr>
        <w:ind w:right="240"/>
        <w:spacing w:after="0" w:line="231" w:lineRule="auto"/>
        <w:rPr>
          <w:sz w:val="20"/>
          <w:szCs w:val="20"/>
          <w:color w:val="auto"/>
        </w:rPr>
      </w:pPr>
      <w:r>
        <w:rPr>
          <w:rFonts w:ascii="Arial" w:cs="Arial" w:eastAsia="Arial" w:hAnsi="Arial"/>
          <w:sz w:val="22"/>
          <w:szCs w:val="22"/>
          <w:color w:val="auto"/>
        </w:rPr>
        <w:t>Our memorandum and articles of association expressly authorize the adoption of a shareholders’ rights plan. Irish law does not expressly authorize or prohibit companies from issuing share purchase rights or adopting a shareholder rights plan as an anti-takeover measure.</w:t>
      </w:r>
    </w:p>
    <w:p>
      <w:pPr>
        <w:spacing w:after="0" w:line="134" w:lineRule="exact"/>
        <w:rPr>
          <w:sz w:val="20"/>
          <w:szCs w:val="20"/>
          <w:color w:val="auto"/>
        </w:rPr>
      </w:pPr>
    </w:p>
    <w:p>
      <w:pPr>
        <w:ind w:right="280"/>
        <w:spacing w:after="0" w:line="239" w:lineRule="auto"/>
        <w:rPr>
          <w:sz w:val="20"/>
          <w:szCs w:val="20"/>
          <w:color w:val="auto"/>
        </w:rPr>
      </w:pPr>
      <w:r>
        <w:rPr>
          <w:rFonts w:ascii="Arial" w:cs="Arial" w:eastAsia="Arial" w:hAnsi="Arial"/>
          <w:sz w:val="22"/>
          <w:szCs w:val="22"/>
          <w:color w:val="auto"/>
        </w:rPr>
        <w:t>However, there is no directly relevant case law on the validity of such plans under Irish law and their interaction with the Irish Takeover Rules and the General Principles underlying the Irish Takeover Rules.</w:t>
      </w:r>
    </w:p>
    <w:p>
      <w:pPr>
        <w:spacing w:after="0" w:line="144" w:lineRule="exact"/>
        <w:rPr>
          <w:sz w:val="20"/>
          <w:szCs w:val="20"/>
          <w:color w:val="auto"/>
        </w:rPr>
      </w:pPr>
    </w:p>
    <w:p>
      <w:pPr>
        <w:ind w:right="160"/>
        <w:spacing w:after="0" w:line="313" w:lineRule="auto"/>
        <w:rPr>
          <w:sz w:val="20"/>
          <w:szCs w:val="20"/>
          <w:color w:val="auto"/>
        </w:rPr>
      </w:pPr>
      <w:r>
        <w:rPr>
          <w:rFonts w:ascii="Arial" w:cs="Arial" w:eastAsia="Arial" w:hAnsi="Arial"/>
          <w:sz w:val="19"/>
          <w:szCs w:val="19"/>
          <w:color w:val="auto"/>
        </w:rPr>
        <w:t>Subject to the Irish Takeover Rules described above, our board of directors also has power to issue any authorized and unissued shares on such terms and conditions as it may determine and any such action should be taken in our best interests.</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Duration; Dissolution; Rights upon Liquidation</w:t>
      </w:r>
    </w:p>
    <w:p>
      <w:pPr>
        <w:spacing w:after="0" w:line="98"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Our duration is unlimited. We may be dissolved and wound up at any time by way of a shareholders’ voluntary winding up or a creditors’ winding up. In the case of a shareholders’ voluntary winding-up, a special resolution of shareholders is required. We may also be dissolved by way of court order on the application of a creditor, or by the Companies Registration Office as an enforcement measure where we have failed to file certain returns.</w:t>
      </w:r>
    </w:p>
    <w:p>
      <w:pPr>
        <w:spacing w:after="0" w:line="188" w:lineRule="exact"/>
        <w:rPr>
          <w:sz w:val="20"/>
          <w:szCs w:val="20"/>
          <w:color w:val="auto"/>
        </w:rPr>
      </w:pPr>
    </w:p>
    <w:p>
      <w:pPr>
        <w:ind w:right="440"/>
        <w:spacing w:after="0" w:line="263" w:lineRule="auto"/>
        <w:rPr>
          <w:sz w:val="20"/>
          <w:szCs w:val="20"/>
          <w:color w:val="auto"/>
        </w:rPr>
      </w:pPr>
      <w:r>
        <w:rPr>
          <w:rFonts w:ascii="Arial" w:cs="Arial" w:eastAsia="Arial" w:hAnsi="Arial"/>
          <w:sz w:val="22"/>
          <w:szCs w:val="22"/>
          <w:color w:val="auto"/>
        </w:rPr>
        <w:t>The rights of the shareholders to a return of our assets on dissolution or winding up, following the settlement of all claims of creditors are prescribed in our articles of association.</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Acquisitions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An Irish public limited company may be acquired in a number of ways, including:</w:t>
      </w:r>
    </w:p>
    <w:p>
      <w:pPr>
        <w:ind w:left="700" w:hanging="328"/>
        <w:spacing w:after="0" w:line="226" w:lineRule="auto"/>
        <w:tabs>
          <w:tab w:leader="none" w:pos="695" w:val="left"/>
        </w:tabs>
        <w:numPr>
          <w:ilvl w:val="0"/>
          <w:numId w:val="97"/>
        </w:numPr>
        <w:rPr>
          <w:rFonts w:ascii="Arial" w:cs="Arial" w:eastAsia="Arial" w:hAnsi="Arial"/>
          <w:sz w:val="22"/>
          <w:szCs w:val="22"/>
          <w:color w:val="auto"/>
        </w:rPr>
      </w:pPr>
      <w:r>
        <w:rPr>
          <w:rFonts w:ascii="Arial" w:cs="Arial" w:eastAsia="Arial" w:hAnsi="Arial"/>
          <w:sz w:val="22"/>
          <w:szCs w:val="22"/>
          <w:color w:val="auto"/>
        </w:rPr>
        <w:t>a court-approved scheme of arrangement under the Companies Act. A scheme of arrangement requires a court order from the Irish High Court and the approval of a majority in number representing 75% in value of the shareholders present and voting in person or by proxy at a meeting called to approve the scheme;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00"/>
          </w:cols>
          <w:pgMar w:left="320" w:top="1440" w:right="379" w:bottom="1440" w:gutter="0" w:footer="0" w:header="0"/>
        </w:sectPr>
      </w:pPr>
    </w:p>
    <w:bookmarkStart w:id="156" w:name="page157"/>
    <w:bookmarkEnd w:id="156"/>
    <w:p>
      <w:pPr>
        <w:ind w:left="700" w:right="60" w:hanging="328"/>
        <w:spacing w:after="0" w:line="220" w:lineRule="auto"/>
        <w:tabs>
          <w:tab w:leader="none" w:pos="695"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through a tender or takeover offer by a third party for all of our shares. Where the holders of 80% or more of our Ordinary Shares have accepted an offer for their shares in us, the remaining shareholders may also be statutorily required to transfer their shares. If the bidder does not exercise its “squeeze out” right, then the non-accepting shareholders also have a statutory right to require the bidder to acquire their shares on the same terms. If our shares were to be listed on the Irish Stock Exchange or another regulated stock exchange in the European Union, this threshold would be increased to 90%; and</w:t>
      </w:r>
    </w:p>
    <w:p>
      <w:pPr>
        <w:spacing w:after="0" w:line="3" w:lineRule="exact"/>
        <w:rPr>
          <w:rFonts w:ascii="Arial" w:cs="Arial" w:eastAsia="Arial" w:hAnsi="Arial"/>
          <w:sz w:val="22"/>
          <w:szCs w:val="22"/>
          <w:color w:val="auto"/>
        </w:rPr>
      </w:pPr>
    </w:p>
    <w:p>
      <w:pPr>
        <w:ind w:left="700" w:right="100" w:hanging="328"/>
        <w:spacing w:after="0" w:line="222" w:lineRule="auto"/>
        <w:tabs>
          <w:tab w:leader="none" w:pos="695" w:val="left"/>
        </w:tabs>
        <w:numPr>
          <w:ilvl w:val="0"/>
          <w:numId w:val="98"/>
        </w:numPr>
        <w:rPr>
          <w:rFonts w:ascii="Arial" w:cs="Arial" w:eastAsia="Arial" w:hAnsi="Arial"/>
          <w:sz w:val="22"/>
          <w:szCs w:val="22"/>
          <w:color w:val="auto"/>
        </w:rPr>
      </w:pPr>
      <w:r>
        <w:rPr>
          <w:rFonts w:ascii="Arial" w:cs="Arial" w:eastAsia="Arial" w:hAnsi="Arial"/>
          <w:sz w:val="22"/>
          <w:szCs w:val="22"/>
          <w:color w:val="auto"/>
        </w:rPr>
        <w:t>by way of a merger with a company incorporated in the European Economic Area (“EEA”) under the EU Directive 2017/1132 of the European Parliament and of the Council of 14 June 2017 as implemented in Ireland by the European Communities (Cross- Border Mergers) Regulations 2008 (as amended) or with another Irish company under the Companies Act. Such a merger must be approved by a special resolution. Shareholders also may be entitled to have their shares acquired for cash. See “Appraisal Rights.”</w:t>
      </w:r>
    </w:p>
    <w:p>
      <w:pPr>
        <w:spacing w:after="0" w:line="135" w:lineRule="exact"/>
        <w:rPr>
          <w:sz w:val="20"/>
          <w:szCs w:val="20"/>
          <w:color w:val="auto"/>
        </w:rPr>
      </w:pPr>
    </w:p>
    <w:p>
      <w:pPr>
        <w:ind w:right="260"/>
        <w:spacing w:after="0" w:line="239" w:lineRule="auto"/>
        <w:rPr>
          <w:sz w:val="20"/>
          <w:szCs w:val="20"/>
          <w:color w:val="auto"/>
        </w:rPr>
      </w:pPr>
      <w:r>
        <w:rPr>
          <w:rFonts w:ascii="Arial" w:cs="Arial" w:eastAsia="Arial" w:hAnsi="Arial"/>
          <w:sz w:val="22"/>
          <w:szCs w:val="22"/>
          <w:color w:val="auto"/>
        </w:rPr>
        <w:t>Irish law does not generally require shareholder approval for a sale, lease or exchange of all or substantially all of a company’s property and assets.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Appraisal Rights</w:t>
      </w:r>
    </w:p>
    <w:p>
      <w:pPr>
        <w:spacing w:after="0" w:line="152"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Generally, under Irish law, shareholders of an Irish company do not have dissenters’ or appraisal rights. If we are being merged as the transferor company with an EEA company the EU Directive 2017/1132 of the European Parliament and of the Council of 14 June 2017 as implemented in Ireland by the European Communities (Cross- Border Mergers) Regulations 2008 (as amended), or if we are being merged with another Irish company under the Irish Companies Act, (i) any of our shareholders who voted against the special resolution approving the transaction or (ii) if 90% of our shares are held by the successor company, any of our other shareholders, may be entitled to require that the successor company acquire its shares for cash at a price determined in accordance with the share exchange ratio set out in the merger agreement.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 Exchange Listing</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Our Ordinary Shares are traded on NASDAQ under the ticker symbol “ENDP.”</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Transfer and Registration of Shares</w:t>
      </w:r>
    </w:p>
    <w:p>
      <w:pPr>
        <w:spacing w:after="0" w:line="152" w:lineRule="exact"/>
        <w:rPr>
          <w:sz w:val="20"/>
          <w:szCs w:val="20"/>
          <w:color w:val="auto"/>
        </w:rPr>
      </w:pPr>
    </w:p>
    <w:p>
      <w:pPr>
        <w:ind w:right="40"/>
        <w:spacing w:after="0" w:line="264" w:lineRule="auto"/>
        <w:rPr>
          <w:sz w:val="20"/>
          <w:szCs w:val="20"/>
          <w:color w:val="auto"/>
        </w:rPr>
      </w:pPr>
      <w:r>
        <w:rPr>
          <w:rFonts w:ascii="Arial" w:cs="Arial" w:eastAsia="Arial" w:hAnsi="Arial"/>
          <w:sz w:val="19"/>
          <w:szCs w:val="19"/>
          <w:color w:val="auto"/>
        </w:rPr>
        <w:t>An affiliate of our transfer agent, Computershare Investor Services Inc., Computershare Investor Services (Ireland) Limited, maintains the share register, registration in which will be determinative of membership in Endo. Each of our shareholders who holds shares beneficially will not be the holder of record of such shares. Instead, the depository or other nominee will be the holder of record of those shares. Accordingly, a transfer of shares from a person who holds such shares beneficially to a person who also holds such shares beneficially through a depository or other nominee will not be registered in our official share register, as the depository or other nominee will remain the record holder of any such shares.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A written instrument of transfer is required under Irish law in order to register on our official share register any transfer of shares</w:t>
      </w:r>
    </w:p>
    <w:p>
      <w:pPr>
        <w:spacing w:after="0" w:line="29" w:lineRule="exact"/>
        <w:rPr>
          <w:sz w:val="20"/>
          <w:szCs w:val="20"/>
          <w:color w:val="auto"/>
        </w:rPr>
      </w:pPr>
    </w:p>
    <w:p>
      <w:pPr>
        <w:ind w:right="260" w:firstLine="8"/>
        <w:spacing w:after="0" w:line="293" w:lineRule="auto"/>
        <w:tabs>
          <w:tab w:leader="none" w:pos="258" w:val="left"/>
        </w:tabs>
        <w:numPr>
          <w:ilvl w:val="0"/>
          <w:numId w:val="99"/>
        </w:numPr>
        <w:rPr>
          <w:rFonts w:ascii="Arial" w:cs="Arial" w:eastAsia="Arial" w:hAnsi="Arial"/>
          <w:sz w:val="19"/>
          <w:szCs w:val="19"/>
          <w:color w:val="auto"/>
        </w:rPr>
      </w:pPr>
      <w:r>
        <w:rPr>
          <w:rFonts w:ascii="Arial" w:cs="Arial" w:eastAsia="Arial" w:hAnsi="Arial"/>
          <w:sz w:val="19"/>
          <w:szCs w:val="19"/>
          <w:color w:val="auto"/>
        </w:rPr>
        <w:t>from a person who holds such shares directly to any other person; (ii) from a person who holds such shares beneficially to a person who holds such shares directly; or (iii) from a person who holds such shares beneficially to another person who holds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20"/>
          </w:cols>
          <w:pgMar w:left="320" w:top="1414" w:right="359" w:bottom="1440" w:gutter="0" w:footer="0" w:header="0"/>
        </w:sectPr>
      </w:pPr>
    </w:p>
    <w:bookmarkStart w:id="157" w:name="page158"/>
    <w:bookmarkEnd w:id="157"/>
    <w:p>
      <w:pPr>
        <w:spacing w:after="0" w:line="150" w:lineRule="exact"/>
        <w:rPr>
          <w:sz w:val="20"/>
          <w:szCs w:val="20"/>
          <w:color w:val="auto"/>
        </w:rPr>
      </w:pPr>
    </w:p>
    <w:p>
      <w:pPr>
        <w:ind w:right="280"/>
        <w:spacing w:after="0" w:line="239" w:lineRule="auto"/>
        <w:rPr>
          <w:sz w:val="20"/>
          <w:szCs w:val="20"/>
          <w:color w:val="auto"/>
        </w:rPr>
      </w:pPr>
      <w:r>
        <w:rPr>
          <w:rFonts w:ascii="Arial" w:cs="Arial" w:eastAsia="Arial" w:hAnsi="Arial"/>
          <w:sz w:val="22"/>
          <w:szCs w:val="22"/>
          <w:color w:val="auto"/>
        </w:rPr>
        <w:t>such shares beneficially where the transfer involves a change in the depository or other nominee that is the record owner of the transferred shares.</w:t>
      </w:r>
    </w:p>
    <w:p>
      <w:pPr>
        <w:spacing w:after="0" w:line="144" w:lineRule="exact"/>
        <w:rPr>
          <w:sz w:val="20"/>
          <w:szCs w:val="20"/>
          <w:color w:val="auto"/>
        </w:rPr>
      </w:pPr>
    </w:p>
    <w:p>
      <w:pPr>
        <w:spacing w:after="0" w:line="224" w:lineRule="auto"/>
        <w:rPr>
          <w:sz w:val="20"/>
          <w:szCs w:val="20"/>
          <w:color w:val="auto"/>
        </w:rPr>
      </w:pPr>
      <w:r>
        <w:rPr>
          <w:rFonts w:ascii="Arial" w:cs="Arial" w:eastAsia="Arial" w:hAnsi="Arial"/>
          <w:sz w:val="22"/>
          <w:szCs w:val="22"/>
          <w:color w:val="auto"/>
        </w:rPr>
        <w:t>An instrument of transfer is also required for a shareholder who directly holds shares to transfer those shares into his or her own broker account (or vice versa). Such instruments of transfer may give rise to Irish stamp duty, which must be paid prior to registration of the transfer on our official Irish share register. However, a shareholder who directly holds shares may transfer those shares into his or her own broker account (or vice versa) without giving rise to Irish stamp duty, provided there is no change in the ultimate beneficial ownership of the shares as a result of the transfer and the transfer is not made in contemplation of a sale of the shares.</w:t>
      </w:r>
    </w:p>
    <w:p>
      <w:pPr>
        <w:spacing w:after="0" w:line="136"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Any transfer of our Ordinary Shares that is subject to Irish stamp duty will not be registered in the name of the buyer unless an instrument of transfer is duly stamped and provided to the transfer agent. Our articles of association allow us, in our absolute discretion, to create an instrument of transfer and pay (or procure the payment of) any stamp duty, which is the legal obligation of a buyer. In the event of any such payment, we are (on our own behalf or on behalf of our affiliates) entitled to (i) seek reimbursement from the buyer or seller (at our discretion); (ii) set-off the amount of the stamp duty against future dividends payable to the buyer or seller (at our discretion); and (iii) claim a lien against our Ordinary Shares on which we have paid stamp duty. Parties to a share transfer may assume that any stamp duty arising in respect of a transaction in our Ordinary Shares has been paid unless one or both of such parties is otherwise notified by us.</w:t>
      </w:r>
    </w:p>
    <w:p>
      <w:pPr>
        <w:spacing w:after="0" w:line="118" w:lineRule="exact"/>
        <w:rPr>
          <w:sz w:val="20"/>
          <w:szCs w:val="20"/>
          <w:color w:val="auto"/>
        </w:rPr>
      </w:pPr>
    </w:p>
    <w:p>
      <w:pPr>
        <w:ind w:right="320"/>
        <w:spacing w:after="0" w:line="239" w:lineRule="auto"/>
        <w:rPr>
          <w:sz w:val="20"/>
          <w:szCs w:val="20"/>
          <w:color w:val="auto"/>
        </w:rPr>
      </w:pPr>
      <w:r>
        <w:rPr>
          <w:rFonts w:ascii="Arial" w:cs="Arial" w:eastAsia="Arial" w:hAnsi="Arial"/>
          <w:sz w:val="22"/>
          <w:szCs w:val="22"/>
          <w:color w:val="auto"/>
        </w:rPr>
        <w:t>Our memorandum and articles of association delegate to our secretary (or duly appointed nominee) the authority to execute an instrument of transfer on behalf of a transferring party.</w:t>
      </w:r>
    </w:p>
    <w:p>
      <w:pPr>
        <w:spacing w:after="0" w:line="144" w:lineRule="exact"/>
        <w:rPr>
          <w:sz w:val="20"/>
          <w:szCs w:val="20"/>
          <w:color w:val="auto"/>
        </w:rPr>
      </w:pPr>
    </w:p>
    <w:p>
      <w:pPr>
        <w:ind w:right="140"/>
        <w:spacing w:after="0" w:line="258" w:lineRule="auto"/>
        <w:rPr>
          <w:sz w:val="20"/>
          <w:szCs w:val="20"/>
          <w:color w:val="auto"/>
        </w:rPr>
      </w:pPr>
      <w:r>
        <w:rPr>
          <w:rFonts w:ascii="Arial" w:cs="Arial" w:eastAsia="Arial" w:hAnsi="Arial"/>
          <w:sz w:val="19"/>
          <w:szCs w:val="19"/>
          <w:color w:val="auto"/>
        </w:rPr>
        <w:t>In order to help ensure that the official share register is regularly updated to reflect trading of our Ordinary Shares occurring through normal electronic systems, we intend to regularly produce any required instruments of transfer in connection with any transactions for which we pay stamp duty (subject to the reimbursement and set-off rights described above). In the event that we notify one or both of the parties to a share transfer that we believe stamp duty is required to be paid in connection with the transfer and that we will not pay the stamp duty, the parties may either themselves arrange for the execution of the required instrument of transfer (and may request a form of instrument of transfer from us for this purpose) or request that we execute an instrument of transfer on behalf of the transferring party in a form determined by us. In either event, if the parties to the share transfer have the instrument of transfer duly stamped (to the extent required) and then provide it to our transfer agent, the buyer will be registered as the legal owner of the relevant shares on our official Irish share register (subject to the matters described below). The directors may suspend registration of transfers from time to time, not exceeding 30 days in aggregate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40"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SEPARATION AGREEMENT &amp; GENERAL RELEASE</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Separation Agreement and General Release, dated November 19, 2020 (this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by and between Terrance J. Coughlin (“</w:t>
      </w:r>
      <w:r>
        <w:rPr>
          <w:rFonts w:ascii="Arial" w:cs="Arial" w:eastAsia="Arial" w:hAnsi="Arial"/>
          <w:sz w:val="22"/>
          <w:szCs w:val="22"/>
          <w:u w:val="single" w:color="auto"/>
          <w:color w:val="auto"/>
        </w:rPr>
        <w:t>Executive</w:t>
      </w:r>
      <w:r>
        <w:rPr>
          <w:rFonts w:ascii="Arial" w:cs="Arial" w:eastAsia="Arial" w:hAnsi="Arial"/>
          <w:sz w:val="22"/>
          <w:szCs w:val="22"/>
          <w:color w:val="auto"/>
        </w:rPr>
        <w:t>”) and Endo Health Solutions, Inc. (the “</w:t>
      </w:r>
      <w:r>
        <w:rPr>
          <w:rFonts w:ascii="Arial" w:cs="Arial" w:eastAsia="Arial" w:hAnsi="Arial"/>
          <w:sz w:val="22"/>
          <w:szCs w:val="22"/>
          <w:u w:val="single" w:color="auto"/>
          <w:color w:val="auto"/>
        </w:rPr>
        <w:t>Company</w:t>
      </w:r>
      <w:r>
        <w:rPr>
          <w:rFonts w:ascii="Arial" w:cs="Arial" w:eastAsia="Arial" w:hAnsi="Arial"/>
          <w:sz w:val="22"/>
          <w:szCs w:val="22"/>
          <w:color w:val="auto"/>
        </w:rPr>
        <w:t>”) (together with Executive, the “</w:t>
      </w:r>
      <w:r>
        <w:rPr>
          <w:rFonts w:ascii="Arial" w:cs="Arial" w:eastAsia="Arial" w:hAnsi="Arial"/>
          <w:sz w:val="22"/>
          <w:szCs w:val="22"/>
          <w:u w:val="single" w:color="auto"/>
          <w:color w:val="auto"/>
        </w:rPr>
        <w:t>Parties</w:t>
      </w:r>
      <w:r>
        <w:rPr>
          <w:rFonts w:ascii="Arial" w:cs="Arial" w:eastAsia="Arial" w:hAnsi="Arial"/>
          <w:sz w:val="22"/>
          <w:szCs w:val="22"/>
          <w:color w:val="auto"/>
        </w:rPr>
        <w:t>”), a wholly-owned subsidiary of Endo International plc (“</w:t>
      </w:r>
      <w:r>
        <w:rPr>
          <w:rFonts w:ascii="Arial" w:cs="Arial" w:eastAsia="Arial" w:hAnsi="Arial"/>
          <w:sz w:val="22"/>
          <w:szCs w:val="22"/>
          <w:u w:val="single" w:color="auto"/>
          <w:color w:val="auto"/>
        </w:rPr>
        <w:t>Endo</w:t>
      </w:r>
      <w:r>
        <w:rPr>
          <w:rFonts w:ascii="Arial" w:cs="Arial" w:eastAsia="Arial" w:hAnsi="Arial"/>
          <w:sz w:val="22"/>
          <w:szCs w:val="22"/>
          <w:color w:val="auto"/>
        </w:rPr>
        <w:t>”). Capitalized terms not defined herein shall have the meanings set forth in the Employment Agreement, dated December 9, 2019, by and between the Company and Executive (the “</w:t>
      </w:r>
      <w:r>
        <w:rPr>
          <w:rFonts w:ascii="Arial" w:cs="Arial" w:eastAsia="Arial" w:hAnsi="Arial"/>
          <w:sz w:val="22"/>
          <w:szCs w:val="22"/>
          <w:u w:val="single" w:color="auto"/>
          <w:color w:val="auto"/>
        </w:rPr>
        <w:t>Employment Agreement</w:t>
      </w:r>
      <w:r>
        <w:rPr>
          <w:rFonts w:ascii="Arial" w:cs="Arial" w:eastAsia="Arial" w:hAnsi="Arial"/>
          <w:sz w:val="22"/>
          <w:szCs w:val="22"/>
          <w:color w:val="auto"/>
        </w:rPr>
        <w:t>”).</w:t>
      </w:r>
    </w:p>
    <w:p>
      <w:pPr>
        <w:spacing w:after="0" w:line="186" w:lineRule="exact"/>
        <w:rPr>
          <w:sz w:val="20"/>
          <w:szCs w:val="20"/>
          <w:color w:val="auto"/>
        </w:rPr>
      </w:pPr>
    </w:p>
    <w:p>
      <w:pPr>
        <w:ind w:left="4900"/>
        <w:spacing w:after="0"/>
        <w:rPr>
          <w:sz w:val="20"/>
          <w:szCs w:val="20"/>
          <w:color w:val="auto"/>
        </w:rPr>
      </w:pPr>
      <w:r>
        <w:rPr>
          <w:rFonts w:ascii="Arial" w:cs="Arial" w:eastAsia="Arial" w:hAnsi="Arial"/>
          <w:sz w:val="22"/>
          <w:szCs w:val="22"/>
          <w:b w:val="1"/>
          <w:bCs w:val="1"/>
          <w:u w:val="single" w:color="auto"/>
          <w:color w:val="auto"/>
        </w:rPr>
        <w:t>WITNESSETH</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Executive’s employment with the Company will terminate on March 1, 2021 (the “</w:t>
      </w:r>
      <w:r>
        <w:rPr>
          <w:rFonts w:ascii="Arial" w:cs="Arial" w:eastAsia="Arial" w:hAnsi="Arial"/>
          <w:sz w:val="19"/>
          <w:szCs w:val="19"/>
          <w:u w:val="single" w:color="auto"/>
          <w:color w:val="auto"/>
        </w:rPr>
        <w:t>Termination Date</w:t>
      </w:r>
      <w:r>
        <w:rPr>
          <w:rFonts w:ascii="Arial" w:cs="Arial" w:eastAsia="Arial" w:hAnsi="Arial"/>
          <w:sz w:val="19"/>
          <w:szCs w:val="19"/>
          <w:color w:val="auto"/>
        </w:rPr>
        <w:t>”); and</w:t>
      </w:r>
    </w:p>
    <w:p>
      <w:pPr>
        <w:spacing w:after="0" w:line="2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Executive and the Company have agreed to amicably end Executive’s employment with the Company in exchange for certain promises, benefits, and payments, including certain rights and responsibilities of the Parties, as set forth in this Agreement.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payments and benefits and mutual covenants provided herein, and intending to be legally bound, the Parties agree as follows: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Resignation</w:t>
      </w:r>
      <w:r>
        <w:rPr>
          <w:rFonts w:ascii="Arial" w:cs="Arial" w:eastAsia="Arial" w:hAnsi="Arial"/>
          <w:sz w:val="22"/>
          <w:szCs w:val="22"/>
          <w:color w:val="auto"/>
        </w:rPr>
        <w:t>. Executive agrees that (a) effective as of November 4, 2020, Executive will no longer serve as an executive officer of the Company, (b) effective as of December 1, 2020, Executive hereby resigns from all positions as an officer, director and employee of all affiliates and subsidiaries of the Company, and (c) effective on the Termination Date, Executive hereby resigns from employment with the Company.</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Separation Payments and Benefits</w:t>
      </w:r>
      <w:r>
        <w:rPr>
          <w:rFonts w:ascii="Arial" w:cs="Arial" w:eastAsia="Arial" w:hAnsi="Arial"/>
          <w:sz w:val="19"/>
          <w:szCs w:val="19"/>
          <w:color w:val="auto"/>
        </w:rPr>
        <w:t>. In addition to the payment of any accrued but unpaid Base Salary (payable on the next payroll date following the Termination Date), earned but unpaid 2020 annual cash bonus (paid at the time annual incentive compensation is paid to other senior executives) and accrued but unused paid time off as of the Termination Date (payable on the next payroll date following the Termination Date), upon timely execution and effectiveness of the release of claims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(the “</w:t>
      </w:r>
      <w:r>
        <w:rPr>
          <w:rFonts w:ascii="Arial" w:cs="Arial" w:eastAsia="Arial" w:hAnsi="Arial"/>
          <w:sz w:val="19"/>
          <w:szCs w:val="19"/>
          <w:u w:val="single" w:color="auto"/>
          <w:color w:val="auto"/>
        </w:rPr>
        <w:t>Release</w:t>
      </w:r>
      <w:r>
        <w:rPr>
          <w:rFonts w:ascii="Arial" w:cs="Arial" w:eastAsia="Arial" w:hAnsi="Arial"/>
          <w:sz w:val="19"/>
          <w:szCs w:val="19"/>
          <w:color w:val="auto"/>
        </w:rPr>
        <w:t>”), Executive shall be entitled to receive the following payments and benefits, subject to applicable tax withholding: (a) $2,235,500 in severance, paid in a cash lump sum no later than 60 days after the Termination Date; (b) the Benefits Continuation (i.e., 24 months of continued health (including medical, dental and vision benefits) and basic life insurance coverage for Executive and Executive’s dependents in accordance with the terms of the Employment Agreement); (c) a Pro-Rata Bonus, based on actual performance and payable in a lump sum at the time such bonuses or annual incentive awards are payable to other participants on or prior to March 15, 2022 in accordance with the Employment Agreement; and (d) 12 months of outplacement services, up to a maximum cost of $9,000 (the payments and benefits in (a) through (d), together with the benefits set forth in Section 3 of this Agreement, the “</w:t>
      </w:r>
      <w:r>
        <w:rPr>
          <w:rFonts w:ascii="Arial" w:cs="Arial" w:eastAsia="Arial" w:hAnsi="Arial"/>
          <w:sz w:val="19"/>
          <w:szCs w:val="19"/>
          <w:u w:val="single" w:color="auto"/>
          <w:color w:val="auto"/>
        </w:rPr>
        <w:t>Separation Benefits</w:t>
      </w:r>
      <w:r>
        <w:rPr>
          <w:rFonts w:ascii="Arial" w:cs="Arial" w:eastAsia="Arial" w:hAnsi="Arial"/>
          <w:sz w:val="19"/>
          <w:szCs w:val="19"/>
          <w:color w:val="auto"/>
        </w:rPr>
        <w:t>”). Other than the Separation Benefits, Executive shall have no rights to severance or post-employment payments or benefits under the Employment Agreement.</w:t>
      </w:r>
    </w:p>
    <w:p>
      <w:pPr>
        <w:sectPr>
          <w:pgSz w:w="11900" w:h="16838" w:orient="portrait"/>
          <w:cols w:equalWidth="0" w:num="1">
            <w:col w:w="11240"/>
          </w:cols>
          <w:pgMar w:left="320" w:top="126" w:right="339" w:bottom="1440" w:gutter="0" w:footer="0" w:header="0"/>
        </w:sectPr>
      </w:pPr>
    </w:p>
    <w:bookmarkStart w:id="159" w:name="page160"/>
    <w:bookmarkEnd w:id="159"/>
    <w:p>
      <w:pPr>
        <w:spacing w:after="0" w:line="19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Equity and Long-Term Cash Awards</w:t>
      </w:r>
      <w:r>
        <w:rPr>
          <w:rFonts w:ascii="Arial" w:cs="Arial" w:eastAsia="Arial" w:hAnsi="Arial"/>
          <w:sz w:val="19"/>
          <w:szCs w:val="19"/>
          <w:color w:val="auto"/>
        </w:rPr>
        <w:t>. In addition to the payments and benefits payable to Executive under Section 2 of this Agreement, 107,750 restricted stock units and $228,625 in long-term cash awards, in each case granted under the Endo Amended and Restated 2015 Stock Incentive Plan, will vest as of the Termination Date and be settled in accordance with the underlying award agreements as soon as practicable but no later than sixty (60) days following the Termination Date in accordance with Section 409A of the Code. Outstanding unvested performance stock units held by Executive shall vest in accordance with the underlying award agreements, pro-rata based on the period of service during the performance period through the Termination Date and shall be settled in shares of Company stock as soon as practicable but no later than sixty (60) days following the Termination Date, in accordance with Section 409A of the Code. All other equity- and cash-based awards held by Executive or on Executive’s behalf shall immediately be forfeited and cancelled without consideration as of the Termination Date, with the exception of such awards that already vested, which, together with the equity- and cash-based awards vesting hereunder, shall remain subject to their terms including pursuant to Endo’s compensation recovery policy.</w:t>
      </w:r>
    </w:p>
    <w:p>
      <w:pPr>
        <w:spacing w:after="0" w:line="16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Restrictive Covenants</w:t>
      </w:r>
      <w:r>
        <w:rPr>
          <w:rFonts w:ascii="Arial" w:cs="Arial" w:eastAsia="Arial" w:hAnsi="Arial"/>
          <w:sz w:val="19"/>
          <w:szCs w:val="19"/>
          <w:color w:val="auto"/>
        </w:rPr>
        <w:t>. Executive reaffirms and agrees to comply with the covenants set forth in Sections 10 and 11 of the Employment Agreement, which shall continue in effect after the Termination Date for the time periods stated therein. Notwithstanding the foregoing, subject to the good faith approval of the Company's Chief Executive Officer which shall not be unreasonably withheld, Executive may be employed by or provide services to a unit or division of a Competing Business provided that such unit or division, on a stand-alone basis, would not be considered to be a Competing Business (the “</w:t>
      </w:r>
      <w:r>
        <w:rPr>
          <w:rFonts w:ascii="Arial" w:cs="Arial" w:eastAsia="Arial" w:hAnsi="Arial"/>
          <w:sz w:val="19"/>
          <w:szCs w:val="19"/>
          <w:u w:val="single" w:color="auto"/>
          <w:color w:val="auto"/>
        </w:rPr>
        <w:t>Non-Competing Unit</w:t>
      </w:r>
      <w:r>
        <w:rPr>
          <w:rFonts w:ascii="Arial" w:cs="Arial" w:eastAsia="Arial" w:hAnsi="Arial"/>
          <w:sz w:val="19"/>
          <w:szCs w:val="19"/>
          <w:color w:val="auto"/>
        </w:rPr>
        <w:t>”) and provided further that Executive recuses himself or herself fully and completely from all Competing Business matters other than matters of the Non-Competing Unit and does not use Confidential Information for the benefit of, or share Confidential Information with any employees or other service providers of, the Competing Business.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9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Permitted Disclosures</w:t>
      </w:r>
      <w:r>
        <w:rPr>
          <w:rFonts w:ascii="Arial" w:cs="Arial" w:eastAsia="Arial" w:hAnsi="Arial"/>
          <w:sz w:val="19"/>
          <w:szCs w:val="19"/>
          <w:color w:val="auto"/>
        </w:rPr>
        <w:t>. The Parties acknowledge and agree that nothing in this Agreement or any other agreement that Executive may have with the Company shall prohibit or restrict Executive from (a) voluntarily communicating with an attorney retained by Executive, (b) voluntarily communicating with or testifying before any law enforcement or government agency, including the Securities and Exchange Commission (“</w:t>
      </w:r>
      <w:r>
        <w:rPr>
          <w:rFonts w:ascii="Arial" w:cs="Arial" w:eastAsia="Arial" w:hAnsi="Arial"/>
          <w:sz w:val="19"/>
          <w:szCs w:val="19"/>
          <w:u w:val="single" w:color="auto"/>
          <w:color w:val="auto"/>
        </w:rPr>
        <w:t>SEC</w:t>
      </w:r>
      <w:r>
        <w:rPr>
          <w:rFonts w:ascii="Arial" w:cs="Arial" w:eastAsia="Arial" w:hAnsi="Arial"/>
          <w:sz w:val="19"/>
          <w:szCs w:val="19"/>
          <w:color w:val="auto"/>
        </w:rPr>
        <w:t>”), the Equal Employment Opportunity Commission, the New York State Division of Human Rights or a local commission on human rights, or any self-regulatory organization, or otherwise initiating, assisting with, or participating in any manner with an investigation conducted by such government agency, in each case, regarding possible violations of law and without advance notice to the Company, (c) recovering a SEC whistleblower award as provided under Section 21F of the Securities Exchange Act of 1934, (d) disclosing any information (including, without limitation, Confidential Information) to a court or other administrative or legislative body in response to a subpoena, provided that Executive first promptly notifies (to the extent legally permissible) the Company and, with respect to any subpoena on behalf of any non-governmental person or entity, uses commercially reasonable efforts to cooperate with any effort by the Company to seek to challenge the subpoena on behalf of any non-governmental person or entity or obtain a protective order limiting its disclosure, or other appropriate remedy, (e) filing or disclosing any facts necessary to receive unemployment insurance, Medicaid or other public benefits to which you are entitled, or (f) disclosing the underlying facts or circumstances relating to claims of discrimination, in violation of laws prohibiting discrimination, against the Company.</w:t>
      </w:r>
    </w:p>
    <w:p>
      <w:pPr>
        <w:spacing w:after="0" w:line="15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Executive acknowledges and agrees that during his employment with the Company, Executive has had access to ideas, discoveries, inventions, and improvements relating to the Company’s business that have value or are protectable as intellectual property. Executive confirms that, to the extent he has not done so already, he will communicate, disclose, and transfer to Company free of all encumbrances and restrictions (and will execute and deliver any papers and take any action at any time deemed reasonably necessary by Company to further establish such transfer) all of his right, title, and interest in and to all ideas, discoveries, inventions, and improvements relating to the business of the Company created, originated, developed, or conceived of by him, solely, or jointly with others, at any time during his employment with the Company, whether or not during normal working hours. Executive agrees that all right, title, and interest in and to all such ideas, discoveries, inventions, and improvements belong solely to the Company, whether or not they are protected or protectable under applicable patent, trademark, service mark, copyright, or trade secret laws. Executive agrees that all work or other material containing or reflecting any such ideas, discoveries, inventions, or improvements shall be deemed work made for hire as defined in Section 101 of the Copyright Act, 15 U.S.C. § 101. Such transfer shall include all patent rights, copyrights, trademark and service mark rights, and trade secret rights (if any) to such ideas, discoveries, inventions, and improvements in the United States and in all other countries. Executive further agrees, at the expense of the Company, to take all such reasonable actions and to execute and deliver all such assignments and other lawful papers relating to any aspect of the prosecution of such rights in the United States and all other countries as Company may request at any time during his employment or after.</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Acknowledgments</w:t>
      </w:r>
      <w:r>
        <w:rPr>
          <w:rFonts w:ascii="Arial" w:cs="Arial" w:eastAsia="Arial" w:hAnsi="Arial"/>
          <w:sz w:val="22"/>
          <w:szCs w:val="22"/>
          <w:color w:val="auto"/>
        </w:rPr>
        <w:t>. Executive acknowledges that he has carefully read and fully understands all of the provisions of this Agreement; he is entering into this Agreement, including any releases and covenants set forth herein, knowingly, freely, and voluntarily in exchange for good and valuable consideration to which he is not otherwise entitled; and he has been advised to consult with an attorney before executing this Agreement.</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Governing Law and Choice of Venue</w:t>
      </w:r>
      <w:r>
        <w:rPr>
          <w:rFonts w:ascii="Arial" w:cs="Arial" w:eastAsia="Arial" w:hAnsi="Arial"/>
          <w:sz w:val="19"/>
          <w:szCs w:val="19"/>
          <w:color w:val="auto"/>
        </w:rPr>
        <w:t>. This Agreement shall be governed by and construed in accordance with the laws of the State of Delaware, without reference to any choice of law rules (except for those calling for application of Delaware law). The exclusive venue for any disputes arising hereunder shall be the state or federal courts located in the State of Delaware or, at the Company’s election, in any other state in which Executive maintains Executive’s principal residence or Executive’s principal place of business, and each of the parties hereto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 In the event that any one or more of the provisions of this Agreement shall be held to be invalid, illegal, or unenforceable, the validity, legality, and enforceability of the remainder hereof shall not in any way be affected or impaired thereby.</w:t>
      </w:r>
    </w:p>
    <w:p>
      <w:pPr>
        <w:spacing w:after="0" w:line="15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supersedes and cancels all agreements, arrangements and understandings with respect to the subject matter thereof, including the Employment Agreement (other than Sections 9, 10, 11, 12, 13, 14(a), 14(c), 14(d), 14(e), 14(f), 14(g) and 14(h) thereof) and any equity- and cash-based incentive agreements Executive is party to under the Endo Amended and Restated 2015 Stock Incentive Plan, other than as specified in this Agreement; provided, however, the contribution retention bonus arrangement dated August 1, 2019, shall remain in effect in accordance with its terms. For the avoidance of doubt, Executive shall not be eligible to receive any long-term incentive compensation awards after the date of this Agreement.</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WITNESS WHEREOF, the Company has caused this Agreement to be executed by its duly authorized officer and Executive has executed this Agreement as of the day and year first above written.</w:t>
      </w:r>
    </w:p>
    <w:p>
      <w:pPr>
        <w:spacing w:after="0" w:line="236" w:lineRule="exact"/>
        <w:rPr>
          <w:sz w:val="20"/>
          <w:szCs w:val="20"/>
          <w:color w:val="auto"/>
        </w:rPr>
      </w:pPr>
    </w:p>
    <w:p>
      <w:pPr>
        <w:ind w:left="5700"/>
        <w:spacing w:after="0"/>
        <w:rPr>
          <w:sz w:val="20"/>
          <w:szCs w:val="20"/>
          <w:color w:val="auto"/>
        </w:rPr>
      </w:pPr>
      <w:r>
        <w:rPr>
          <w:rFonts w:ascii="Arial" w:cs="Arial" w:eastAsia="Arial" w:hAnsi="Arial"/>
          <w:sz w:val="22"/>
          <w:szCs w:val="22"/>
          <w:b w:val="1"/>
          <w:bCs w:val="1"/>
          <w:color w:val="auto"/>
        </w:rPr>
        <w:t>ENDO HEALTH SOLUTIONS INC.</w:t>
      </w:r>
    </w:p>
    <w:p>
      <w:pPr>
        <w:spacing w:after="0" w:line="307" w:lineRule="exact"/>
        <w:rPr>
          <w:sz w:val="20"/>
          <w:szCs w:val="20"/>
          <w:color w:val="auto"/>
        </w:rPr>
      </w:pPr>
    </w:p>
    <w:tbl>
      <w:tblPr>
        <w:tblLayout w:type="fixed"/>
        <w:tblInd w:w="5700" w:type="dxa"/>
        <w:tblCellMar>
          <w:top w:w="0" w:type="dxa"/>
          <w:left w:w="0" w:type="dxa"/>
          <w:bottom w:w="0" w:type="dxa"/>
          <w:right w:w="0" w:type="dxa"/>
        </w:tblCellMar>
      </w:tblPr>
      <w:tr>
        <w:trPr>
          <w:trHeight w:val="274"/>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540" w:type="dxa"/>
            <w:vAlign w:val="bottom"/>
          </w:tcPr>
          <w:p>
            <w:pPr>
              <w:spacing w:after="0"/>
              <w:rPr>
                <w:sz w:val="20"/>
                <w:szCs w:val="20"/>
                <w:color w:val="auto"/>
              </w:rPr>
            </w:pPr>
            <w:r>
              <w:rPr>
                <w:rFonts w:ascii="Arial" w:cs="Arial" w:eastAsia="Arial" w:hAnsi="Arial"/>
                <w:sz w:val="22"/>
                <w:szCs w:val="22"/>
                <w:color w:val="auto"/>
              </w:rPr>
              <w:t>/S/ BLAISE COLEMAN</w:t>
            </w:r>
          </w:p>
        </w:tc>
        <w:tc>
          <w:tcPr>
            <w:tcW w:w="0" w:type="dxa"/>
            <w:vAlign w:val="bottom"/>
          </w:tcPr>
          <w:p>
            <w:pPr>
              <w:spacing w:after="0"/>
              <w:rPr>
                <w:sz w:val="1"/>
                <w:szCs w:val="1"/>
                <w:color w:val="auto"/>
              </w:rPr>
            </w:pPr>
          </w:p>
        </w:tc>
      </w:tr>
      <w:tr>
        <w:trPr>
          <w:trHeight w:val="30"/>
        </w:trPr>
        <w:tc>
          <w:tcPr>
            <w:tcW w:w="10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1000" w:type="dxa"/>
            <w:vAlign w:val="bottom"/>
            <w:vMerge w:val="continue"/>
          </w:tcPr>
          <w:p>
            <w:pPr>
              <w:spacing w:after="0"/>
              <w:rPr>
                <w:sz w:val="24"/>
                <w:szCs w:val="24"/>
                <w:color w:val="auto"/>
              </w:rPr>
            </w:pPr>
          </w:p>
        </w:tc>
        <w:tc>
          <w:tcPr>
            <w:tcW w:w="4540" w:type="dxa"/>
            <w:vAlign w:val="bottom"/>
          </w:tcPr>
          <w:p>
            <w:pPr>
              <w:spacing w:after="0"/>
              <w:rPr>
                <w:sz w:val="20"/>
                <w:szCs w:val="20"/>
                <w:color w:val="auto"/>
              </w:rPr>
            </w:pPr>
            <w:r>
              <w:rPr>
                <w:rFonts w:ascii="Arial" w:cs="Arial" w:eastAsia="Arial" w:hAnsi="Arial"/>
                <w:sz w:val="22"/>
                <w:szCs w:val="22"/>
                <w:color w:val="auto"/>
              </w:rPr>
              <w:t>Blaise Coleman</w:t>
            </w: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540" w:type="dxa"/>
            <w:vAlign w:val="bottom"/>
          </w:tcPr>
          <w:p>
            <w:pPr>
              <w:spacing w:after="0"/>
              <w:rPr>
                <w:sz w:val="20"/>
                <w:szCs w:val="20"/>
                <w:color w:val="auto"/>
              </w:rPr>
            </w:pPr>
            <w:r>
              <w:rPr>
                <w:rFonts w:ascii="Arial" w:cs="Arial" w:eastAsia="Arial" w:hAnsi="Arial"/>
                <w:sz w:val="22"/>
                <w:szCs w:val="22"/>
                <w:color w:val="auto"/>
              </w:rPr>
              <w:t>President &amp; Chief Executive Officer</w:t>
            </w:r>
          </w:p>
        </w:tc>
        <w:tc>
          <w:tcPr>
            <w:tcW w:w="0" w:type="dxa"/>
            <w:vAlign w:val="bottom"/>
          </w:tcPr>
          <w:p>
            <w:pPr>
              <w:spacing w:after="0"/>
              <w:rPr>
                <w:sz w:val="1"/>
                <w:szCs w:val="1"/>
                <w:color w:val="auto"/>
              </w:rPr>
            </w:pPr>
          </w:p>
        </w:tc>
      </w:tr>
      <w:tr>
        <w:trPr>
          <w:trHeight w:val="473"/>
        </w:trPr>
        <w:tc>
          <w:tcPr>
            <w:tcW w:w="5540" w:type="dxa"/>
            <w:vAlign w:val="bottom"/>
            <w:gridSpan w:val="2"/>
          </w:tcPr>
          <w:p>
            <w:pPr>
              <w:spacing w:after="0"/>
              <w:rPr>
                <w:sz w:val="20"/>
                <w:szCs w:val="20"/>
                <w:color w:val="auto"/>
              </w:rPr>
            </w:pPr>
            <w:r>
              <w:rPr>
                <w:rFonts w:ascii="Arial" w:cs="Arial" w:eastAsia="Arial" w:hAnsi="Arial"/>
                <w:sz w:val="22"/>
                <w:szCs w:val="22"/>
                <w:b w:val="1"/>
                <w:bCs w:val="1"/>
                <w:color w:val="auto"/>
              </w:rPr>
              <w:t>EXECUTIVE</w:t>
            </w:r>
          </w:p>
        </w:tc>
        <w:tc>
          <w:tcPr>
            <w:tcW w:w="0" w:type="dxa"/>
            <w:vAlign w:val="bottom"/>
          </w:tcPr>
          <w:p>
            <w:pPr>
              <w:spacing w:after="0"/>
              <w:rPr>
                <w:sz w:val="1"/>
                <w:szCs w:val="1"/>
                <w:color w:val="auto"/>
              </w:rPr>
            </w:pPr>
          </w:p>
        </w:tc>
      </w:tr>
      <w:tr>
        <w:trPr>
          <w:trHeight w:val="55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540" w:type="dxa"/>
            <w:vAlign w:val="bottom"/>
          </w:tcPr>
          <w:p>
            <w:pPr>
              <w:spacing w:after="0"/>
              <w:rPr>
                <w:sz w:val="20"/>
                <w:szCs w:val="20"/>
                <w:color w:val="auto"/>
              </w:rPr>
            </w:pPr>
            <w:r>
              <w:rPr>
                <w:rFonts w:ascii="Arial" w:cs="Arial" w:eastAsia="Arial" w:hAnsi="Arial"/>
                <w:sz w:val="22"/>
                <w:szCs w:val="22"/>
                <w:color w:val="auto"/>
              </w:rPr>
              <w:t>/S/ TERRANCE J. COUGHLIN</w:t>
            </w:r>
          </w:p>
        </w:tc>
        <w:tc>
          <w:tcPr>
            <w:tcW w:w="0" w:type="dxa"/>
            <w:vAlign w:val="bottom"/>
          </w:tcPr>
          <w:p>
            <w:pPr>
              <w:spacing w:after="0"/>
              <w:rPr>
                <w:sz w:val="1"/>
                <w:szCs w:val="1"/>
                <w:color w:val="auto"/>
              </w:rPr>
            </w:pPr>
          </w:p>
        </w:tc>
      </w:tr>
      <w:tr>
        <w:trPr>
          <w:trHeight w:val="30"/>
        </w:trPr>
        <w:tc>
          <w:tcPr>
            <w:tcW w:w="10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1000" w:type="dxa"/>
            <w:vAlign w:val="bottom"/>
            <w:vMerge w:val="continue"/>
          </w:tcPr>
          <w:p>
            <w:pPr>
              <w:spacing w:after="0"/>
              <w:rPr>
                <w:sz w:val="24"/>
                <w:szCs w:val="24"/>
                <w:color w:val="auto"/>
              </w:rPr>
            </w:pPr>
          </w:p>
        </w:tc>
        <w:tc>
          <w:tcPr>
            <w:tcW w:w="4540" w:type="dxa"/>
            <w:vAlign w:val="bottom"/>
          </w:tcPr>
          <w:p>
            <w:pPr>
              <w:spacing w:after="0"/>
              <w:rPr>
                <w:sz w:val="20"/>
                <w:szCs w:val="20"/>
                <w:color w:val="auto"/>
              </w:rPr>
            </w:pPr>
            <w:r>
              <w:rPr>
                <w:rFonts w:ascii="Arial" w:cs="Arial" w:eastAsia="Arial" w:hAnsi="Arial"/>
                <w:sz w:val="22"/>
                <w:szCs w:val="22"/>
                <w:color w:val="auto"/>
              </w:rPr>
              <w:t>Terrance J. Coughlin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RELEASE AGREEMENT</w:t>
      </w:r>
    </w:p>
    <w:p>
      <w:pPr>
        <w:spacing w:after="0" w:line="25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RELEASE AGREEMENT (the “</w:t>
      </w:r>
      <w:r>
        <w:rPr>
          <w:rFonts w:ascii="Arial" w:cs="Arial" w:eastAsia="Arial" w:hAnsi="Arial"/>
          <w:sz w:val="22"/>
          <w:szCs w:val="22"/>
          <w:u w:val="single" w:color="auto"/>
          <w:color w:val="auto"/>
        </w:rPr>
        <w:t>Release</w:t>
      </w:r>
      <w:r>
        <w:rPr>
          <w:rFonts w:ascii="Arial" w:cs="Arial" w:eastAsia="Arial" w:hAnsi="Arial"/>
          <w:sz w:val="22"/>
          <w:szCs w:val="22"/>
          <w:color w:val="auto"/>
        </w:rPr>
        <w:t>”) is made by and between Terrance J. Coughlin (“</w:t>
      </w:r>
      <w:r>
        <w:rPr>
          <w:rFonts w:ascii="Arial" w:cs="Arial" w:eastAsia="Arial" w:hAnsi="Arial"/>
          <w:sz w:val="22"/>
          <w:szCs w:val="22"/>
          <w:u w:val="single" w:color="auto"/>
          <w:color w:val="auto"/>
        </w:rPr>
        <w:t>Executive</w:t>
      </w:r>
      <w:r>
        <w:rPr>
          <w:rFonts w:ascii="Arial" w:cs="Arial" w:eastAsia="Arial" w:hAnsi="Arial"/>
          <w:sz w:val="22"/>
          <w:szCs w:val="22"/>
          <w:color w:val="auto"/>
        </w:rPr>
        <w:t>”) and Endo Health Solutions, Inc.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202" w:lineRule="exact"/>
        <w:rPr>
          <w:sz w:val="20"/>
          <w:szCs w:val="20"/>
          <w:color w:val="auto"/>
        </w:rPr>
      </w:pPr>
    </w:p>
    <w:p>
      <w:pPr>
        <w:ind w:left="660" w:hanging="652"/>
        <w:spacing w:after="0" w:line="284" w:lineRule="auto"/>
        <w:tabs>
          <w:tab w:leader="none" w:pos="414" w:val="left"/>
        </w:tabs>
        <w:numPr>
          <w:ilvl w:val="0"/>
          <w:numId w:val="100"/>
        </w:numPr>
        <w:rPr>
          <w:rFonts w:ascii="Arial" w:cs="Arial" w:eastAsia="Arial" w:hAnsi="Arial"/>
          <w:sz w:val="19"/>
          <w:szCs w:val="19"/>
          <w:color w:val="auto"/>
        </w:rPr>
      </w:pPr>
      <w:r>
        <w:rPr>
          <w:rFonts w:ascii="Arial" w:cs="Arial" w:eastAsia="Arial" w:hAnsi="Arial"/>
          <w:sz w:val="19"/>
          <w:szCs w:val="19"/>
          <w:color w:val="auto"/>
        </w:rPr>
        <w:t>FOR AND IN CONSIDERATION of the Separation Benefits (as defined in the Separation Agreement and General Release, dated November 19, 2020, entered into by and between Executive and the Company), Executive, for Executive, his or her successors and assigns, executors and administrators, now and forever hereby releases and discharges the Company, together with all of its past and present parents, subsidiaries, and affiliates, together with each of their officers, directors, stockholders, partners, employees, agents, representatives and attorneys, and each of their subsidiaries, affiliates, estates, predecessors, successors, and assigns (hereinafter collectively referred to as the “</w:t>
      </w:r>
      <w:r>
        <w:rPr>
          <w:rFonts w:ascii="Arial" w:cs="Arial" w:eastAsia="Arial" w:hAnsi="Arial"/>
          <w:sz w:val="19"/>
          <w:szCs w:val="19"/>
          <w:u w:val="single" w:color="auto"/>
          <w:color w:val="auto"/>
        </w:rPr>
        <w:t>Releasees</w:t>
      </w:r>
      <w:r>
        <w:rPr>
          <w:rFonts w:ascii="Arial" w:cs="Arial" w:eastAsia="Arial" w:hAnsi="Arial"/>
          <w:sz w:val="19"/>
          <w:szCs w:val="19"/>
          <w:color w:val="auto"/>
        </w:rPr>
        <w:t xml:space="preserve">”) from any and all rights, claims, charges, actions, causes of action, complaints, sums of money, suits, debts, covenants, contracts, agreements, promises, obligations, damages, demands or liabilities of every kind whatsoever, in law or in equity, whether known or unknown, suspected or unsuspected, which Executive or Executive’s executors, administrators, successors or assigns ever had, now has or may hereafter claim to have by reason of any matter, cause or thing whatsoever; arising from the beginning of time up to the date Executive executes the Release: (i) relating in any way to Executive’s employment relationship with the Company or any of the Releasees, or the termination of Executive’s employment relationship with the Company or any of the Releasees; (ii) arising under or relating to the Employment Agreement; (iii) arising under any federal, local or state statute or regulation, including, without limitation, the Age Discrimination in Employment Act of 1967, as amended by the Older Workers Benefit Protection Act, Title VII of the Civil Rights Act of 1964, the Americans with Disabilities Act of 1990, the Employee Retirement Income Security Act of 1974, the Equal Pay Act, Sections 1981 through 1988 of Title 42 of the United States Code, the Immigration Reform and Control Act, the Workers Adjustment and Retraining Notification Act, the Occupational Safety and Health Act, the Family and Medical Leave Act, the Fair Labor Standards Act of 1938, Executive Order 11246, the Pennsylvania Human Relations Act, the Pennsylvania Whistleblower Law, the New York State Human Rights Law, the New York Labor Law and the New York Civil Rights Law and/or the applicable state or local law or ordinance against discrimination, each as amended; (iv) relating to wrongful employment termination or breach of contract; or (v) arising under or relating to any policy, agreement, understanding or promise, written or oral, formal or informal, between the Company and any of the Releasees and Executive;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the foregoing, nothing contained in the Release shall in any way diminish or impair: (a) any rights Executive may have, from and after the date the Release is executed; (b) any rights to indemnification that may exist from time to time under the Company’s certificate of incorporation or bylaws, or state law or any other indemnification agreement entered into between Executive and the Company; (c)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91" w:lineRule="exact"/>
        <w:rPr>
          <w:sz w:val="20"/>
          <w:szCs w:val="20"/>
          <w:color w:val="auto"/>
        </w:rPr>
      </w:pPr>
    </w:p>
    <w:p>
      <w:pPr>
        <w:jc w:val="both"/>
        <w:ind w:left="660"/>
        <w:spacing w:after="0" w:line="290" w:lineRule="auto"/>
        <w:rPr>
          <w:sz w:val="20"/>
          <w:szCs w:val="20"/>
          <w:color w:val="auto"/>
        </w:rPr>
      </w:pPr>
      <w:r>
        <w:rPr>
          <w:rFonts w:ascii="Arial" w:cs="Arial" w:eastAsia="Arial" w:hAnsi="Arial"/>
          <w:sz w:val="19"/>
          <w:szCs w:val="19"/>
          <w:color w:val="auto"/>
        </w:rPr>
        <w:t>rights Executive may have under any applicable general liability and/or directors and officers insurance policy maintained by the Company; (d) the Separation Benefits; (e) Executive’s ability to bring appropriate proceedings to enforce the Release; and (f) any rights or claims Executive may have that cannot be waived under applicable law (collectively, the “</w:t>
      </w:r>
      <w:r>
        <w:rPr>
          <w:rFonts w:ascii="Arial" w:cs="Arial" w:eastAsia="Arial" w:hAnsi="Arial"/>
          <w:sz w:val="19"/>
          <w:szCs w:val="19"/>
          <w:u w:val="single" w:color="auto"/>
          <w:color w:val="auto"/>
        </w:rPr>
        <w:t>Excluded Claims</w:t>
      </w:r>
      <w:r>
        <w:rPr>
          <w:rFonts w:ascii="Arial" w:cs="Arial" w:eastAsia="Arial" w:hAnsi="Arial"/>
          <w:sz w:val="19"/>
          <w:szCs w:val="19"/>
          <w:color w:val="auto"/>
        </w:rPr>
        <w:t>”). Executive further acknowledges and agrees that, except with respect to Excluded Claims, the Company and the Releasees have fully satisfied any and all obligations whatsoever owed to Executive arising out of Executive’s employment with the Company or any of the Releasees, and that no further payments or benefits are owed to Executive by the Company or any of the Releasees. Executive acknowledges and agrees that Executive has not raised to the Company any allegations of discrimination in connection with Executive’s employment with the Company.</w:t>
      </w:r>
    </w:p>
    <w:p>
      <w:pPr>
        <w:spacing w:after="0" w:line="183" w:lineRule="exact"/>
        <w:rPr>
          <w:sz w:val="20"/>
          <w:szCs w:val="20"/>
          <w:color w:val="auto"/>
        </w:rPr>
      </w:pPr>
    </w:p>
    <w:p>
      <w:pPr>
        <w:ind w:left="660" w:hanging="652"/>
        <w:spacing w:after="0" w:line="286" w:lineRule="auto"/>
        <w:tabs>
          <w:tab w:leader="none" w:pos="476" w:val="left"/>
        </w:tabs>
        <w:numPr>
          <w:ilvl w:val="0"/>
          <w:numId w:val="101"/>
        </w:numPr>
        <w:rPr>
          <w:rFonts w:ascii="Arial" w:cs="Arial" w:eastAsia="Arial" w:hAnsi="Arial"/>
          <w:sz w:val="19"/>
          <w:szCs w:val="19"/>
          <w:color w:val="auto"/>
        </w:rPr>
      </w:pPr>
      <w:r>
        <w:rPr>
          <w:rFonts w:ascii="Arial" w:cs="Arial" w:eastAsia="Arial" w:hAnsi="Arial"/>
          <w:sz w:val="19"/>
          <w:szCs w:val="19"/>
          <w:color w:val="auto"/>
        </w:rPr>
        <w:t>Executive acknowledges and agrees that Executive has been advised to consult with an attorney of Executive’s choosing prior to signing the Release. Executive understands and agrees that Executive has the right and has been given the opportunity to review the Release with an attorney of Executive’s choice should Executive so desire. Executive also agrees that Executive has entered into the Release freely and voluntarily. Executive further acknowledges and agrees that Executive has forty-five (45) calendar days following the Termination Date to consider the Release although Executive may sign it sooner if Executive wishes, but in any case, not prior to the Termination Date. In addition, once Executive has signed the Release, Executive shall have seven (7) additional days from the date of execution to revoke Executive’s consent and may do so by writing to: Human Resources Department, 1400 Atwater Drive, Malvern, PA 19355. The Release shall not be effective, and no payments shall be due hereunder, earlier than the eighth (8th) day after Executive shall have executed the Release and returned it to the Company (the “</w:t>
      </w:r>
      <w:r>
        <w:rPr>
          <w:rFonts w:ascii="Arial" w:cs="Arial" w:eastAsia="Arial" w:hAnsi="Arial"/>
          <w:sz w:val="19"/>
          <w:szCs w:val="19"/>
          <w:u w:val="single" w:color="auto"/>
          <w:color w:val="auto"/>
        </w:rPr>
        <w:t>Effective Date</w:t>
      </w:r>
      <w:r>
        <w:rPr>
          <w:rFonts w:ascii="Arial" w:cs="Arial" w:eastAsia="Arial" w:hAnsi="Arial"/>
          <w:sz w:val="19"/>
          <w:szCs w:val="19"/>
          <w:color w:val="auto"/>
        </w:rPr>
        <w:t>”), assuming that Executive had not revoked Executive’s consent to the Release prior to such date. If Executive does not execute the Release within forty-five (45) calendar days after the Termination Date, or if Executive executes and subsequently revokes the Release, Executive shall forfeit all rights he may have to receive the Separation Benefits.</w:t>
      </w:r>
    </w:p>
    <w:p>
      <w:pPr>
        <w:spacing w:after="0" w:line="192" w:lineRule="exact"/>
        <w:rPr>
          <w:rFonts w:ascii="Arial" w:cs="Arial" w:eastAsia="Arial" w:hAnsi="Arial"/>
          <w:sz w:val="19"/>
          <w:szCs w:val="19"/>
          <w:color w:val="auto"/>
        </w:rPr>
      </w:pPr>
    </w:p>
    <w:p>
      <w:pPr>
        <w:ind w:left="660" w:right="20" w:hanging="652"/>
        <w:spacing w:after="0" w:line="343" w:lineRule="auto"/>
        <w:tabs>
          <w:tab w:leader="none" w:pos="419" w:val="left"/>
        </w:tabs>
        <w:numPr>
          <w:ilvl w:val="0"/>
          <w:numId w:val="101"/>
        </w:numPr>
        <w:rPr>
          <w:rFonts w:ascii="Arial" w:cs="Arial" w:eastAsia="Arial" w:hAnsi="Arial"/>
          <w:sz w:val="19"/>
          <w:szCs w:val="19"/>
          <w:color w:val="auto"/>
        </w:rPr>
      </w:pPr>
      <w:r>
        <w:rPr>
          <w:rFonts w:ascii="Arial" w:cs="Arial" w:eastAsia="Arial" w:hAnsi="Arial"/>
          <w:sz w:val="19"/>
          <w:szCs w:val="19"/>
          <w:color w:val="auto"/>
        </w:rPr>
        <w:t>It is understood and agreed by Executive that any payment made to Executive is not to be construed as an admission of any liability whatsoever on the part of the Company or any of the other Releasees, by whom liability is expressly denied.</w:t>
      </w:r>
    </w:p>
    <w:p>
      <w:pPr>
        <w:spacing w:after="0" w:line="131" w:lineRule="exact"/>
        <w:rPr>
          <w:rFonts w:ascii="Arial" w:cs="Arial" w:eastAsia="Arial" w:hAnsi="Arial"/>
          <w:sz w:val="19"/>
          <w:szCs w:val="19"/>
          <w:color w:val="auto"/>
        </w:rPr>
      </w:pPr>
    </w:p>
    <w:p>
      <w:pPr>
        <w:ind w:left="660" w:hanging="652"/>
        <w:spacing w:after="0" w:line="265" w:lineRule="auto"/>
        <w:tabs>
          <w:tab w:leader="none" w:pos="414"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The Release is executed by Executive voluntarily and is not based upon any representations or statements of any kind made by the Company or any of the other Releasees as to the merits, legal liabilities or value of Executive’s claims. Executive further acknowledges that Executive has had a full and reasonable opportunity to consider the Release and that Executive has not been pressured or in any way coerced into executing the Release.</w:t>
      </w:r>
    </w:p>
    <w:p>
      <w:pPr>
        <w:spacing w:after="0" w:line="202" w:lineRule="exact"/>
        <w:rPr>
          <w:rFonts w:ascii="Arial" w:cs="Arial" w:eastAsia="Arial" w:hAnsi="Arial"/>
          <w:sz w:val="21"/>
          <w:szCs w:val="21"/>
          <w:color w:val="auto"/>
        </w:rPr>
      </w:pPr>
    </w:p>
    <w:p>
      <w:pPr>
        <w:ind w:left="660" w:hanging="652"/>
        <w:spacing w:after="0" w:line="253" w:lineRule="auto"/>
        <w:tabs>
          <w:tab w:leader="none" w:pos="39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exclusive venue for any disputes arising hereunder shall be the state or federal courts located in the State of Delaware or, at the Company’s election, in any other state in which Executive maintains Executive’s principal residence or Executive’s principal place of</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91" w:lineRule="exact"/>
        <w:rPr>
          <w:sz w:val="20"/>
          <w:szCs w:val="20"/>
          <w:color w:val="auto"/>
        </w:rPr>
      </w:pPr>
    </w:p>
    <w:p>
      <w:pPr>
        <w:jc w:val="both"/>
        <w:ind w:left="660"/>
        <w:spacing w:after="0" w:line="245" w:lineRule="auto"/>
        <w:rPr>
          <w:sz w:val="20"/>
          <w:szCs w:val="20"/>
          <w:color w:val="auto"/>
        </w:rPr>
      </w:pPr>
      <w:r>
        <w:rPr>
          <w:rFonts w:ascii="Arial" w:cs="Arial" w:eastAsia="Arial" w:hAnsi="Arial"/>
          <w:sz w:val="22"/>
          <w:szCs w:val="22"/>
          <w:color w:val="auto"/>
        </w:rPr>
        <w:t>business, and each of the parties hereto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 Each of the parties hereto also agrees that any final and unappealable judgment against a party hereto in connection with any action, suit or other proceeding may be enforced in any court of competent jurisdiction, either within or outside of the United States. A certified or exemplified copy of such award or judgment shall be conclusive evidence of the fact and amount of such award or judgment.</w:t>
      </w:r>
    </w:p>
    <w:p>
      <w:pPr>
        <w:spacing w:after="0" w:line="6" w:lineRule="exact"/>
        <w:rPr>
          <w:sz w:val="20"/>
          <w:szCs w:val="20"/>
          <w:color w:val="auto"/>
        </w:rPr>
      </w:pPr>
    </w:p>
    <w:p>
      <w:pPr>
        <w:ind w:left="660" w:hanging="652"/>
        <w:spacing w:after="0" w:line="257" w:lineRule="auto"/>
        <w:tabs>
          <w:tab w:leader="none" w:pos="406" w:val="left"/>
        </w:tabs>
        <w:numPr>
          <w:ilvl w:val="0"/>
          <w:numId w:val="102"/>
        </w:numPr>
        <w:rPr>
          <w:rFonts w:ascii="Arial" w:cs="Arial" w:eastAsia="Arial" w:hAnsi="Arial"/>
          <w:sz w:val="21"/>
          <w:szCs w:val="21"/>
          <w:color w:val="auto"/>
        </w:rPr>
      </w:pPr>
      <w:r>
        <w:rPr>
          <w:rFonts w:ascii="Arial" w:cs="Arial" w:eastAsia="Arial" w:hAnsi="Arial"/>
          <w:sz w:val="21"/>
          <w:szCs w:val="21"/>
          <w:color w:val="auto"/>
        </w:rPr>
        <w:t>The Release and the rights and obligations of the parties hereto shall be governed and construed in accordance with the laws of the State of Delaware. If any provision hereof is unenforceable or is held to be unenforceable, such provision shall be fully severable, and this document and its terms shall be construed and enforced as if such unenforceable provision had never comprised a part hereof, the remaining provisions hereof shall remain in full force and effect, and the court construing the provisions shall add as a part hereof a provision as similar in terms and effect to such unenforceable provision as may be enforceable, in lieu of the unenforceable provision.</w:t>
      </w:r>
    </w:p>
    <w:p>
      <w:pPr>
        <w:spacing w:after="0" w:line="212" w:lineRule="exact"/>
        <w:rPr>
          <w:rFonts w:ascii="Arial" w:cs="Arial" w:eastAsia="Arial" w:hAnsi="Arial"/>
          <w:sz w:val="21"/>
          <w:szCs w:val="21"/>
          <w:color w:val="auto"/>
        </w:rPr>
      </w:pPr>
    </w:p>
    <w:p>
      <w:pPr>
        <w:ind w:left="380" w:hanging="372"/>
        <w:spacing w:after="0"/>
        <w:tabs>
          <w:tab w:leader="none" w:pos="38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Release shall inure to the benefit of and be binding upon the Company and its successors and assigns.</w:t>
      </w:r>
    </w:p>
    <w:p>
      <w:pPr>
        <w:spacing w:after="0" w:line="200" w:lineRule="exact"/>
        <w:rPr>
          <w:sz w:val="20"/>
          <w:szCs w:val="20"/>
          <w:color w:val="auto"/>
        </w:rPr>
      </w:pPr>
    </w:p>
    <w:p>
      <w:pPr>
        <w:spacing w:after="0" w:line="26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Executive and the Company have executed the Release as of the date and year provided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196"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IMPORTANT NOTICE: BY SIGNING BELOW YOU RELEASE AND GIVE UP ANY AND ALL LEGAL CLAIMS, KNOWN AND UNKNOWN, THAT YOU MAY HAVE AGAINST THE COMPANY AND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060" w:type="dxa"/>
            <w:vAlign w:val="bottom"/>
            <w:gridSpan w:val="2"/>
          </w:tcPr>
          <w:p>
            <w:pPr>
              <w:ind w:left="20"/>
              <w:spacing w:after="0"/>
              <w:rPr>
                <w:sz w:val="20"/>
                <w:szCs w:val="20"/>
                <w:color w:val="auto"/>
              </w:rPr>
            </w:pPr>
            <w:r>
              <w:rPr>
                <w:rFonts w:ascii="Arial" w:cs="Arial" w:eastAsia="Arial" w:hAnsi="Arial"/>
                <w:sz w:val="22"/>
                <w:szCs w:val="22"/>
                <w:color w:val="auto"/>
              </w:rPr>
              <w:t>ENDO HEALTH SOLUTIONS INC.</w:t>
            </w:r>
          </w:p>
        </w:tc>
        <w:tc>
          <w:tcPr>
            <w:tcW w:w="5180" w:type="dxa"/>
            <w:vAlign w:val="bottom"/>
          </w:tcPr>
          <w:p>
            <w:pPr>
              <w:ind w:left="20"/>
              <w:spacing w:after="0"/>
              <w:rPr>
                <w:sz w:val="20"/>
                <w:szCs w:val="20"/>
                <w:color w:val="auto"/>
              </w:rPr>
            </w:pPr>
            <w:r>
              <w:rPr>
                <w:rFonts w:ascii="Arial" w:cs="Arial" w:eastAsia="Arial" w:hAnsi="Arial"/>
                <w:sz w:val="22"/>
                <w:szCs w:val="22"/>
                <w:color w:val="auto"/>
              </w:rPr>
              <w:t>Terrance J. Coughlin</w:t>
            </w:r>
          </w:p>
        </w:tc>
      </w:tr>
      <w:tr>
        <w:trPr>
          <w:trHeight w:val="300"/>
        </w:trPr>
        <w:tc>
          <w:tcPr>
            <w:tcW w:w="520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301"/>
        </w:trPr>
        <w:tc>
          <w:tcPr>
            <w:tcW w:w="6060" w:type="dxa"/>
            <w:vAlign w:val="bottom"/>
            <w:gridSpan w:val="2"/>
          </w:tcPr>
          <w:p>
            <w:pPr>
              <w:ind w:left="20"/>
              <w:spacing w:after="0"/>
              <w:rPr>
                <w:sz w:val="20"/>
                <w:szCs w:val="20"/>
                <w:color w:val="auto"/>
              </w:rPr>
            </w:pPr>
            <w:r>
              <w:rPr>
                <w:rFonts w:ascii="Arial" w:cs="Arial" w:eastAsia="Arial" w:hAnsi="Arial"/>
                <w:sz w:val="22"/>
                <w:szCs w:val="22"/>
                <w:color w:val="auto"/>
              </w:rPr>
              <w:t>Dated:</w:t>
            </w:r>
          </w:p>
        </w:tc>
        <w:tc>
          <w:tcPr>
            <w:tcW w:w="5180" w:type="dxa"/>
            <w:vAlign w:val="bottom"/>
          </w:tcPr>
          <w:p>
            <w:pPr>
              <w:ind w:left="20"/>
              <w:spacing w:after="0"/>
              <w:rPr>
                <w:sz w:val="20"/>
                <w:szCs w:val="20"/>
                <w:color w:val="auto"/>
              </w:rPr>
            </w:pPr>
            <w:r>
              <w:rPr>
                <w:rFonts w:ascii="Arial" w:cs="Arial" w:eastAsia="Arial" w:hAnsi="Arial"/>
                <w:sz w:val="22"/>
                <w:szCs w:val="22"/>
                <w:color w:val="auto"/>
              </w:rPr>
              <w:t>Dated: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1240"/>
          </w:cols>
          <w:pgMar w:left="320" w:top="1440"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22"/>
          <w:szCs w:val="22"/>
          <w:b w:val="1"/>
          <w:bCs w:val="1"/>
          <w:color w:val="auto"/>
        </w:rPr>
        <w:t>Exhibit 10.32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054100" cy="3168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6">
                      <a:extLst>
                        <a:ext uri="{28A0092B-C50C-407E-A947-70E740481C1C}"/>
                      </a:extLst>
                    </a:blip>
                    <a:srcRect/>
                    <a:stretch>
                      <a:fillRect/>
                    </a:stretch>
                  </pic:blipFill>
                  <pic:spPr bwMode="auto">
                    <a:xfrm>
                      <a:off x="0" y="0"/>
                      <a:ext cx="105410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November 5, 2020</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Blaise Coleman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1400 Atwater Drive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Malvern, PA 19355</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Dear Blaise,</w:t>
      </w:r>
    </w:p>
    <w:p>
      <w:pPr>
        <w:spacing w:after="0" w:line="112" w:lineRule="exact"/>
        <w:rPr>
          <w:sz w:val="20"/>
          <w:szCs w:val="20"/>
          <w:color w:val="auto"/>
        </w:rPr>
      </w:pPr>
    </w:p>
    <w:p>
      <w:pPr>
        <w:ind w:right="160" w:firstLine="486"/>
        <w:spacing w:after="0" w:line="250" w:lineRule="auto"/>
        <w:rPr>
          <w:sz w:val="20"/>
          <w:szCs w:val="20"/>
          <w:color w:val="auto"/>
        </w:rPr>
      </w:pPr>
      <w:r>
        <w:rPr>
          <w:rFonts w:ascii="Arial" w:cs="Arial" w:eastAsia="Arial" w:hAnsi="Arial"/>
          <w:sz w:val="22"/>
          <w:szCs w:val="22"/>
          <w:color w:val="auto"/>
        </w:rPr>
        <w:t>Your exceptional leadership and business expertise are critical to Endo (“Endo” or the “Company”) as we continue to advance our mission to develop and deliver life-enhancing products through focused execution. You are one of Endo’s key leaders who is critical to the implementation of our strategy and the pursuit of our vision of helping everyone we serve live their best life.</w:t>
      </w:r>
    </w:p>
    <w:p>
      <w:pPr>
        <w:spacing w:after="0" w:line="80" w:lineRule="exact"/>
        <w:rPr>
          <w:sz w:val="20"/>
          <w:szCs w:val="20"/>
          <w:color w:val="auto"/>
        </w:rPr>
      </w:pPr>
    </w:p>
    <w:p>
      <w:pPr>
        <w:jc w:val="both"/>
        <w:ind w:right="140" w:firstLine="486"/>
        <w:spacing w:after="0" w:line="288" w:lineRule="auto"/>
        <w:rPr>
          <w:sz w:val="20"/>
          <w:szCs w:val="20"/>
          <w:color w:val="auto"/>
        </w:rPr>
      </w:pPr>
      <w:r>
        <w:rPr>
          <w:rFonts w:ascii="Arial" w:cs="Arial" w:eastAsia="Arial" w:hAnsi="Arial"/>
          <w:sz w:val="19"/>
          <w:szCs w:val="19"/>
          <w:color w:val="auto"/>
        </w:rPr>
        <w:t xml:space="preserve">Based upon the criticality of your role and your contributions, I am pleased to inform you that you are eligible to receive a one-time cash-based compensation arrangement (Continuity Compensation) in the amount of </w:t>
      </w:r>
      <w:r>
        <w:rPr>
          <w:rFonts w:ascii="Arial" w:cs="Arial" w:eastAsia="Arial" w:hAnsi="Arial"/>
          <w:sz w:val="19"/>
          <w:szCs w:val="19"/>
          <w:b w:val="1"/>
          <w:bCs w:val="1"/>
          <w:color w:val="auto"/>
        </w:rPr>
        <w:t>$850,000.00</w:t>
      </w:r>
      <w:r>
        <w:rPr>
          <w:rFonts w:ascii="Arial" w:cs="Arial" w:eastAsia="Arial" w:hAnsi="Arial"/>
          <w:sz w:val="19"/>
          <w:szCs w:val="19"/>
          <w:color w:val="auto"/>
        </w:rPr>
        <w:t xml:space="preserve"> (subject to applicable tax withholdings). This Continuity Compensation will be paid in three equal installments of approximately $283,333.33 within</w:t>
      </w:r>
    </w:p>
    <w:p>
      <w:pPr>
        <w:spacing w:after="0" w:line="1"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auto"/>
        </w:rPr>
        <w:t>60 days following June 15, 2021, September 15, 2021 and December 15, 2021 (each a “Vesting Period”), and will be in addition to your annual cash incentive opportunity. To qualify for the Continuity Compensation payments, you must maintain strong work performance and remain employed with the Company through the applicable Vesting Periods. Continuity Compensation payments will be accelerated if your employment is terminated by Endo without cause before the end of any applicable Vesting Period. Any unpaid Continuity Compensation amounts will be forfeited if you are terminated for cause or resign before the end of a Vesting Period.</w:t>
      </w:r>
    </w:p>
    <w:p>
      <w:pPr>
        <w:spacing w:after="0" w:line="86" w:lineRule="exact"/>
        <w:rPr>
          <w:sz w:val="20"/>
          <w:szCs w:val="20"/>
          <w:color w:val="auto"/>
        </w:rPr>
      </w:pPr>
    </w:p>
    <w:p>
      <w:pPr>
        <w:ind w:firstLine="486"/>
        <w:spacing w:after="0" w:line="297" w:lineRule="auto"/>
        <w:rPr>
          <w:sz w:val="20"/>
          <w:szCs w:val="20"/>
          <w:color w:val="auto"/>
        </w:rPr>
      </w:pPr>
      <w:r>
        <w:rPr>
          <w:rFonts w:ascii="Arial" w:cs="Arial" w:eastAsia="Arial" w:hAnsi="Arial"/>
          <w:sz w:val="19"/>
          <w:szCs w:val="19"/>
          <w:color w:val="auto"/>
        </w:rPr>
        <w:t>The Continuity Compensation arrangement will not become part of your remuneration, salary, or compensation (other than for tax purposes) for purposes of the calculation of any severance, notice or redundancy pay, or any other amount that you may be or become entitled to in relation to your employment or the termination of your employment. The Continuity Compensation payments are part of a one-time arrangement and is not an acquired right. Nor will the Continuity Compensation create any legal claim for you in respect to its cause or amount, either for the past or for the future.</w:t>
      </w:r>
    </w:p>
    <w:p>
      <w:pPr>
        <w:spacing w:after="0" w:line="39" w:lineRule="exact"/>
        <w:rPr>
          <w:sz w:val="20"/>
          <w:szCs w:val="20"/>
          <w:color w:val="auto"/>
        </w:rPr>
      </w:pPr>
    </w:p>
    <w:p>
      <w:pPr>
        <w:ind w:right="180" w:firstLine="486"/>
        <w:spacing w:after="0" w:line="259" w:lineRule="auto"/>
        <w:rPr>
          <w:sz w:val="20"/>
          <w:szCs w:val="20"/>
          <w:color w:val="auto"/>
        </w:rPr>
      </w:pPr>
      <w:r>
        <w:rPr>
          <w:rFonts w:ascii="Arial" w:cs="Arial" w:eastAsia="Arial" w:hAnsi="Arial"/>
          <w:sz w:val="21"/>
          <w:szCs w:val="21"/>
          <w:color w:val="auto"/>
        </w:rPr>
        <w:t>This letter does not change the at-will nature of your employment with the Company. You or Endo may terminate your employment at any time, for any reason, with or without cause. Any controversy or claim arising out of or relating to this letter, or the breach thereof, shall be exclusively settled by an arbitration proceeding conducted through Judicial Arbitration &amp; Mediation Services (“JAMS”). The arbitration shall take place in Chester County, Pennsylvania, and no dispute under this letter shall be adjudicated in any other venue or forum. Arbitration will be conducted in accordance with the then-current JAMS Employment Arbitration Rules &amp; Procedures (and no other JAMS rules), and judgment on any award may be entered in any court having jurisdiction thereof. This letter shall be governed by the laws of the State of Pennsylvania, and it may not be modified except in a writing signed by all parties.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w:t>
      </w:r>
      <w:r>
        <w:rPr>
          <w:rFonts w:ascii="Arial" w:cs="Arial" w:eastAsia="Arial" w:hAnsi="Arial"/>
          <w:sz w:val="22"/>
          <w:szCs w:val="22"/>
          <w:color w:val="auto"/>
        </w:rPr>
        <w:t xml:space="preserve"> of </w:t>
      </w:r>
      <w:r>
        <w:rPr>
          <w:rFonts w:ascii="Arial" w:cs="Arial" w:eastAsia="Arial" w:hAnsi="Arial"/>
          <w:sz w:val="22"/>
          <w:szCs w:val="22"/>
          <w:b w:val="1"/>
          <w:bCs w:val="1"/>
          <w:color w:val="auto"/>
        </w:rPr>
        <w:t>2</w:t>
      </w:r>
    </w:p>
    <w:p>
      <w:pPr>
        <w:sectPr>
          <w:pgSz w:w="11900" w:h="16838" w:orient="portrait"/>
          <w:cols w:equalWidth="0" w:num="1">
            <w:col w:w="11240"/>
          </w:cols>
          <w:pgMar w:left="320" w:top="126" w:right="339" w:bottom="1440" w:gutter="0" w:footer="0" w:header="0"/>
        </w:sectPr>
      </w:pPr>
    </w:p>
    <w:bookmarkStart w:id="166" w:name="page167"/>
    <w:bookmarkEnd w:id="166"/>
    <w:p>
      <w:pPr>
        <w:ind w:firstLine="486"/>
        <w:spacing w:after="0" w:line="253"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54100" cy="3168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1054100" cy="316865"/>
                    </a:xfrm>
                    <a:prstGeom prst="rect">
                      <a:avLst/>
                    </a:prstGeom>
                    <a:noFill/>
                  </pic:spPr>
                </pic:pic>
              </a:graphicData>
            </a:graphic>
          </wp:anchor>
        </w:drawing>
        <w:t>We thank you for your commitment to the Company, and are confident that Endo can count on your continued support. By signing this document (whether digitally or otherwise), you are agreeing that you accept these terms and intend to be bound by them.</w:t>
      </w:r>
    </w:p>
    <w:p>
      <w:pPr>
        <w:sectPr>
          <w:pgSz w:w="11900" w:h="16838" w:orient="portrait"/>
          <w:cols w:equalWidth="0" w:num="1">
            <w:col w:w="11080"/>
          </w:cols>
          <w:pgMar w:left="320" w:top="1279" w:right="499" w:bottom="1440" w:gutter="0" w:footer="0" w:header="0"/>
        </w:sectPr>
      </w:pP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Best Regards,</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PAUL CAMPANELLI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66014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8">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Arial" w:cs="Arial" w:eastAsia="Arial" w:hAnsi="Arial"/>
          <w:sz w:val="22"/>
          <w:szCs w:val="22"/>
          <w:color w:val="auto"/>
        </w:rPr>
        <w:t>Paul Campanelli</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9"/>
          <w:szCs w:val="19"/>
          <w:color w:val="auto"/>
        </w:rPr>
        <w:t>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AGREED AND ACCEPTED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66014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9">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Blaise Coleman</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color w:val="auto"/>
        </w:rPr>
        <w:t>/S/ TRACY BASSO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33020</wp:posOffset>
            </wp:positionV>
            <wp:extent cx="3060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0">
                      <a:extLst>
                        <a:ext uri="{28A0092B-C50C-407E-A947-70E740481C1C}"/>
                      </a:extLst>
                    </a:blip>
                    <a:srcRect/>
                    <a:stretch>
                      <a:fillRect/>
                    </a:stretch>
                  </pic:blipFill>
                  <pic:spPr bwMode="auto">
                    <a:xfrm>
                      <a:off x="0" y="0"/>
                      <a:ext cx="3060700" cy="88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auto"/>
        </w:rPr>
        <w:t>Tracy Basso</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auto"/>
        </w:rPr>
        <w:t>11/05/20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33020</wp:posOffset>
            </wp:positionV>
            <wp:extent cx="30607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1">
                      <a:extLst>
                        <a:ext uri="{28A0092B-C50C-407E-A947-70E740481C1C}"/>
                      </a:extLst>
                    </a:blip>
                    <a:srcRect/>
                    <a:stretch>
                      <a:fillRect/>
                    </a:stretch>
                  </pic:blipFill>
                  <pic:spPr bwMode="auto">
                    <a:xfrm>
                      <a:off x="0" y="0"/>
                      <a:ext cx="3060700"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auto"/>
        </w:rPr>
        <w:t>Date (the “Effective Date”)</w:t>
      </w:r>
    </w:p>
    <w:p>
      <w:pPr>
        <w:spacing w:after="0" w:line="213" w:lineRule="exact"/>
        <w:rPr>
          <w:sz w:val="20"/>
          <w:szCs w:val="20"/>
          <w:color w:val="auto"/>
        </w:rPr>
      </w:pPr>
    </w:p>
    <w:p>
      <w:pPr>
        <w:sectPr>
          <w:pgSz w:w="11900" w:h="16838" w:orient="portrait"/>
          <w:cols w:equalWidth="0" w:num="2">
            <w:col w:w="5700" w:space="720"/>
            <w:col w:w="4660"/>
          </w:cols>
          <w:pgMar w:left="320" w:top="1279" w:right="499" w:bottom="1440" w:gutter="0" w:footer="0" w:header="0"/>
          <w:type w:val="continuous"/>
        </w:sectPr>
      </w:pP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2</w:t>
      </w:r>
      <w:r>
        <w:rPr>
          <w:rFonts w:ascii="Arial" w:cs="Arial" w:eastAsia="Arial" w:hAnsi="Arial"/>
          <w:sz w:val="19"/>
          <w:szCs w:val="19"/>
          <w:color w:val="auto"/>
        </w:rPr>
        <w:t xml:space="preserve"> of </w:t>
      </w:r>
      <w:r>
        <w:rPr>
          <w:rFonts w:ascii="Arial" w:cs="Arial" w:eastAsia="Arial" w:hAnsi="Arial"/>
          <w:sz w:val="19"/>
          <w:szCs w:val="19"/>
          <w:b w:val="1"/>
          <w:bCs w:val="1"/>
          <w:color w:val="auto"/>
        </w:rPr>
        <w:t>2</w:t>
      </w:r>
    </w:p>
    <w:p>
      <w:pPr>
        <w:sectPr>
          <w:pgSz w:w="11900" w:h="16838" w:orient="portrait"/>
          <w:cols w:equalWidth="0" w:num="1">
            <w:col w:w="11080"/>
          </w:cols>
          <w:pgMar w:left="320" w:top="1279" w:right="499" w:bottom="1440" w:gutter="0" w:footer="0" w:header="0"/>
          <w:type w:val="continuous"/>
        </w:sectPr>
      </w:pPr>
    </w:p>
    <w:bookmarkStart w:id="167" w:name="page168"/>
    <w:bookmarkEnd w:id="167"/>
    <w:p>
      <w:pPr>
        <w:jc w:val="right"/>
        <w:spacing w:after="0"/>
        <w:rPr>
          <w:sz w:val="20"/>
          <w:szCs w:val="20"/>
          <w:color w:val="auto"/>
        </w:rPr>
      </w:pPr>
      <w:r>
        <w:rPr>
          <w:rFonts w:ascii="Arial" w:cs="Arial" w:eastAsia="Arial" w:hAnsi="Arial"/>
          <w:sz w:val="22"/>
          <w:szCs w:val="22"/>
          <w:b w:val="1"/>
          <w:bCs w:val="1"/>
          <w:color w:val="auto"/>
        </w:rPr>
        <w:t>Exhibit 10.33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054100" cy="3168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2">
                      <a:extLst>
                        <a:ext uri="{28A0092B-C50C-407E-A947-70E740481C1C}"/>
                      </a:extLst>
                    </a:blip>
                    <a:srcRect/>
                    <a:stretch>
                      <a:fillRect/>
                    </a:stretch>
                  </pic:blipFill>
                  <pic:spPr bwMode="auto">
                    <a:xfrm>
                      <a:off x="0" y="0"/>
                      <a:ext cx="105410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November 5, 2020</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Patrick Barry</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1400 Atwater Drive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Malvern, PA 19355</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Dear Patrick,</w:t>
      </w:r>
    </w:p>
    <w:p>
      <w:pPr>
        <w:spacing w:after="0" w:line="112" w:lineRule="exact"/>
        <w:rPr>
          <w:sz w:val="20"/>
          <w:szCs w:val="20"/>
          <w:color w:val="auto"/>
        </w:rPr>
      </w:pPr>
    </w:p>
    <w:p>
      <w:pPr>
        <w:ind w:right="160" w:firstLine="486"/>
        <w:spacing w:after="0" w:line="250" w:lineRule="auto"/>
        <w:rPr>
          <w:sz w:val="20"/>
          <w:szCs w:val="20"/>
          <w:color w:val="auto"/>
        </w:rPr>
      </w:pPr>
      <w:r>
        <w:rPr>
          <w:rFonts w:ascii="Arial" w:cs="Arial" w:eastAsia="Arial" w:hAnsi="Arial"/>
          <w:sz w:val="22"/>
          <w:szCs w:val="22"/>
          <w:color w:val="auto"/>
        </w:rPr>
        <w:t>Your exceptional leadership and business expertise are critical to Endo (“Endo” or the “Company”) as we continue to advance our mission to develop and deliver life-enhancing products through focused execution. You are one of Endo’s key leaders who is critical to the implementation of our strategy and the pursuit of our vision of helping everyone we serve live their best life.</w:t>
      </w:r>
    </w:p>
    <w:p>
      <w:pPr>
        <w:spacing w:after="0" w:line="80" w:lineRule="exact"/>
        <w:rPr>
          <w:sz w:val="20"/>
          <w:szCs w:val="20"/>
          <w:color w:val="auto"/>
        </w:rPr>
      </w:pPr>
    </w:p>
    <w:p>
      <w:pPr>
        <w:ind w:right="100" w:firstLine="486"/>
        <w:spacing w:after="0" w:line="259" w:lineRule="auto"/>
        <w:rPr>
          <w:sz w:val="20"/>
          <w:szCs w:val="20"/>
          <w:color w:val="auto"/>
        </w:rPr>
      </w:pPr>
      <w:r>
        <w:rPr>
          <w:rFonts w:ascii="Arial" w:cs="Arial" w:eastAsia="Arial" w:hAnsi="Arial"/>
          <w:sz w:val="21"/>
          <w:szCs w:val="21"/>
          <w:color w:val="auto"/>
        </w:rPr>
        <w:t xml:space="preserve">Based upon the criticality of your role and your contributions, I am pleased to inform you that you are eligible to receive a one-time cash-based compensation arrangement (Continuity Compensation) in the amount of </w:t>
      </w:r>
      <w:r>
        <w:rPr>
          <w:rFonts w:ascii="Arial" w:cs="Arial" w:eastAsia="Arial" w:hAnsi="Arial"/>
          <w:sz w:val="21"/>
          <w:szCs w:val="21"/>
          <w:b w:val="1"/>
          <w:bCs w:val="1"/>
          <w:color w:val="auto"/>
        </w:rPr>
        <w:t>$550,000</w:t>
      </w:r>
      <w:r>
        <w:rPr>
          <w:rFonts w:ascii="Arial" w:cs="Arial" w:eastAsia="Arial" w:hAnsi="Arial"/>
          <w:sz w:val="21"/>
          <w:szCs w:val="21"/>
          <w:color w:val="auto"/>
        </w:rPr>
        <w:t xml:space="preserve"> (subject to applicable tax withholdings). This Continuity Compensation will be paid in three equal installments of approximately $183,333.33 within 60 days following June 15, 2021, September 15, 2021 and December 15, 2021 (each a “Vesting Period”), and will be in addition to your annual cash incentive opportunity. To qualify for the Continuity Compensation payments, you must maintain strong work performance and remain employed with the Company through the applicable Vesting Periods. Continuity Compensation payments will be accelerated if your employment is terminated by Endo without cause before the end of any applicable Vesting Period. Any unpaid Continuity Compensation amounts will be forfeited if you are terminated for cause or resign before the end of a Vesting Period.</w:t>
      </w:r>
    </w:p>
    <w:p>
      <w:pPr>
        <w:spacing w:after="0" w:line="71" w:lineRule="exact"/>
        <w:rPr>
          <w:sz w:val="20"/>
          <w:szCs w:val="20"/>
          <w:color w:val="auto"/>
        </w:rPr>
      </w:pPr>
    </w:p>
    <w:p>
      <w:pPr>
        <w:ind w:firstLine="486"/>
        <w:spacing w:after="0" w:line="297" w:lineRule="auto"/>
        <w:rPr>
          <w:sz w:val="20"/>
          <w:szCs w:val="20"/>
          <w:color w:val="auto"/>
        </w:rPr>
      </w:pPr>
      <w:r>
        <w:rPr>
          <w:rFonts w:ascii="Arial" w:cs="Arial" w:eastAsia="Arial" w:hAnsi="Arial"/>
          <w:sz w:val="19"/>
          <w:szCs w:val="19"/>
          <w:color w:val="auto"/>
        </w:rPr>
        <w:t>The Continuity Compensation arrangement will not become part of your remuneration, salary, or compensation (other than for tax purposes) for purposes of the calculation of any severance, notice or redundancy pay, or any other amount that you may be or become entitled to in relation to your employment or the termination of your employment. The Continuity Compensation payments are part of a one-time arrangement and is not an acquired right. Nor will the Continuity Compensation create any legal claim for you in respect to its cause or amount, either for the past or for the future.</w:t>
      </w:r>
    </w:p>
    <w:p>
      <w:pPr>
        <w:spacing w:after="0" w:line="39" w:lineRule="exact"/>
        <w:rPr>
          <w:sz w:val="20"/>
          <w:szCs w:val="20"/>
          <w:color w:val="auto"/>
        </w:rPr>
      </w:pPr>
    </w:p>
    <w:p>
      <w:pPr>
        <w:ind w:right="180" w:firstLine="486"/>
        <w:spacing w:after="0" w:line="259" w:lineRule="auto"/>
        <w:rPr>
          <w:sz w:val="20"/>
          <w:szCs w:val="20"/>
          <w:color w:val="auto"/>
        </w:rPr>
      </w:pPr>
      <w:r>
        <w:rPr>
          <w:rFonts w:ascii="Arial" w:cs="Arial" w:eastAsia="Arial" w:hAnsi="Arial"/>
          <w:sz w:val="21"/>
          <w:szCs w:val="21"/>
          <w:color w:val="auto"/>
        </w:rPr>
        <w:t>This letter does not change the at-will nature of your employment with the Company. You or Endo may terminate your employment at any time, for any reason, with or without cause. Any controversy or claim arising out of or relating to this letter, or the breach thereof, shall be exclusively settled by an arbitration proceeding conducted through Judicial Arbitration &amp; Mediation Services (“JAMS”). The arbitration shall take place in Chester County, Pennsylvania, and no dispute under this letter shall be adjudicated in any other venue or forum. Arbitration will be conducted in accordance with the then-current JAMS Employment Arbitration Rules &amp; Procedures (and no other JAMS rules), and judgment on any award may be entered in any court having jurisdiction thereof. This letter shall be governed by the laws of the State of Pennsylvania, and it may not be modified except in a writing signed by all parties.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w:t>
      </w:r>
      <w:r>
        <w:rPr>
          <w:rFonts w:ascii="Arial" w:cs="Arial" w:eastAsia="Arial" w:hAnsi="Arial"/>
          <w:sz w:val="22"/>
          <w:szCs w:val="22"/>
          <w:color w:val="auto"/>
        </w:rPr>
        <w:t xml:space="preserve"> of </w:t>
      </w:r>
      <w:r>
        <w:rPr>
          <w:rFonts w:ascii="Arial" w:cs="Arial" w:eastAsia="Arial" w:hAnsi="Arial"/>
          <w:sz w:val="22"/>
          <w:szCs w:val="22"/>
          <w:b w:val="1"/>
          <w:bCs w:val="1"/>
          <w:color w:val="auto"/>
        </w:rPr>
        <w:t>2</w:t>
      </w:r>
    </w:p>
    <w:p>
      <w:pPr>
        <w:sectPr>
          <w:pgSz w:w="11900" w:h="16838" w:orient="portrait"/>
          <w:cols w:equalWidth="0" w:num="1">
            <w:col w:w="11240"/>
          </w:cols>
          <w:pgMar w:left="320" w:top="126" w:right="339" w:bottom="1440" w:gutter="0" w:footer="0" w:header="0"/>
        </w:sectPr>
      </w:pPr>
    </w:p>
    <w:bookmarkStart w:id="168" w:name="page169"/>
    <w:bookmarkEnd w:id="168"/>
    <w:p>
      <w:pPr>
        <w:ind w:firstLine="486"/>
        <w:spacing w:after="0" w:line="253"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54100" cy="3168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3">
                      <a:clrChange>
                        <a:clrFrom>
                          <a:srgbClr val="FFFFFF"/>
                        </a:clrFrom>
                        <a:clrTo>
                          <a:srgbClr val="FFFFFF">
                            <a:alpha val="0"/>
                          </a:srgbClr>
                        </a:clrTo>
                      </a:clrChange>
                      <a:extLst>
                        <a:ext uri="{28A0092B-C50C-407E-A947-70E740481C1C}"/>
                      </a:extLst>
                    </a:blip>
                    <a:srcRect/>
                    <a:stretch>
                      <a:fillRect/>
                    </a:stretch>
                  </pic:blipFill>
                  <pic:spPr bwMode="auto">
                    <a:xfrm>
                      <a:off x="0" y="0"/>
                      <a:ext cx="1054100" cy="316865"/>
                    </a:xfrm>
                    <a:prstGeom prst="rect">
                      <a:avLst/>
                    </a:prstGeom>
                    <a:noFill/>
                  </pic:spPr>
                </pic:pic>
              </a:graphicData>
            </a:graphic>
          </wp:anchor>
        </w:drawing>
        <w:t>We thank you for your commitment to the Company, and are confident that Endo can count on your continued support. Please indicate your acceptance by signing and returning one copy of this letter agreement to Vito Romano, SVP Total Rewards and HR Operations.</w:t>
      </w:r>
    </w:p>
    <w:p>
      <w:pPr>
        <w:sectPr>
          <w:pgSz w:w="11900" w:h="16838" w:orient="portrait"/>
          <w:cols w:equalWidth="0" w:num="1">
            <w:col w:w="11060"/>
          </w:cols>
          <w:pgMar w:left="320" w:top="1279" w:right="519" w:bottom="1440" w:gutter="0" w:footer="0" w:header="0"/>
        </w:sectPr>
      </w:pP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Best Regards,</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66014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4">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Blaise Coleman</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9"/>
          <w:szCs w:val="19"/>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AGREED AND ACCEPTED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PATRICK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6601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5">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Arial" w:cs="Arial" w:eastAsia="Arial" w:hAnsi="Arial"/>
          <w:sz w:val="22"/>
          <w:szCs w:val="22"/>
          <w:color w:val="auto"/>
        </w:rPr>
        <w:t>Patrick Barry</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color w:val="auto"/>
        </w:rPr>
        <w:t>/S/ TRACY BASSO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33020</wp:posOffset>
            </wp:positionV>
            <wp:extent cx="3060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6">
                      <a:extLst>
                        <a:ext uri="{28A0092B-C50C-407E-A947-70E740481C1C}"/>
                      </a:extLst>
                    </a:blip>
                    <a:srcRect/>
                    <a:stretch>
                      <a:fillRect/>
                    </a:stretch>
                  </pic:blipFill>
                  <pic:spPr bwMode="auto">
                    <a:xfrm>
                      <a:off x="0" y="0"/>
                      <a:ext cx="3060700" cy="88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auto"/>
        </w:rPr>
        <w:t>Tracy Basso</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auto"/>
        </w:rPr>
        <w:t>11/5/2020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33020</wp:posOffset>
            </wp:positionV>
            <wp:extent cx="30607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7">
                      <a:extLst>
                        <a:ext uri="{28A0092B-C50C-407E-A947-70E740481C1C}"/>
                      </a:extLst>
                    </a:blip>
                    <a:srcRect/>
                    <a:stretch>
                      <a:fillRect/>
                    </a:stretch>
                  </pic:blipFill>
                  <pic:spPr bwMode="auto">
                    <a:xfrm>
                      <a:off x="0" y="0"/>
                      <a:ext cx="3060700"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auto"/>
        </w:rPr>
        <w:t>Date (the “Effective Date”)</w:t>
      </w:r>
    </w:p>
    <w:p>
      <w:pPr>
        <w:spacing w:after="0" w:line="213" w:lineRule="exact"/>
        <w:rPr>
          <w:sz w:val="20"/>
          <w:szCs w:val="20"/>
          <w:color w:val="auto"/>
        </w:rPr>
      </w:pPr>
    </w:p>
    <w:p>
      <w:pPr>
        <w:sectPr>
          <w:pgSz w:w="11900" w:h="16838" w:orient="portrait"/>
          <w:cols w:equalWidth="0" w:num="2">
            <w:col w:w="5700" w:space="720"/>
            <w:col w:w="4640"/>
          </w:cols>
          <w:pgMar w:left="320" w:top="1279" w:right="519" w:bottom="1440" w:gutter="0" w:footer="0" w:header="0"/>
          <w:type w:val="continuous"/>
        </w:sectPr>
      </w:pPr>
    </w:p>
    <w:p>
      <w:pPr>
        <w:spacing w:after="0" w:line="378"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2</w:t>
      </w:r>
      <w:r>
        <w:rPr>
          <w:rFonts w:ascii="Arial" w:cs="Arial" w:eastAsia="Arial" w:hAnsi="Arial"/>
          <w:sz w:val="19"/>
          <w:szCs w:val="19"/>
          <w:color w:val="auto"/>
        </w:rPr>
        <w:t xml:space="preserve"> of </w:t>
      </w:r>
      <w:r>
        <w:rPr>
          <w:rFonts w:ascii="Arial" w:cs="Arial" w:eastAsia="Arial" w:hAnsi="Arial"/>
          <w:sz w:val="19"/>
          <w:szCs w:val="19"/>
          <w:b w:val="1"/>
          <w:bCs w:val="1"/>
          <w:color w:val="auto"/>
        </w:rPr>
        <w:t>2</w:t>
      </w:r>
    </w:p>
    <w:p>
      <w:pPr>
        <w:sectPr>
          <w:pgSz w:w="11900" w:h="16838" w:orient="portrait"/>
          <w:cols w:equalWidth="0" w:num="1">
            <w:col w:w="11060"/>
          </w:cols>
          <w:pgMar w:left="320" w:top="1279" w:right="519" w:bottom="1440" w:gutter="0" w:footer="0" w:header="0"/>
          <w:type w:val="continuous"/>
        </w:sectPr>
      </w:pPr>
    </w:p>
    <w:bookmarkStart w:id="169" w:name="page170"/>
    <w:bookmarkEnd w:id="169"/>
    <w:p>
      <w:pPr>
        <w:jc w:val="right"/>
        <w:spacing w:after="0"/>
        <w:rPr>
          <w:sz w:val="20"/>
          <w:szCs w:val="20"/>
          <w:color w:val="auto"/>
        </w:rPr>
      </w:pPr>
      <w:r>
        <w:rPr>
          <w:rFonts w:ascii="Arial" w:cs="Arial" w:eastAsia="Arial" w:hAnsi="Arial"/>
          <w:sz w:val="22"/>
          <w:szCs w:val="22"/>
          <w:b w:val="1"/>
          <w:bCs w:val="1"/>
          <w:color w:val="auto"/>
        </w:rPr>
        <w:t>Exhibit 10.34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054100" cy="3168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8">
                      <a:extLst>
                        <a:ext uri="{28A0092B-C50C-407E-A947-70E740481C1C}"/>
                      </a:extLst>
                    </a:blip>
                    <a:srcRect/>
                    <a:stretch>
                      <a:fillRect/>
                    </a:stretch>
                  </pic:blipFill>
                  <pic:spPr bwMode="auto">
                    <a:xfrm>
                      <a:off x="0" y="0"/>
                      <a:ext cx="105410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480"/>
        <w:spacing w:after="0"/>
        <w:rPr>
          <w:sz w:val="20"/>
          <w:szCs w:val="20"/>
          <w:color w:val="auto"/>
        </w:rPr>
      </w:pPr>
      <w:r>
        <w:rPr>
          <w:rFonts w:ascii="Arial" w:cs="Arial" w:eastAsia="Arial" w:hAnsi="Arial"/>
          <w:sz w:val="22"/>
          <w:szCs w:val="22"/>
          <w:color w:val="auto"/>
        </w:rPr>
        <w:t>November 5, 2020</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Mark Bradley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1400 Atwater Drive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Malvern, PA 19355</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Dear Mark,</w:t>
      </w:r>
    </w:p>
    <w:p>
      <w:pPr>
        <w:spacing w:after="0" w:line="112" w:lineRule="exact"/>
        <w:rPr>
          <w:sz w:val="20"/>
          <w:szCs w:val="20"/>
          <w:color w:val="auto"/>
        </w:rPr>
      </w:pPr>
    </w:p>
    <w:p>
      <w:pPr>
        <w:ind w:right="160" w:firstLine="486"/>
        <w:spacing w:after="0" w:line="250" w:lineRule="auto"/>
        <w:rPr>
          <w:sz w:val="20"/>
          <w:szCs w:val="20"/>
          <w:color w:val="auto"/>
        </w:rPr>
      </w:pPr>
      <w:r>
        <w:rPr>
          <w:rFonts w:ascii="Arial" w:cs="Arial" w:eastAsia="Arial" w:hAnsi="Arial"/>
          <w:sz w:val="22"/>
          <w:szCs w:val="22"/>
          <w:color w:val="auto"/>
        </w:rPr>
        <w:t>Your exceptional leadership and business expertise are critical to Endo (“Endo” or the “Company”) as we continue to advance our mission to develop and deliver life-enhancing products through focused execution. You are one of Endo’s key leaders who is critical to the implementation of our strategy and the pursuit of our vision of helping everyone we serve live their best life.</w:t>
      </w:r>
    </w:p>
    <w:p>
      <w:pPr>
        <w:spacing w:after="0" w:line="80" w:lineRule="exact"/>
        <w:rPr>
          <w:sz w:val="20"/>
          <w:szCs w:val="20"/>
          <w:color w:val="auto"/>
        </w:rPr>
      </w:pPr>
    </w:p>
    <w:p>
      <w:pPr>
        <w:ind w:right="100" w:firstLine="486"/>
        <w:spacing w:after="0" w:line="259" w:lineRule="auto"/>
        <w:rPr>
          <w:sz w:val="20"/>
          <w:szCs w:val="20"/>
          <w:color w:val="auto"/>
        </w:rPr>
      </w:pPr>
      <w:r>
        <w:rPr>
          <w:rFonts w:ascii="Arial" w:cs="Arial" w:eastAsia="Arial" w:hAnsi="Arial"/>
          <w:sz w:val="21"/>
          <w:szCs w:val="21"/>
          <w:color w:val="auto"/>
        </w:rPr>
        <w:t xml:space="preserve">Based upon the criticality of your role and your contributions, I am pleased to inform you that you are eligible to receive a one-time cash-based compensation arrangement (Continuity Compensation) in the amount of </w:t>
      </w:r>
      <w:r>
        <w:rPr>
          <w:rFonts w:ascii="Arial" w:cs="Arial" w:eastAsia="Arial" w:hAnsi="Arial"/>
          <w:sz w:val="21"/>
          <w:szCs w:val="21"/>
          <w:b w:val="1"/>
          <w:bCs w:val="1"/>
          <w:color w:val="auto"/>
        </w:rPr>
        <w:t>$575,000</w:t>
      </w:r>
      <w:r>
        <w:rPr>
          <w:rFonts w:ascii="Arial" w:cs="Arial" w:eastAsia="Arial" w:hAnsi="Arial"/>
          <w:sz w:val="21"/>
          <w:szCs w:val="21"/>
          <w:color w:val="auto"/>
        </w:rPr>
        <w:t xml:space="preserve"> (subject to applicable tax withholdings). This Continuity Compensation will be paid in three equal installments of approximately $191,666.67 within 60 days following June 15, 2021, September 15, 2021 and December 15, 2021 (each a “Vesting Period”), and will be in addition to your annual cash incentive opportunity. To qualify for the Continuity Compensation payments, you must maintain strong work performance and remain employed with the Company through the applicable Vesting Periods. Continuity Compensation payments will be accelerated if your employment is terminated by Endo without cause before the end of any applicable Vesting Period. Any unpaid Continuity Compensation amounts will be forfeited if you are terminated for cause or resign before the end of a Vesting Period.</w:t>
      </w:r>
    </w:p>
    <w:p>
      <w:pPr>
        <w:spacing w:after="0" w:line="71" w:lineRule="exact"/>
        <w:rPr>
          <w:sz w:val="20"/>
          <w:szCs w:val="20"/>
          <w:color w:val="auto"/>
        </w:rPr>
      </w:pPr>
    </w:p>
    <w:p>
      <w:pPr>
        <w:ind w:firstLine="486"/>
        <w:spacing w:after="0" w:line="297" w:lineRule="auto"/>
        <w:rPr>
          <w:sz w:val="20"/>
          <w:szCs w:val="20"/>
          <w:color w:val="auto"/>
        </w:rPr>
      </w:pPr>
      <w:r>
        <w:rPr>
          <w:rFonts w:ascii="Arial" w:cs="Arial" w:eastAsia="Arial" w:hAnsi="Arial"/>
          <w:sz w:val="19"/>
          <w:szCs w:val="19"/>
          <w:color w:val="auto"/>
        </w:rPr>
        <w:t>The Continuity Compensation arrangement will not become part of your remuneration, salary, or compensation (other than for tax purposes) for purposes of the calculation of any severance, notice or redundancy pay, or any other amount that you may be or become entitled to in relation to your employment or the termination of your employment. The Continuity Compensation payments are part of a one-time arrangement and is not an acquired right. Nor will the Continuity Compensation create any legal claim for you in respect to its cause or amount, either for the past or for the future.</w:t>
      </w:r>
    </w:p>
    <w:p>
      <w:pPr>
        <w:spacing w:after="0" w:line="39" w:lineRule="exact"/>
        <w:rPr>
          <w:sz w:val="20"/>
          <w:szCs w:val="20"/>
          <w:color w:val="auto"/>
        </w:rPr>
      </w:pPr>
    </w:p>
    <w:p>
      <w:pPr>
        <w:ind w:right="180" w:firstLine="486"/>
        <w:spacing w:after="0" w:line="259" w:lineRule="auto"/>
        <w:rPr>
          <w:sz w:val="20"/>
          <w:szCs w:val="20"/>
          <w:color w:val="auto"/>
        </w:rPr>
      </w:pPr>
      <w:r>
        <w:rPr>
          <w:rFonts w:ascii="Arial" w:cs="Arial" w:eastAsia="Arial" w:hAnsi="Arial"/>
          <w:sz w:val="21"/>
          <w:szCs w:val="21"/>
          <w:color w:val="auto"/>
        </w:rPr>
        <w:t>This letter does not change the at-will nature of your employment with the Company. You or Endo may terminate your employment at any time, for any reason, with or without cause. Any controversy or claim arising out of or relating to this letter, or the breach thereof, shall be exclusively settled by an arbitration proceeding conducted through Judicial Arbitration &amp; Mediation Services (“JAMS”). The arbitration shall take place in Chester County, Pennsylvania, and no dispute under this letter shall be adjudicated in any other venue or forum. Arbitration will be conducted in accordance with the then-current JAMS Employment Arbitration Rules &amp; Procedures (and no other JAMS rules), and judgment on any award may be entered in any court having jurisdiction thereof. This letter shall be governed by the laws of the State of Pennsylvania, and it may not be modified except in a writing signed by all parties.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w:t>
      </w:r>
      <w:r>
        <w:rPr>
          <w:rFonts w:ascii="Arial" w:cs="Arial" w:eastAsia="Arial" w:hAnsi="Arial"/>
          <w:sz w:val="22"/>
          <w:szCs w:val="22"/>
          <w:color w:val="auto"/>
        </w:rPr>
        <w:t xml:space="preserve"> of </w:t>
      </w:r>
      <w:r>
        <w:rPr>
          <w:rFonts w:ascii="Arial" w:cs="Arial" w:eastAsia="Arial" w:hAnsi="Arial"/>
          <w:sz w:val="22"/>
          <w:szCs w:val="22"/>
          <w:b w:val="1"/>
          <w:bCs w:val="1"/>
          <w:color w:val="auto"/>
        </w:rPr>
        <w:t>2</w:t>
      </w:r>
    </w:p>
    <w:p>
      <w:pPr>
        <w:sectPr>
          <w:pgSz w:w="11900" w:h="16838" w:orient="portrait"/>
          <w:cols w:equalWidth="0" w:num="1">
            <w:col w:w="11240"/>
          </w:cols>
          <w:pgMar w:left="320" w:top="126" w:right="339" w:bottom="1440" w:gutter="0" w:footer="0" w:header="0"/>
        </w:sectPr>
      </w:pPr>
    </w:p>
    <w:bookmarkStart w:id="170" w:name="page171"/>
    <w:bookmarkEnd w:id="170"/>
    <w:p>
      <w:pPr>
        <w:ind w:firstLine="486"/>
        <w:spacing w:after="0" w:line="253"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54100" cy="3168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9">
                      <a:clrChange>
                        <a:clrFrom>
                          <a:srgbClr val="FFFFFF"/>
                        </a:clrFrom>
                        <a:clrTo>
                          <a:srgbClr val="FFFFFF">
                            <a:alpha val="0"/>
                          </a:srgbClr>
                        </a:clrTo>
                      </a:clrChange>
                      <a:extLst>
                        <a:ext uri="{28A0092B-C50C-407E-A947-70E740481C1C}"/>
                      </a:extLst>
                    </a:blip>
                    <a:srcRect/>
                    <a:stretch>
                      <a:fillRect/>
                    </a:stretch>
                  </pic:blipFill>
                  <pic:spPr bwMode="auto">
                    <a:xfrm>
                      <a:off x="0" y="0"/>
                      <a:ext cx="1054100" cy="316865"/>
                    </a:xfrm>
                    <a:prstGeom prst="rect">
                      <a:avLst/>
                    </a:prstGeom>
                    <a:noFill/>
                  </pic:spPr>
                </pic:pic>
              </a:graphicData>
            </a:graphic>
          </wp:anchor>
        </w:drawing>
        <w:t>We thank you for your commitment to the Company, and are confident that Endo can count on your continued support. Please indicate your acceptance by signing and returning one copy of this letter agreement to Vito Romano, SVP Total Rewards and HR Operations.</w:t>
      </w:r>
    </w:p>
    <w:p>
      <w:pPr>
        <w:sectPr>
          <w:pgSz w:w="11900" w:h="16838" w:orient="portrait"/>
          <w:cols w:equalWidth="0" w:num="1">
            <w:col w:w="11060"/>
          </w:cols>
          <w:pgMar w:left="320" w:top="1279" w:right="519" w:bottom="1440" w:gutter="0" w:footer="0" w:header="0"/>
        </w:sectPr>
      </w:pP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Best Regards,</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66014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0">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Blaise Coleman</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9"/>
          <w:szCs w:val="19"/>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AGREED AND ACCEPTED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MARK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66014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1">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Arial" w:cs="Arial" w:eastAsia="Arial" w:hAnsi="Arial"/>
          <w:sz w:val="22"/>
          <w:szCs w:val="22"/>
          <w:color w:val="auto"/>
        </w:rPr>
        <w:t>Mark Bradley</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color w:val="auto"/>
        </w:rPr>
        <w:t>/S/ TRACY BASSO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33020</wp:posOffset>
            </wp:positionV>
            <wp:extent cx="30607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2">
                      <a:extLst>
                        <a:ext uri="{28A0092B-C50C-407E-A947-70E740481C1C}"/>
                      </a:extLst>
                    </a:blip>
                    <a:srcRect/>
                    <a:stretch>
                      <a:fillRect/>
                    </a:stretch>
                  </pic:blipFill>
                  <pic:spPr bwMode="auto">
                    <a:xfrm>
                      <a:off x="0" y="0"/>
                      <a:ext cx="3060700"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auto"/>
        </w:rPr>
        <w:t>Tracy Basso</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auto"/>
        </w:rPr>
        <w:t>11/10/2020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33020</wp:posOffset>
            </wp:positionV>
            <wp:extent cx="30607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3">
                      <a:extLst>
                        <a:ext uri="{28A0092B-C50C-407E-A947-70E740481C1C}"/>
                      </a:extLst>
                    </a:blip>
                    <a:srcRect/>
                    <a:stretch>
                      <a:fillRect/>
                    </a:stretch>
                  </pic:blipFill>
                  <pic:spPr bwMode="auto">
                    <a:xfrm>
                      <a:off x="0" y="0"/>
                      <a:ext cx="3060700"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auto"/>
        </w:rPr>
        <w:t>Date (the “Effective Date”)</w:t>
      </w:r>
    </w:p>
    <w:p>
      <w:pPr>
        <w:spacing w:after="0" w:line="213" w:lineRule="exact"/>
        <w:rPr>
          <w:sz w:val="20"/>
          <w:szCs w:val="20"/>
          <w:color w:val="auto"/>
        </w:rPr>
      </w:pPr>
    </w:p>
    <w:p>
      <w:pPr>
        <w:sectPr>
          <w:pgSz w:w="11900" w:h="16838" w:orient="portrait"/>
          <w:cols w:equalWidth="0" w:num="2">
            <w:col w:w="5700" w:space="720"/>
            <w:col w:w="4640"/>
          </w:cols>
          <w:pgMar w:left="320" w:top="1279" w:right="519" w:bottom="1440" w:gutter="0" w:footer="0" w:header="0"/>
          <w:type w:val="continuous"/>
        </w:sectPr>
      </w:pPr>
    </w:p>
    <w:p>
      <w:pPr>
        <w:spacing w:after="0" w:line="378"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2</w:t>
      </w:r>
      <w:r>
        <w:rPr>
          <w:rFonts w:ascii="Arial" w:cs="Arial" w:eastAsia="Arial" w:hAnsi="Arial"/>
          <w:sz w:val="19"/>
          <w:szCs w:val="19"/>
          <w:color w:val="auto"/>
        </w:rPr>
        <w:t xml:space="preserve"> of </w:t>
      </w:r>
      <w:r>
        <w:rPr>
          <w:rFonts w:ascii="Arial" w:cs="Arial" w:eastAsia="Arial" w:hAnsi="Arial"/>
          <w:sz w:val="19"/>
          <w:szCs w:val="19"/>
          <w:b w:val="1"/>
          <w:bCs w:val="1"/>
          <w:color w:val="auto"/>
        </w:rPr>
        <w:t>2</w:t>
      </w:r>
    </w:p>
    <w:p>
      <w:pPr>
        <w:sectPr>
          <w:pgSz w:w="11900" w:h="16838" w:orient="portrait"/>
          <w:cols w:equalWidth="0" w:num="1">
            <w:col w:w="11060"/>
          </w:cols>
          <w:pgMar w:left="320" w:top="1279" w:right="519" w:bottom="1440" w:gutter="0" w:footer="0" w:header="0"/>
          <w:type w:val="continuous"/>
        </w:sectPr>
      </w:pPr>
    </w:p>
    <w:bookmarkStart w:id="171" w:name="page172"/>
    <w:bookmarkEnd w:id="171"/>
    <w:p>
      <w:pPr>
        <w:jc w:val="right"/>
        <w:spacing w:after="0"/>
        <w:rPr>
          <w:sz w:val="20"/>
          <w:szCs w:val="20"/>
          <w:color w:val="auto"/>
        </w:rPr>
      </w:pPr>
      <w:r>
        <w:rPr>
          <w:rFonts w:ascii="Arial" w:cs="Arial" w:eastAsia="Arial" w:hAnsi="Arial"/>
          <w:sz w:val="22"/>
          <w:szCs w:val="22"/>
          <w:b w:val="1"/>
          <w:bCs w:val="1"/>
          <w:color w:val="auto"/>
        </w:rPr>
        <w:t>Exhibit 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054100" cy="316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4">
                      <a:extLst>
                        <a:ext uri="{28A0092B-C50C-407E-A947-70E740481C1C}"/>
                      </a:extLst>
                    </a:blip>
                    <a:srcRect/>
                    <a:stretch>
                      <a:fillRect/>
                    </a:stretch>
                  </pic:blipFill>
                  <pic:spPr bwMode="auto">
                    <a:xfrm>
                      <a:off x="0" y="0"/>
                      <a:ext cx="105410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November 5, 2020</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Matthew Maletta</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1400 Atwater Drive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Malvern, PA 19355</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Dear Matthew,</w:t>
      </w:r>
    </w:p>
    <w:p>
      <w:pPr>
        <w:spacing w:after="0" w:line="112" w:lineRule="exact"/>
        <w:rPr>
          <w:sz w:val="20"/>
          <w:szCs w:val="20"/>
          <w:color w:val="auto"/>
        </w:rPr>
      </w:pPr>
    </w:p>
    <w:p>
      <w:pPr>
        <w:ind w:right="160" w:firstLine="486"/>
        <w:spacing w:after="0" w:line="250" w:lineRule="auto"/>
        <w:rPr>
          <w:sz w:val="20"/>
          <w:szCs w:val="20"/>
          <w:color w:val="auto"/>
        </w:rPr>
      </w:pPr>
      <w:r>
        <w:rPr>
          <w:rFonts w:ascii="Arial" w:cs="Arial" w:eastAsia="Arial" w:hAnsi="Arial"/>
          <w:sz w:val="22"/>
          <w:szCs w:val="22"/>
          <w:color w:val="auto"/>
        </w:rPr>
        <w:t>Your exceptional leadership and business expertise are critical to Endo (“Endo” or the “Company”) as we continue to advance our mission to develop and deliver life-enhancing products through focused execution. You are one of Endo’s key leaders who is critical to the implementation of our strategy and the pursuit of our vision of helping everyone we serve live their best life.</w:t>
      </w:r>
    </w:p>
    <w:p>
      <w:pPr>
        <w:spacing w:after="0" w:line="80" w:lineRule="exact"/>
        <w:rPr>
          <w:sz w:val="20"/>
          <w:szCs w:val="20"/>
          <w:color w:val="auto"/>
        </w:rPr>
      </w:pPr>
    </w:p>
    <w:p>
      <w:pPr>
        <w:ind w:right="100" w:firstLine="486"/>
        <w:spacing w:after="0" w:line="259" w:lineRule="auto"/>
        <w:rPr>
          <w:sz w:val="20"/>
          <w:szCs w:val="20"/>
          <w:color w:val="auto"/>
        </w:rPr>
      </w:pPr>
      <w:r>
        <w:rPr>
          <w:rFonts w:ascii="Arial" w:cs="Arial" w:eastAsia="Arial" w:hAnsi="Arial"/>
          <w:sz w:val="21"/>
          <w:szCs w:val="21"/>
          <w:color w:val="auto"/>
        </w:rPr>
        <w:t xml:space="preserve">Based upon the criticality of your role and your contributions, I am pleased to inform you that you are eligible to receive a one-time cash-based compensation arrangement (Continuity Compensation) in the amount of </w:t>
      </w:r>
      <w:r>
        <w:rPr>
          <w:rFonts w:ascii="Arial" w:cs="Arial" w:eastAsia="Arial" w:hAnsi="Arial"/>
          <w:sz w:val="21"/>
          <w:szCs w:val="21"/>
          <w:b w:val="1"/>
          <w:bCs w:val="1"/>
          <w:color w:val="auto"/>
        </w:rPr>
        <w:t>$650,000</w:t>
      </w:r>
      <w:r>
        <w:rPr>
          <w:rFonts w:ascii="Arial" w:cs="Arial" w:eastAsia="Arial" w:hAnsi="Arial"/>
          <w:sz w:val="21"/>
          <w:szCs w:val="21"/>
          <w:color w:val="auto"/>
        </w:rPr>
        <w:t xml:space="preserve"> (subject to applicable tax withholdings). This Continuity Compensation will be paid in three equal installments of approximately $216,666.67 within 60 days following June 15, 2021, September 15, 2021 and December 15, 2021 (each a “Vesting Period”), and will be in addition to your annual cash incentive opportunity. To qualify for the Continuity Compensation payments, you must maintain strong work performance and remain employed with the Company through the applicable Vesting Periods. Continuity Compensation payments will be accelerated if your employment is terminated by Endo without cause before the end of any applicable Vesting Period. Any unpaid Continuity Compensation amounts will be forfeited if you are terminated for cause or resign before the end of a Vesting Period.</w:t>
      </w:r>
    </w:p>
    <w:p>
      <w:pPr>
        <w:spacing w:after="0" w:line="71" w:lineRule="exact"/>
        <w:rPr>
          <w:sz w:val="20"/>
          <w:szCs w:val="20"/>
          <w:color w:val="auto"/>
        </w:rPr>
      </w:pPr>
    </w:p>
    <w:p>
      <w:pPr>
        <w:ind w:firstLine="486"/>
        <w:spacing w:after="0" w:line="297" w:lineRule="auto"/>
        <w:rPr>
          <w:sz w:val="20"/>
          <w:szCs w:val="20"/>
          <w:color w:val="auto"/>
        </w:rPr>
      </w:pPr>
      <w:r>
        <w:rPr>
          <w:rFonts w:ascii="Arial" w:cs="Arial" w:eastAsia="Arial" w:hAnsi="Arial"/>
          <w:sz w:val="19"/>
          <w:szCs w:val="19"/>
          <w:color w:val="auto"/>
        </w:rPr>
        <w:t>The Continuity Compensation arrangement will not become part of your remuneration, salary, or compensation (other than for tax purposes) for purposes of the calculation of any severance, notice or redundancy pay, or any other amount that you may be or become entitled to in relation to your employment or the termination of your employment. The Continuity Compensation payments are part of a one-time arrangement and is not an acquired right. Nor will the Continuity Compensation create any legal claim for you in respect to its cause or amount, either for the past or for the future.</w:t>
      </w:r>
    </w:p>
    <w:p>
      <w:pPr>
        <w:spacing w:after="0" w:line="39" w:lineRule="exact"/>
        <w:rPr>
          <w:sz w:val="20"/>
          <w:szCs w:val="20"/>
          <w:color w:val="auto"/>
        </w:rPr>
      </w:pPr>
    </w:p>
    <w:p>
      <w:pPr>
        <w:ind w:right="180" w:firstLine="486"/>
        <w:spacing w:after="0" w:line="259" w:lineRule="auto"/>
        <w:rPr>
          <w:sz w:val="20"/>
          <w:szCs w:val="20"/>
          <w:color w:val="auto"/>
        </w:rPr>
      </w:pPr>
      <w:r>
        <w:rPr>
          <w:rFonts w:ascii="Arial" w:cs="Arial" w:eastAsia="Arial" w:hAnsi="Arial"/>
          <w:sz w:val="21"/>
          <w:szCs w:val="21"/>
          <w:color w:val="auto"/>
        </w:rPr>
        <w:t>This letter does not change the at-will nature of your employment with the Company. You or Endo may terminate your employment at any time, for any reason, with or without cause. Any controversy or claim arising out of or relating to this letter, or the breach thereof, shall be exclusively settled by an arbitration proceeding conducted through Judicial Arbitration &amp; Mediation Services (“JAMS”). The arbitration shall take place in Chester County, Pennsylvania, and no dispute under this letter shall be adjudicated in any other venue or forum. Arbitration will be conducted in accordance with the then-current JAMS Employment Arbitration Rules &amp; Procedures (and no other JAMS rules), and judgment on any award may be entered in any court having jurisdiction thereof. This letter shall be governed by the laws of the State of Pennsylvania, and it may not be modified except in a writing signed by all parties.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w:t>
      </w:r>
      <w:r>
        <w:rPr>
          <w:rFonts w:ascii="Arial" w:cs="Arial" w:eastAsia="Arial" w:hAnsi="Arial"/>
          <w:sz w:val="22"/>
          <w:szCs w:val="22"/>
          <w:color w:val="auto"/>
        </w:rPr>
        <w:t xml:space="preserve"> of </w:t>
      </w:r>
      <w:r>
        <w:rPr>
          <w:rFonts w:ascii="Arial" w:cs="Arial" w:eastAsia="Arial" w:hAnsi="Arial"/>
          <w:sz w:val="22"/>
          <w:szCs w:val="22"/>
          <w:b w:val="1"/>
          <w:bCs w:val="1"/>
          <w:color w:val="auto"/>
        </w:rPr>
        <w:t>2</w:t>
      </w:r>
    </w:p>
    <w:p>
      <w:pPr>
        <w:sectPr>
          <w:pgSz w:w="11900" w:h="16838" w:orient="portrait"/>
          <w:cols w:equalWidth="0" w:num="1">
            <w:col w:w="11240"/>
          </w:cols>
          <w:pgMar w:left="320" w:top="126" w:right="339" w:bottom="1440" w:gutter="0" w:footer="0" w:header="0"/>
        </w:sectPr>
      </w:pPr>
    </w:p>
    <w:bookmarkStart w:id="172" w:name="page173"/>
    <w:bookmarkEnd w:id="172"/>
    <w:p>
      <w:pPr>
        <w:ind w:firstLine="486"/>
        <w:spacing w:after="0" w:line="253"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54100" cy="3168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1054100" cy="316865"/>
                    </a:xfrm>
                    <a:prstGeom prst="rect">
                      <a:avLst/>
                    </a:prstGeom>
                    <a:noFill/>
                  </pic:spPr>
                </pic:pic>
              </a:graphicData>
            </a:graphic>
          </wp:anchor>
        </w:drawing>
        <w:t>We thank you for your commitment to the Company, and are confident that Endo can count on your continued support. Please indicate your acceptance by signing and returning one copy of this letter agreement to Vito Romano, SVP Total Rewards and HR Operations.</w:t>
      </w:r>
    </w:p>
    <w:p>
      <w:pPr>
        <w:sectPr>
          <w:pgSz w:w="11900" w:h="16838" w:orient="portrait"/>
          <w:cols w:equalWidth="0" w:num="1">
            <w:col w:w="11060"/>
          </w:cols>
          <w:pgMar w:left="320" w:top="1279" w:right="519" w:bottom="1440" w:gutter="0" w:footer="0" w:header="0"/>
        </w:sectPr>
      </w:pP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Best Regards,</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66014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6">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Blaise Coleman</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9"/>
          <w:szCs w:val="19"/>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AGREED AND ACCEPTED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MATTHEW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66014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7">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Arial" w:cs="Arial" w:eastAsia="Arial" w:hAnsi="Arial"/>
          <w:sz w:val="22"/>
          <w:szCs w:val="22"/>
          <w:color w:val="auto"/>
        </w:rPr>
        <w:t>Matthew Maletta</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color w:val="auto"/>
        </w:rPr>
        <w:t>/S/ TRACY BASSO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33020</wp:posOffset>
            </wp:positionV>
            <wp:extent cx="30607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8">
                      <a:extLst>
                        <a:ext uri="{28A0092B-C50C-407E-A947-70E740481C1C}"/>
                      </a:extLst>
                    </a:blip>
                    <a:srcRect/>
                    <a:stretch>
                      <a:fillRect/>
                    </a:stretch>
                  </pic:blipFill>
                  <pic:spPr bwMode="auto">
                    <a:xfrm>
                      <a:off x="0" y="0"/>
                      <a:ext cx="3060700"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auto"/>
        </w:rPr>
        <w:t>Tracy Basso</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auto"/>
        </w:rPr>
        <w:t>11/4/2020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33020</wp:posOffset>
            </wp:positionV>
            <wp:extent cx="30607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9">
                      <a:extLst>
                        <a:ext uri="{28A0092B-C50C-407E-A947-70E740481C1C}"/>
                      </a:extLst>
                    </a:blip>
                    <a:srcRect/>
                    <a:stretch>
                      <a:fillRect/>
                    </a:stretch>
                  </pic:blipFill>
                  <pic:spPr bwMode="auto">
                    <a:xfrm>
                      <a:off x="0" y="0"/>
                      <a:ext cx="3060700"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auto"/>
        </w:rPr>
        <w:t>Date (the “Effective Date”)</w:t>
      </w:r>
    </w:p>
    <w:p>
      <w:pPr>
        <w:spacing w:after="0" w:line="213" w:lineRule="exact"/>
        <w:rPr>
          <w:sz w:val="20"/>
          <w:szCs w:val="20"/>
          <w:color w:val="auto"/>
        </w:rPr>
      </w:pPr>
    </w:p>
    <w:p>
      <w:pPr>
        <w:sectPr>
          <w:pgSz w:w="11900" w:h="16838" w:orient="portrait"/>
          <w:cols w:equalWidth="0" w:num="2">
            <w:col w:w="5700" w:space="720"/>
            <w:col w:w="4640"/>
          </w:cols>
          <w:pgMar w:left="320" w:top="1279" w:right="519" w:bottom="1440" w:gutter="0" w:footer="0" w:header="0"/>
          <w:type w:val="continuous"/>
        </w:sectPr>
      </w:pPr>
    </w:p>
    <w:p>
      <w:pPr>
        <w:spacing w:after="0" w:line="378"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2</w:t>
      </w:r>
      <w:r>
        <w:rPr>
          <w:rFonts w:ascii="Arial" w:cs="Arial" w:eastAsia="Arial" w:hAnsi="Arial"/>
          <w:sz w:val="19"/>
          <w:szCs w:val="19"/>
          <w:color w:val="auto"/>
        </w:rPr>
        <w:t xml:space="preserve"> of </w:t>
      </w:r>
      <w:r>
        <w:rPr>
          <w:rFonts w:ascii="Arial" w:cs="Arial" w:eastAsia="Arial" w:hAnsi="Arial"/>
          <w:sz w:val="19"/>
          <w:szCs w:val="19"/>
          <w:b w:val="1"/>
          <w:bCs w:val="1"/>
          <w:color w:val="auto"/>
        </w:rPr>
        <w:t>2</w:t>
      </w:r>
    </w:p>
    <w:p>
      <w:pPr>
        <w:sectPr>
          <w:pgSz w:w="11900" w:h="16838" w:orient="portrait"/>
          <w:cols w:equalWidth="0" w:num="1">
            <w:col w:w="11060"/>
          </w:cols>
          <w:pgMar w:left="320" w:top="1279" w:right="519" w:bottom="1440" w:gutter="0" w:footer="0" w:header="0"/>
          <w:type w:val="continuous"/>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SUBSIDIARIES OF THE REGISTRANT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the subsidiaries of the Company as of December 31,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Subsidiary</w:t>
            </w:r>
          </w:p>
        </w:tc>
        <w:tc>
          <w:tcPr>
            <w:tcW w:w="2680" w:type="dxa"/>
            <w:vAlign w:val="bottom"/>
            <w:gridSpan w:val="2"/>
          </w:tcPr>
          <w:p>
            <w:pPr>
              <w:ind w:left="20"/>
              <w:spacing w:after="0"/>
              <w:rPr>
                <w:sz w:val="20"/>
                <w:szCs w:val="20"/>
                <w:color w:val="auto"/>
              </w:rPr>
            </w:pPr>
            <w:r>
              <w:rPr>
                <w:rFonts w:ascii="Arial" w:cs="Arial" w:eastAsia="Arial" w:hAnsi="Arial"/>
                <w:sz w:val="14"/>
                <w:szCs w:val="14"/>
                <w:b w:val="1"/>
                <w:bCs w:val="1"/>
                <w:color w:val="auto"/>
              </w:rPr>
              <w:t>Jurisdiction of Incorporation or</w:t>
            </w:r>
          </w:p>
        </w:tc>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Ownership by Endo International plc</w:t>
            </w:r>
          </w:p>
        </w:tc>
        <w:tc>
          <w:tcPr>
            <w:tcW w:w="0" w:type="dxa"/>
            <w:vAlign w:val="bottom"/>
          </w:tcPr>
          <w:p>
            <w:pPr>
              <w:spacing w:after="0"/>
              <w:rPr>
                <w:sz w:val="1"/>
                <w:szCs w:val="1"/>
                <w:color w:val="auto"/>
              </w:rPr>
            </w:pPr>
          </w:p>
        </w:tc>
      </w:tr>
      <w:tr>
        <w:trPr>
          <w:trHeight w:val="188"/>
        </w:trPr>
        <w:tc>
          <w:tcPr>
            <w:tcW w:w="5400" w:type="dxa"/>
            <w:vAlign w:val="bottom"/>
            <w:gridSpan w:val="2"/>
            <w:vMerge w:val="continue"/>
          </w:tcPr>
          <w:p>
            <w:pPr>
              <w:spacing w:after="0"/>
              <w:rPr>
                <w:sz w:val="16"/>
                <w:szCs w:val="16"/>
                <w:color w:val="auto"/>
              </w:rPr>
            </w:pPr>
          </w:p>
        </w:tc>
        <w:tc>
          <w:tcPr>
            <w:tcW w:w="2680" w:type="dxa"/>
            <w:vAlign w:val="bottom"/>
            <w:gridSpan w:val="2"/>
          </w:tcPr>
          <w:p>
            <w:pPr>
              <w:ind w:left="20"/>
              <w:spacing w:after="0"/>
              <w:rPr>
                <w:sz w:val="20"/>
                <w:szCs w:val="20"/>
                <w:color w:val="auto"/>
              </w:rPr>
            </w:pPr>
            <w:r>
              <w:rPr>
                <w:rFonts w:ascii="Arial" w:cs="Arial" w:eastAsia="Arial" w:hAnsi="Arial"/>
                <w:sz w:val="14"/>
                <w:szCs w:val="14"/>
                <w:b w:val="1"/>
                <w:bCs w:val="1"/>
                <w:color w:val="auto"/>
              </w:rPr>
              <w:t>Organization</w:t>
            </w:r>
          </w:p>
        </w:tc>
        <w:tc>
          <w:tcPr>
            <w:tcW w:w="3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2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70 Maple Avenue, LLC</w:t>
            </w:r>
          </w:p>
        </w:tc>
        <w:tc>
          <w:tcPr>
            <w:tcW w:w="120" w:type="dxa"/>
            <w:vAlign w:val="bottom"/>
          </w:tcPr>
          <w:p>
            <w:pPr>
              <w:spacing w:after="0"/>
              <w:rPr>
                <w:sz w:val="15"/>
                <w:szCs w:val="15"/>
                <w:color w:val="auto"/>
              </w:rPr>
            </w:pPr>
          </w:p>
        </w:tc>
        <w:tc>
          <w:tcPr>
            <w:tcW w:w="25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Delaware</w:t>
            </w:r>
          </w:p>
        </w:tc>
        <w:tc>
          <w:tcPr>
            <w:tcW w:w="100" w:type="dxa"/>
            <w:vAlign w:val="bottom"/>
          </w:tcPr>
          <w:p>
            <w:pPr>
              <w:spacing w:after="0"/>
              <w:rPr>
                <w:sz w:val="15"/>
                <w:szCs w:val="15"/>
                <w:color w:val="auto"/>
              </w:rPr>
            </w:pPr>
          </w:p>
        </w:tc>
        <w:tc>
          <w:tcPr>
            <w:tcW w:w="3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4"/>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Actient Pharmaceuticals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Actient Therapeutics,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Anchen Incorporated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New York</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Anchen Pharmaceuticals,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Astora Women's Health Bermuda ULC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Bermuda</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Astora Women's Health Ireland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Ireland</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Astora Women's Health Technologies</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Ireland</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Astora Women's Health,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Auxilium International Holdings,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Auxilium Pharmaceuticals,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Auxilium US Holdings,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BioSpecifics Technologies Corp.</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Branded Operations Holdings,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CPEC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DAVA International,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DAVA Pharmaceuticals,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Aesthetics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Bermuda Finance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Bermuda</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Designated Activity Company</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Ireland</w:t>
            </w:r>
          </w:p>
        </w:tc>
        <w:tc>
          <w:tcPr>
            <w:tcW w:w="3160" w:type="dxa"/>
            <w:vAlign w:val="bottom"/>
          </w:tcPr>
          <w:p>
            <w:pPr>
              <w:ind w:left="20"/>
              <w:spacing w:after="0"/>
              <w:rPr>
                <w:sz w:val="20"/>
                <w:szCs w:val="20"/>
                <w:color w:val="auto"/>
              </w:rPr>
            </w:pPr>
            <w:r>
              <w:rPr>
                <w:rFonts w:ascii="Arial" w:cs="Arial" w:eastAsia="Arial" w:hAnsi="Arial"/>
                <w:sz w:val="14"/>
                <w:szCs w:val="14"/>
                <w:color w:val="auto"/>
              </w:rPr>
              <w:t>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Eurofin Unlimited Company</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Ireland</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Finance IV Unlimited Company</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Ireland</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Finance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Finance Operations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Finco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Generics Holdings,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Global Aesthetics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Ireland</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Global Biologics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Ireland</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Global Development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Ireland</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Global Finance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Global Ventures</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Bermuda</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Health Solutions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Innovation Valera,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New York</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Ireland Finance II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Ireland</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Luxembourg Finance Company I S.a r.l.</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Luxembourg</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Luxembourg Finance Company II S.a r.l.</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Luxembourg</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Luxembourg Holding Company S.a r.l.</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Luxembourg</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Luxembourg International Financing S.a r.l.</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Luxembourg</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Management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Ireland</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Par Innovation Company,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Pharma Information Consulting (Suzhou) Company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China</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Pharmaceuticals Finance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Pharmaceuticals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Pharmaceuticals Solutions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Pharmaceuticals Valera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Procurement Operations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Ireland</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Somar Holdings B.V.</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Netherlands</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TopFin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Ireland</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U.S.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US Holdings Luxembourg I S.a r.l.</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Luxembourg</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Ventures Aesthetics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Ireland</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174" w:name="page175"/>
    <w:bookmarkEnd w:id="1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Subsidiary</w:t>
            </w:r>
          </w:p>
        </w:tc>
        <w:tc>
          <w:tcPr>
            <w:tcW w:w="2680" w:type="dxa"/>
            <w:vAlign w:val="bottom"/>
            <w:gridSpan w:val="2"/>
          </w:tcPr>
          <w:p>
            <w:pPr>
              <w:ind w:left="20"/>
              <w:spacing w:after="0"/>
              <w:rPr>
                <w:sz w:val="20"/>
                <w:szCs w:val="20"/>
                <w:color w:val="auto"/>
              </w:rPr>
            </w:pPr>
            <w:r>
              <w:rPr>
                <w:rFonts w:ascii="Arial" w:cs="Arial" w:eastAsia="Arial" w:hAnsi="Arial"/>
                <w:sz w:val="14"/>
                <w:szCs w:val="14"/>
                <w:b w:val="1"/>
                <w:bCs w:val="1"/>
                <w:color w:val="auto"/>
              </w:rPr>
              <w:t>Jurisdiction of Incorporation or</w:t>
            </w:r>
          </w:p>
        </w:tc>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Ownership by Endo International plc</w:t>
            </w:r>
          </w:p>
        </w:tc>
        <w:tc>
          <w:tcPr>
            <w:tcW w:w="0" w:type="dxa"/>
            <w:vAlign w:val="bottom"/>
          </w:tcPr>
          <w:p>
            <w:pPr>
              <w:spacing w:after="0"/>
              <w:rPr>
                <w:sz w:val="1"/>
                <w:szCs w:val="1"/>
                <w:color w:val="auto"/>
              </w:rPr>
            </w:pPr>
          </w:p>
        </w:tc>
      </w:tr>
      <w:tr>
        <w:trPr>
          <w:trHeight w:val="188"/>
        </w:trPr>
        <w:tc>
          <w:tcPr>
            <w:tcW w:w="5400" w:type="dxa"/>
            <w:vAlign w:val="bottom"/>
            <w:gridSpan w:val="2"/>
            <w:vMerge w:val="continue"/>
          </w:tcPr>
          <w:p>
            <w:pPr>
              <w:spacing w:after="0"/>
              <w:rPr>
                <w:sz w:val="16"/>
                <w:szCs w:val="16"/>
                <w:color w:val="auto"/>
              </w:rPr>
            </w:pPr>
          </w:p>
        </w:tc>
        <w:tc>
          <w:tcPr>
            <w:tcW w:w="2680" w:type="dxa"/>
            <w:vAlign w:val="bottom"/>
            <w:gridSpan w:val="2"/>
          </w:tcPr>
          <w:p>
            <w:pPr>
              <w:ind w:left="20"/>
              <w:spacing w:after="0"/>
              <w:rPr>
                <w:sz w:val="20"/>
                <w:szCs w:val="20"/>
                <w:color w:val="auto"/>
              </w:rPr>
            </w:pPr>
            <w:r>
              <w:rPr>
                <w:rFonts w:ascii="Arial" w:cs="Arial" w:eastAsia="Arial" w:hAnsi="Arial"/>
                <w:sz w:val="14"/>
                <w:szCs w:val="14"/>
                <w:b w:val="1"/>
                <w:bCs w:val="1"/>
                <w:color w:val="auto"/>
              </w:rPr>
              <w:t>Organization</w:t>
            </w:r>
          </w:p>
        </w:tc>
        <w:tc>
          <w:tcPr>
            <w:tcW w:w="3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2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Endo Ventures Bermuda Limited</w:t>
            </w:r>
          </w:p>
        </w:tc>
        <w:tc>
          <w:tcPr>
            <w:tcW w:w="120" w:type="dxa"/>
            <w:vAlign w:val="bottom"/>
          </w:tcPr>
          <w:p>
            <w:pPr>
              <w:spacing w:after="0"/>
              <w:rPr>
                <w:sz w:val="15"/>
                <w:szCs w:val="15"/>
                <w:color w:val="auto"/>
              </w:rPr>
            </w:pPr>
          </w:p>
        </w:tc>
        <w:tc>
          <w:tcPr>
            <w:tcW w:w="25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Bermuda</w:t>
            </w:r>
          </w:p>
        </w:tc>
        <w:tc>
          <w:tcPr>
            <w:tcW w:w="100" w:type="dxa"/>
            <w:vAlign w:val="bottom"/>
          </w:tcPr>
          <w:p>
            <w:pPr>
              <w:spacing w:after="0"/>
              <w:rPr>
                <w:sz w:val="15"/>
                <w:szCs w:val="15"/>
                <w:color w:val="auto"/>
              </w:rPr>
            </w:pPr>
          </w:p>
        </w:tc>
        <w:tc>
          <w:tcPr>
            <w:tcW w:w="3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4"/>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Ventures Cyprus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Cyprus</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Ventures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Ireland</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Generics Bidco I,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Generics International (US) 2,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Generics International (US),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New York</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Generics International Ventures Enterprises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Pennsylvania</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Hawk Acquisition Ireland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Ireland</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Innoteq,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JHP Acquisition,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JHP Group Holdings,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Kali Laboratories 2,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Kali Laboratories,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New Jersey</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Luxembourg Endo Specialty Pharmaceuticals Holding I S.a r.l.</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Luxembourg</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Moores Mill Properties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Operations Refinancing Company Bermuda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Bermuda</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Paladin Labs Canadian Holding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Canada</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Paladin Labs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Canada</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Par Active Technologies Private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India</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Par Biosciences Private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India</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Par Formulations Private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India</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Par Laboratories Europe, Ltd.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England and Wales</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Par Pharmaceutical 2,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Par Pharmaceutical Companies,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Par Pharmaceutical Holdings,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Par Pharmaceutical,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New York</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Par Sterile Products,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Par,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Quartz Specialty Pharmaceuticals,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Slate Pharmaceuticals,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Timm Medical Holdings,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Vintage Pharmaceuticals,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05"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hereby consent to the incorporation by reference in the Registration Statements on Form S-8 (No. 333-194253, No. 333-204958, No. 333-219806, No. 333-226677, No. 333-233029 and No. 333-241605) and Form S-3 (No. 333-226676) of Endo International plc of our report dated February 26,</w:t>
      </w:r>
    </w:p>
    <w:p>
      <w:pPr>
        <w:ind w:right="20"/>
        <w:spacing w:after="0" w:line="260" w:lineRule="auto"/>
        <w:rPr>
          <w:sz w:val="20"/>
          <w:szCs w:val="20"/>
          <w:color w:val="auto"/>
        </w:rPr>
      </w:pPr>
      <w:r>
        <w:rPr>
          <w:rFonts w:ascii="Arial" w:cs="Arial" w:eastAsia="Arial" w:hAnsi="Arial"/>
          <w:sz w:val="18"/>
          <w:szCs w:val="18"/>
          <w:color w:val="auto"/>
        </w:rPr>
        <w:t>2021 relating to the financial statements and financial statement schedule and the effectiveness of internal control over financial reporting, which appears in this Form 10-K.</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ectPr>
          <w:pgSz w:w="11900" w:h="16838" w:orient="portrait"/>
          <w:cols w:equalWidth="0" w:num="1">
            <w:col w:w="11240"/>
          </w:cols>
          <w:pgMar w:left="320" w:top="121"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24.1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Each of the undersigned, hereby constitutes and appoints each of Blaise Coleman, Mark Bradley, Matthew J. Maletta and Brian Morrissey to be his or her true and lawful attorneys-in-fact and agents, with full power of each to act alone, and to sign for the undersigned and in each of their respective names in any and all capacities stated below, this Annual Report on Form 10-K (and any amendments hereto) and to file the same, with exhibits hereto and thereto and other documents in connection herewith and therewith, with the Securities and Exchange Commission, hereby ratifying and confirming all that each of said attorneys-in-fact, or his or her substitute or substitutes, may do or cause to be done by virtue hereof.</w:t>
      </w:r>
    </w:p>
    <w:p>
      <w:pPr>
        <w:spacing w:after="0" w:line="12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Power of Attorney has been signed by the following persons in the capacities and on the dates indicated.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540" w:type="dxa"/>
            <w:vAlign w:val="bottom"/>
            <w:gridSpan w:val="2"/>
          </w:tcPr>
          <w:p>
            <w:pPr>
              <w:spacing w:after="0"/>
              <w:rPr>
                <w:sz w:val="20"/>
                <w:szCs w:val="20"/>
                <w:color w:val="auto"/>
              </w:rPr>
            </w:pPr>
            <w:r>
              <w:rPr>
                <w:rFonts w:ascii="Arial" w:cs="Arial" w:eastAsia="Arial" w:hAnsi="Arial"/>
                <w:sz w:val="15"/>
                <w:szCs w:val="15"/>
                <w:b w:val="1"/>
                <w:bCs w:val="1"/>
                <w:color w:val="auto"/>
              </w:rPr>
              <w:t>Signature</w:t>
            </w:r>
          </w:p>
        </w:tc>
        <w:tc>
          <w:tcPr>
            <w:tcW w:w="7020" w:type="dxa"/>
            <w:vAlign w:val="bottom"/>
            <w:gridSpan w:val="3"/>
          </w:tcPr>
          <w:p>
            <w:pPr>
              <w:ind w:left="20"/>
              <w:spacing w:after="0"/>
              <w:rPr>
                <w:sz w:val="20"/>
                <w:szCs w:val="20"/>
                <w:color w:val="auto"/>
              </w:rPr>
            </w:pPr>
            <w:r>
              <w:rPr>
                <w:rFonts w:ascii="Arial" w:cs="Arial" w:eastAsia="Arial" w:hAnsi="Arial"/>
                <w:sz w:val="15"/>
                <w:szCs w:val="15"/>
                <w:b w:val="1"/>
                <w:bCs w:val="1"/>
                <w:color w:val="auto"/>
              </w:rPr>
              <w:t>Title</w:t>
            </w: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Date</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Paul V. Campanelli</w:t>
            </w:r>
          </w:p>
        </w:tc>
        <w:tc>
          <w:tcPr>
            <w:tcW w:w="7020" w:type="dxa"/>
            <w:vAlign w:val="bottom"/>
            <w:gridSpan w:val="3"/>
          </w:tcPr>
          <w:p>
            <w:pPr>
              <w:ind w:left="20"/>
              <w:spacing w:after="0"/>
              <w:rPr>
                <w:sz w:val="20"/>
                <w:szCs w:val="20"/>
                <w:color w:val="auto"/>
              </w:rPr>
            </w:pPr>
            <w:r>
              <w:rPr>
                <w:rFonts w:ascii="Arial" w:cs="Arial" w:eastAsia="Arial" w:hAnsi="Arial"/>
                <w:sz w:val="15"/>
                <w:szCs w:val="15"/>
                <w:color w:val="auto"/>
              </w:rPr>
              <w:t>Chairman and Director</w:t>
            </w:r>
          </w:p>
        </w:tc>
        <w:tc>
          <w:tcPr>
            <w:tcW w:w="1120" w:type="dxa"/>
            <w:vAlign w:val="bottom"/>
            <w:gridSpan w:val="2"/>
          </w:tcPr>
          <w:p>
            <w:pPr>
              <w:spacing w:after="0"/>
              <w:rPr>
                <w:sz w:val="20"/>
                <w:szCs w:val="20"/>
                <w:color w:val="auto"/>
              </w:rPr>
            </w:pPr>
            <w:r>
              <w:rPr>
                <w:rFonts w:ascii="Arial" w:cs="Arial" w:eastAsia="Arial" w:hAnsi="Arial"/>
                <w:sz w:val="15"/>
                <w:szCs w:val="15"/>
                <w:color w:val="auto"/>
                <w:w w:val="89"/>
              </w:rPr>
              <w:t>February 17, 2021</w:t>
            </w:r>
          </w:p>
        </w:tc>
      </w:tr>
      <w:tr>
        <w:trPr>
          <w:trHeight w:val="192"/>
        </w:trPr>
        <w:tc>
          <w:tcPr>
            <w:tcW w:w="2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Arial" w:cs="Arial" w:eastAsia="Arial" w:hAnsi="Arial"/>
                <w:sz w:val="15"/>
                <w:szCs w:val="15"/>
                <w:color w:val="auto"/>
              </w:rPr>
              <w:t>Paul V. Campanelli</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423"/>
        </w:trPr>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Roger H. Kimmel</w:t>
            </w:r>
          </w:p>
        </w:tc>
        <w:tc>
          <w:tcPr>
            <w:tcW w:w="7020" w:type="dxa"/>
            <w:vAlign w:val="bottom"/>
            <w:gridSpan w:val="3"/>
          </w:tcPr>
          <w:p>
            <w:pPr>
              <w:ind w:left="20"/>
              <w:spacing w:after="0"/>
              <w:rPr>
                <w:sz w:val="20"/>
                <w:szCs w:val="20"/>
                <w:color w:val="auto"/>
              </w:rPr>
            </w:pPr>
            <w:r>
              <w:rPr>
                <w:rFonts w:ascii="Arial" w:cs="Arial" w:eastAsia="Arial" w:hAnsi="Arial"/>
                <w:sz w:val="15"/>
                <w:szCs w:val="15"/>
                <w:color w:val="auto"/>
              </w:rPr>
              <w:t>Senior Independent Director</w:t>
            </w:r>
          </w:p>
        </w:tc>
        <w:tc>
          <w:tcPr>
            <w:tcW w:w="1120" w:type="dxa"/>
            <w:vAlign w:val="bottom"/>
            <w:gridSpan w:val="2"/>
          </w:tcPr>
          <w:p>
            <w:pPr>
              <w:spacing w:after="0"/>
              <w:rPr>
                <w:sz w:val="20"/>
                <w:szCs w:val="20"/>
                <w:color w:val="auto"/>
              </w:rPr>
            </w:pPr>
            <w:r>
              <w:rPr>
                <w:rFonts w:ascii="Arial" w:cs="Arial" w:eastAsia="Arial" w:hAnsi="Arial"/>
                <w:sz w:val="15"/>
                <w:szCs w:val="15"/>
                <w:color w:val="auto"/>
                <w:w w:val="89"/>
              </w:rPr>
              <w:t>February 17, 2021</w:t>
            </w:r>
          </w:p>
        </w:tc>
      </w:tr>
      <w:tr>
        <w:trPr>
          <w:trHeight w:val="192"/>
        </w:trPr>
        <w:tc>
          <w:tcPr>
            <w:tcW w:w="2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Arial" w:cs="Arial" w:eastAsia="Arial" w:hAnsi="Arial"/>
                <w:sz w:val="15"/>
                <w:szCs w:val="15"/>
                <w:color w:val="auto"/>
              </w:rPr>
              <w:t>Roger H. Kimmel</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423"/>
        </w:trPr>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Mark G. Barberio</w:t>
            </w:r>
          </w:p>
        </w:tc>
        <w:tc>
          <w:tcPr>
            <w:tcW w:w="7020" w:type="dxa"/>
            <w:vAlign w:val="bottom"/>
            <w:gridSpan w:val="3"/>
          </w:tcPr>
          <w:p>
            <w:pPr>
              <w:ind w:left="20"/>
              <w:spacing w:after="0"/>
              <w:rPr>
                <w:sz w:val="20"/>
                <w:szCs w:val="20"/>
                <w:color w:val="auto"/>
              </w:rPr>
            </w:pPr>
            <w:r>
              <w:rPr>
                <w:rFonts w:ascii="Arial" w:cs="Arial" w:eastAsia="Arial" w:hAnsi="Arial"/>
                <w:sz w:val="15"/>
                <w:szCs w:val="15"/>
                <w:color w:val="auto"/>
              </w:rPr>
              <w:t>Director</w:t>
            </w:r>
          </w:p>
        </w:tc>
        <w:tc>
          <w:tcPr>
            <w:tcW w:w="1120" w:type="dxa"/>
            <w:vAlign w:val="bottom"/>
            <w:gridSpan w:val="2"/>
          </w:tcPr>
          <w:p>
            <w:pPr>
              <w:spacing w:after="0"/>
              <w:rPr>
                <w:sz w:val="20"/>
                <w:szCs w:val="20"/>
                <w:color w:val="auto"/>
              </w:rPr>
            </w:pPr>
            <w:r>
              <w:rPr>
                <w:rFonts w:ascii="Arial" w:cs="Arial" w:eastAsia="Arial" w:hAnsi="Arial"/>
                <w:sz w:val="15"/>
                <w:szCs w:val="15"/>
                <w:color w:val="auto"/>
                <w:w w:val="89"/>
              </w:rPr>
              <w:t>February 17, 2021</w:t>
            </w:r>
          </w:p>
        </w:tc>
      </w:tr>
      <w:tr>
        <w:trPr>
          <w:trHeight w:val="192"/>
        </w:trPr>
        <w:tc>
          <w:tcPr>
            <w:tcW w:w="2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Arial" w:cs="Arial" w:eastAsia="Arial" w:hAnsi="Arial"/>
                <w:sz w:val="15"/>
                <w:szCs w:val="15"/>
                <w:color w:val="auto"/>
              </w:rPr>
              <w:t>Mark G. Barberio</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423"/>
        </w:trPr>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Shane M. Cooke</w:t>
            </w:r>
          </w:p>
        </w:tc>
        <w:tc>
          <w:tcPr>
            <w:tcW w:w="7020" w:type="dxa"/>
            <w:vAlign w:val="bottom"/>
            <w:gridSpan w:val="3"/>
          </w:tcPr>
          <w:p>
            <w:pPr>
              <w:ind w:left="20"/>
              <w:spacing w:after="0"/>
              <w:rPr>
                <w:sz w:val="20"/>
                <w:szCs w:val="20"/>
                <w:color w:val="auto"/>
              </w:rPr>
            </w:pPr>
            <w:r>
              <w:rPr>
                <w:rFonts w:ascii="Arial" w:cs="Arial" w:eastAsia="Arial" w:hAnsi="Arial"/>
                <w:sz w:val="15"/>
                <w:szCs w:val="15"/>
                <w:color w:val="auto"/>
              </w:rPr>
              <w:t>Director</w:t>
            </w:r>
          </w:p>
        </w:tc>
        <w:tc>
          <w:tcPr>
            <w:tcW w:w="1120" w:type="dxa"/>
            <w:vAlign w:val="bottom"/>
            <w:gridSpan w:val="2"/>
          </w:tcPr>
          <w:p>
            <w:pPr>
              <w:spacing w:after="0"/>
              <w:rPr>
                <w:sz w:val="20"/>
                <w:szCs w:val="20"/>
                <w:color w:val="auto"/>
              </w:rPr>
            </w:pPr>
            <w:r>
              <w:rPr>
                <w:rFonts w:ascii="Arial" w:cs="Arial" w:eastAsia="Arial" w:hAnsi="Arial"/>
                <w:sz w:val="15"/>
                <w:szCs w:val="15"/>
                <w:color w:val="auto"/>
                <w:w w:val="89"/>
              </w:rPr>
              <w:t>February 17, 2021</w:t>
            </w:r>
          </w:p>
        </w:tc>
      </w:tr>
      <w:tr>
        <w:trPr>
          <w:trHeight w:val="192"/>
        </w:trPr>
        <w:tc>
          <w:tcPr>
            <w:tcW w:w="2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Arial" w:cs="Arial" w:eastAsia="Arial" w:hAnsi="Arial"/>
                <w:sz w:val="15"/>
                <w:szCs w:val="15"/>
                <w:color w:val="auto"/>
              </w:rPr>
              <w:t>Shane M. Cooke</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423"/>
        </w:trPr>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Nancy J. Hutson, Ph.D.</w:t>
            </w:r>
          </w:p>
        </w:tc>
        <w:tc>
          <w:tcPr>
            <w:tcW w:w="7020" w:type="dxa"/>
            <w:vAlign w:val="bottom"/>
            <w:gridSpan w:val="3"/>
          </w:tcPr>
          <w:p>
            <w:pPr>
              <w:ind w:left="20"/>
              <w:spacing w:after="0"/>
              <w:rPr>
                <w:sz w:val="20"/>
                <w:szCs w:val="20"/>
                <w:color w:val="auto"/>
              </w:rPr>
            </w:pPr>
            <w:r>
              <w:rPr>
                <w:rFonts w:ascii="Arial" w:cs="Arial" w:eastAsia="Arial" w:hAnsi="Arial"/>
                <w:sz w:val="15"/>
                <w:szCs w:val="15"/>
                <w:color w:val="auto"/>
              </w:rPr>
              <w:t>Director</w:t>
            </w:r>
          </w:p>
        </w:tc>
        <w:tc>
          <w:tcPr>
            <w:tcW w:w="1120" w:type="dxa"/>
            <w:vAlign w:val="bottom"/>
            <w:gridSpan w:val="2"/>
          </w:tcPr>
          <w:p>
            <w:pPr>
              <w:spacing w:after="0"/>
              <w:rPr>
                <w:sz w:val="20"/>
                <w:szCs w:val="20"/>
                <w:color w:val="auto"/>
              </w:rPr>
            </w:pPr>
            <w:r>
              <w:rPr>
                <w:rFonts w:ascii="Arial" w:cs="Arial" w:eastAsia="Arial" w:hAnsi="Arial"/>
                <w:sz w:val="15"/>
                <w:szCs w:val="15"/>
                <w:color w:val="auto"/>
                <w:w w:val="89"/>
              </w:rPr>
              <w:t>February 17, 2021</w:t>
            </w:r>
          </w:p>
        </w:tc>
      </w:tr>
      <w:tr>
        <w:trPr>
          <w:trHeight w:val="192"/>
        </w:trPr>
        <w:tc>
          <w:tcPr>
            <w:tcW w:w="2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Arial" w:cs="Arial" w:eastAsia="Arial" w:hAnsi="Arial"/>
                <w:sz w:val="15"/>
                <w:szCs w:val="15"/>
                <w:color w:val="auto"/>
              </w:rPr>
              <w:t>Nancy J. Hutson, Ph.D.</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423"/>
        </w:trPr>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Michael Hyatt</w:t>
            </w:r>
          </w:p>
        </w:tc>
        <w:tc>
          <w:tcPr>
            <w:tcW w:w="7020" w:type="dxa"/>
            <w:vAlign w:val="bottom"/>
            <w:gridSpan w:val="3"/>
          </w:tcPr>
          <w:p>
            <w:pPr>
              <w:ind w:left="20"/>
              <w:spacing w:after="0"/>
              <w:rPr>
                <w:sz w:val="20"/>
                <w:szCs w:val="20"/>
                <w:color w:val="auto"/>
              </w:rPr>
            </w:pPr>
            <w:r>
              <w:rPr>
                <w:rFonts w:ascii="Arial" w:cs="Arial" w:eastAsia="Arial" w:hAnsi="Arial"/>
                <w:sz w:val="15"/>
                <w:szCs w:val="15"/>
                <w:color w:val="auto"/>
              </w:rPr>
              <w:t>Director</w:t>
            </w:r>
          </w:p>
        </w:tc>
        <w:tc>
          <w:tcPr>
            <w:tcW w:w="1120" w:type="dxa"/>
            <w:vAlign w:val="bottom"/>
            <w:gridSpan w:val="2"/>
          </w:tcPr>
          <w:p>
            <w:pPr>
              <w:spacing w:after="0"/>
              <w:rPr>
                <w:sz w:val="20"/>
                <w:szCs w:val="20"/>
                <w:color w:val="auto"/>
              </w:rPr>
            </w:pPr>
            <w:r>
              <w:rPr>
                <w:rFonts w:ascii="Arial" w:cs="Arial" w:eastAsia="Arial" w:hAnsi="Arial"/>
                <w:sz w:val="15"/>
                <w:szCs w:val="15"/>
                <w:color w:val="auto"/>
                <w:w w:val="89"/>
              </w:rPr>
              <w:t>February 17, 2021</w:t>
            </w:r>
          </w:p>
        </w:tc>
      </w:tr>
      <w:tr>
        <w:trPr>
          <w:trHeight w:val="192"/>
        </w:trPr>
        <w:tc>
          <w:tcPr>
            <w:tcW w:w="2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Arial" w:cs="Arial" w:eastAsia="Arial" w:hAnsi="Arial"/>
                <w:sz w:val="15"/>
                <w:szCs w:val="15"/>
                <w:color w:val="auto"/>
              </w:rPr>
              <w:t>Michael Hyatt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423"/>
        </w:trPr>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William P. Montague</w:t>
            </w:r>
          </w:p>
        </w:tc>
        <w:tc>
          <w:tcPr>
            <w:tcW w:w="7020" w:type="dxa"/>
            <w:vAlign w:val="bottom"/>
            <w:gridSpan w:val="3"/>
          </w:tcPr>
          <w:p>
            <w:pPr>
              <w:ind w:left="20"/>
              <w:spacing w:after="0"/>
              <w:rPr>
                <w:sz w:val="20"/>
                <w:szCs w:val="20"/>
                <w:color w:val="auto"/>
              </w:rPr>
            </w:pPr>
            <w:r>
              <w:rPr>
                <w:rFonts w:ascii="Arial" w:cs="Arial" w:eastAsia="Arial" w:hAnsi="Arial"/>
                <w:sz w:val="15"/>
                <w:szCs w:val="15"/>
                <w:color w:val="auto"/>
              </w:rPr>
              <w:t>Director</w:t>
            </w:r>
          </w:p>
        </w:tc>
        <w:tc>
          <w:tcPr>
            <w:tcW w:w="1120" w:type="dxa"/>
            <w:vAlign w:val="bottom"/>
            <w:gridSpan w:val="2"/>
          </w:tcPr>
          <w:p>
            <w:pPr>
              <w:spacing w:after="0"/>
              <w:rPr>
                <w:sz w:val="20"/>
                <w:szCs w:val="20"/>
                <w:color w:val="auto"/>
              </w:rPr>
            </w:pPr>
            <w:r>
              <w:rPr>
                <w:rFonts w:ascii="Arial" w:cs="Arial" w:eastAsia="Arial" w:hAnsi="Arial"/>
                <w:sz w:val="15"/>
                <w:szCs w:val="15"/>
                <w:color w:val="auto"/>
                <w:w w:val="89"/>
              </w:rPr>
              <w:t>February 17, 2021</w:t>
            </w:r>
          </w:p>
        </w:tc>
      </w:tr>
      <w:tr>
        <w:trPr>
          <w:trHeight w:val="192"/>
        </w:trPr>
        <w:tc>
          <w:tcPr>
            <w:tcW w:w="2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Arial" w:cs="Arial" w:eastAsia="Arial" w:hAnsi="Arial"/>
                <w:sz w:val="15"/>
                <w:szCs w:val="15"/>
                <w:color w:val="auto"/>
              </w:rPr>
              <w:t>William P. Montague</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423"/>
        </w:trPr>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M. Christine Smith, Ph.D.</w:t>
            </w:r>
          </w:p>
        </w:tc>
        <w:tc>
          <w:tcPr>
            <w:tcW w:w="7020" w:type="dxa"/>
            <w:vAlign w:val="bottom"/>
            <w:gridSpan w:val="3"/>
          </w:tcPr>
          <w:p>
            <w:pPr>
              <w:ind w:left="20"/>
              <w:spacing w:after="0"/>
              <w:rPr>
                <w:sz w:val="20"/>
                <w:szCs w:val="20"/>
                <w:color w:val="auto"/>
              </w:rPr>
            </w:pPr>
            <w:r>
              <w:rPr>
                <w:rFonts w:ascii="Arial" w:cs="Arial" w:eastAsia="Arial" w:hAnsi="Arial"/>
                <w:sz w:val="15"/>
                <w:szCs w:val="15"/>
                <w:color w:val="auto"/>
              </w:rPr>
              <w:t>Director</w:t>
            </w:r>
          </w:p>
        </w:tc>
        <w:tc>
          <w:tcPr>
            <w:tcW w:w="1120" w:type="dxa"/>
            <w:vAlign w:val="bottom"/>
            <w:gridSpan w:val="2"/>
          </w:tcPr>
          <w:p>
            <w:pPr>
              <w:spacing w:after="0"/>
              <w:rPr>
                <w:sz w:val="20"/>
                <w:szCs w:val="20"/>
                <w:color w:val="auto"/>
              </w:rPr>
            </w:pPr>
            <w:r>
              <w:rPr>
                <w:rFonts w:ascii="Arial" w:cs="Arial" w:eastAsia="Arial" w:hAnsi="Arial"/>
                <w:sz w:val="15"/>
                <w:szCs w:val="15"/>
                <w:color w:val="auto"/>
                <w:w w:val="89"/>
              </w:rPr>
              <w:t>February 17, 2021</w:t>
            </w:r>
          </w:p>
        </w:tc>
      </w:tr>
      <w:tr>
        <w:trPr>
          <w:trHeight w:val="192"/>
        </w:trPr>
        <w:tc>
          <w:tcPr>
            <w:tcW w:w="2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Arial" w:cs="Arial" w:eastAsia="Arial" w:hAnsi="Arial"/>
                <w:sz w:val="15"/>
                <w:szCs w:val="15"/>
                <w:color w:val="auto"/>
              </w:rPr>
              <w:t>M. Christine Smith, Ph.D.</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ectPr>
          <w:pgSz w:w="11900" w:h="16838" w:orient="portrait"/>
          <w:cols w:equalWidth="0" w:num="1">
            <w:col w:w="11240"/>
          </w:cols>
          <w:pgMar w:left="320" w:top="364"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Blaise Coleman, certify that:</w:t>
      </w:r>
    </w:p>
    <w:p>
      <w:pPr>
        <w:spacing w:after="0" w:line="104" w:lineRule="exact"/>
        <w:rPr>
          <w:sz w:val="20"/>
          <w:szCs w:val="20"/>
          <w:color w:val="auto"/>
        </w:rPr>
      </w:pPr>
    </w:p>
    <w:p>
      <w:pPr>
        <w:ind w:left="600" w:hanging="187"/>
        <w:spacing w:after="0"/>
        <w:tabs>
          <w:tab w:leader="none" w:pos="6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Endo International plc;</w:t>
      </w:r>
    </w:p>
    <w:p>
      <w:pPr>
        <w:spacing w:after="0" w:line="90" w:lineRule="exact"/>
        <w:rPr>
          <w:rFonts w:ascii="Arial" w:cs="Arial" w:eastAsia="Arial" w:hAnsi="Arial"/>
          <w:sz w:val="18"/>
          <w:szCs w:val="18"/>
          <w:color w:val="auto"/>
        </w:rPr>
      </w:pPr>
    </w:p>
    <w:p>
      <w:pPr>
        <w:ind w:left="420" w:right="180" w:hanging="7"/>
        <w:spacing w:after="0" w:line="263" w:lineRule="auto"/>
        <w:tabs>
          <w:tab w:leader="none" w:pos="6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20" w:right="140" w:hanging="7"/>
        <w:spacing w:after="0" w:line="308" w:lineRule="auto"/>
        <w:tabs>
          <w:tab w:leader="none" w:pos="6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420" w:right="360" w:hanging="7"/>
        <w:spacing w:after="0" w:line="263" w:lineRule="auto"/>
        <w:tabs>
          <w:tab w:leader="none" w:pos="6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420" w:right="140" w:firstLine="479"/>
        <w:spacing w:after="0" w:line="263" w:lineRule="auto"/>
        <w:tabs>
          <w:tab w:leader="none" w:pos="1091"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420" w:right="300" w:firstLine="479"/>
        <w:spacing w:after="0" w:line="263" w:lineRule="auto"/>
        <w:tabs>
          <w:tab w:leader="none" w:pos="1101"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420" w:right="460" w:firstLine="479"/>
        <w:spacing w:after="0" w:line="334" w:lineRule="auto"/>
        <w:tabs>
          <w:tab w:leader="none" w:pos="1091" w:val="left"/>
        </w:tabs>
        <w:numPr>
          <w:ilvl w:val="1"/>
          <w:numId w:val="10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20" w:right="420" w:firstLine="479"/>
        <w:spacing w:after="0" w:line="263" w:lineRule="auto"/>
        <w:tabs>
          <w:tab w:leader="none" w:pos="1101"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20" w:right="60" w:hanging="7"/>
        <w:spacing w:after="0" w:line="308" w:lineRule="auto"/>
        <w:tabs>
          <w:tab w:leader="none" w:pos="6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 w:lineRule="exact"/>
        <w:rPr>
          <w:rFonts w:ascii="Arial" w:cs="Arial" w:eastAsia="Arial" w:hAnsi="Arial"/>
          <w:sz w:val="17"/>
          <w:szCs w:val="17"/>
          <w:color w:val="auto"/>
        </w:rPr>
      </w:pPr>
    </w:p>
    <w:p>
      <w:pPr>
        <w:ind w:left="420" w:right="680" w:firstLine="479"/>
        <w:spacing w:after="0" w:line="308" w:lineRule="auto"/>
        <w:tabs>
          <w:tab w:leader="none" w:pos="1091" w:val="left"/>
        </w:tabs>
        <w:numPr>
          <w:ilvl w:val="1"/>
          <w:numId w:val="10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420" w:right="360" w:firstLine="479"/>
        <w:spacing w:after="0" w:line="277" w:lineRule="auto"/>
        <w:tabs>
          <w:tab w:leader="none" w:pos="1101"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1465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Blaise Coleman</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ind w:left="20"/>
        <w:spacing w:after="0"/>
        <w:rPr>
          <w:sz w:val="20"/>
          <w:szCs w:val="20"/>
          <w:color w:val="auto"/>
        </w:rPr>
      </w:pPr>
      <w:r>
        <w:rPr>
          <w:rFonts w:ascii="Arial" w:cs="Arial" w:eastAsia="Arial" w:hAnsi="Arial"/>
          <w:sz w:val="18"/>
          <w:szCs w:val="18"/>
          <w:color w:val="auto"/>
        </w:rPr>
        <w:t>(Principal Executive Officer)</w:t>
      </w:r>
    </w:p>
    <w:p>
      <w:pPr>
        <w:spacing w:after="0" w:line="277"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2021</w:t>
      </w:r>
    </w:p>
    <w:p>
      <w:pPr>
        <w:sectPr>
          <w:pgSz w:w="11900" w:h="16838" w:orient="portrait"/>
          <w:cols w:equalWidth="0" w:num="1">
            <w:col w:w="11240"/>
          </w:cols>
          <w:pgMar w:left="320" w:top="121"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Mark Bradley, certify that:</w:t>
      </w:r>
    </w:p>
    <w:p>
      <w:pPr>
        <w:spacing w:after="0" w:line="104" w:lineRule="exact"/>
        <w:rPr>
          <w:sz w:val="20"/>
          <w:szCs w:val="20"/>
          <w:color w:val="auto"/>
        </w:rPr>
      </w:pPr>
    </w:p>
    <w:p>
      <w:pPr>
        <w:ind w:left="600" w:hanging="187"/>
        <w:spacing w:after="0"/>
        <w:tabs>
          <w:tab w:leader="none" w:pos="6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Endo International plc;</w:t>
      </w:r>
    </w:p>
    <w:p>
      <w:pPr>
        <w:spacing w:after="0" w:line="90" w:lineRule="exact"/>
        <w:rPr>
          <w:rFonts w:ascii="Arial" w:cs="Arial" w:eastAsia="Arial" w:hAnsi="Arial"/>
          <w:sz w:val="18"/>
          <w:szCs w:val="18"/>
          <w:color w:val="auto"/>
        </w:rPr>
      </w:pPr>
    </w:p>
    <w:p>
      <w:pPr>
        <w:ind w:left="420" w:right="180" w:hanging="7"/>
        <w:spacing w:after="0" w:line="263" w:lineRule="auto"/>
        <w:tabs>
          <w:tab w:leader="none" w:pos="6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20" w:right="140" w:hanging="7"/>
        <w:spacing w:after="0" w:line="308" w:lineRule="auto"/>
        <w:tabs>
          <w:tab w:leader="none" w:pos="6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420" w:right="360" w:hanging="7"/>
        <w:spacing w:after="0" w:line="263" w:lineRule="auto"/>
        <w:tabs>
          <w:tab w:leader="none" w:pos="6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420" w:right="140" w:firstLine="479"/>
        <w:spacing w:after="0" w:line="263" w:lineRule="auto"/>
        <w:tabs>
          <w:tab w:leader="none" w:pos="1091"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420" w:right="300" w:firstLine="479"/>
        <w:spacing w:after="0" w:line="263" w:lineRule="auto"/>
        <w:tabs>
          <w:tab w:leader="none" w:pos="1101"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420" w:right="460" w:firstLine="479"/>
        <w:spacing w:after="0" w:line="334" w:lineRule="auto"/>
        <w:tabs>
          <w:tab w:leader="none" w:pos="1091"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20" w:right="420" w:firstLine="479"/>
        <w:spacing w:after="0" w:line="263" w:lineRule="auto"/>
        <w:tabs>
          <w:tab w:leader="none" w:pos="1101"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20" w:right="60" w:hanging="7"/>
        <w:spacing w:after="0" w:line="308" w:lineRule="auto"/>
        <w:tabs>
          <w:tab w:leader="none" w:pos="6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 w:lineRule="exact"/>
        <w:rPr>
          <w:rFonts w:ascii="Arial" w:cs="Arial" w:eastAsia="Arial" w:hAnsi="Arial"/>
          <w:sz w:val="17"/>
          <w:szCs w:val="17"/>
          <w:color w:val="auto"/>
        </w:rPr>
      </w:pPr>
    </w:p>
    <w:p>
      <w:pPr>
        <w:ind w:left="420" w:right="680" w:firstLine="479"/>
        <w:spacing w:after="0" w:line="308" w:lineRule="auto"/>
        <w:tabs>
          <w:tab w:leader="none" w:pos="1091" w:val="left"/>
        </w:tabs>
        <w:numPr>
          <w:ilvl w:val="1"/>
          <w:numId w:val="10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420" w:right="360" w:firstLine="479"/>
        <w:spacing w:after="0" w:line="277" w:lineRule="auto"/>
        <w:tabs>
          <w:tab w:leader="none" w:pos="1101"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146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1">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Bradley</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Chief Financial Officer</w:t>
      </w:r>
    </w:p>
    <w:p>
      <w:pPr>
        <w:ind w:left="20"/>
        <w:spacing w:after="0"/>
        <w:rPr>
          <w:sz w:val="20"/>
          <w:szCs w:val="20"/>
          <w:color w:val="auto"/>
        </w:rPr>
      </w:pPr>
      <w:r>
        <w:rPr>
          <w:rFonts w:ascii="Arial" w:cs="Arial" w:eastAsia="Arial" w:hAnsi="Arial"/>
          <w:sz w:val="18"/>
          <w:szCs w:val="18"/>
          <w:color w:val="auto"/>
        </w:rPr>
        <w:t>(Principal Financial Officer)</w:t>
      </w:r>
    </w:p>
    <w:p>
      <w:pPr>
        <w:spacing w:after="0" w:line="277"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2021</w:t>
      </w:r>
    </w:p>
    <w:p>
      <w:pPr>
        <w:sectPr>
          <w:pgSz w:w="11900" w:h="16838" w:orient="portrait"/>
          <w:cols w:equalWidth="0" w:num="1">
            <w:col w:w="11240"/>
          </w:cols>
          <w:pgMar w:left="320" w:top="121"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 Blaise Coleman, as President and Chief Executive Officer of Endo International plc (the Company), hereby certify, pursuant to 18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w:t>
      </w:r>
    </w:p>
    <w:p>
      <w:pPr>
        <w:spacing w:after="0" w:line="89" w:lineRule="exact"/>
        <w:rPr>
          <w:sz w:val="20"/>
          <w:szCs w:val="20"/>
          <w:color w:val="auto"/>
        </w:rPr>
      </w:pPr>
    </w:p>
    <w:p>
      <w:pPr>
        <w:ind w:left="420" w:right="380" w:firstLine="398"/>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annual period ended December 31, 2020 (the Report) fully complies with the requirements of Section 13(a) or 15(d) of the Securities Exchange Act of 1934 (15 U.S.C. 78m); and</w:t>
      </w:r>
    </w:p>
    <w:p>
      <w:pPr>
        <w:spacing w:after="0" w:line="35" w:lineRule="exact"/>
        <w:rPr>
          <w:rFonts w:ascii="Arial" w:cs="Arial" w:eastAsia="Arial" w:hAnsi="Arial"/>
          <w:sz w:val="18"/>
          <w:szCs w:val="18"/>
          <w:color w:val="auto"/>
        </w:rPr>
      </w:pPr>
    </w:p>
    <w:p>
      <w:pPr>
        <w:ind w:left="420" w:right="500" w:firstLine="398"/>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/S/ BLAISE COLEMAN</w:t>
            </w:r>
          </w:p>
        </w:tc>
      </w:tr>
      <w:tr>
        <w:trPr>
          <w:trHeight w:val="249"/>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Blaise Coleman</w:t>
            </w:r>
          </w:p>
        </w:tc>
        <w:tc>
          <w:tcPr>
            <w:tcW w:w="940" w:type="dxa"/>
            <w:vAlign w:val="bottom"/>
          </w:tcPr>
          <w:p>
            <w:pPr>
              <w:spacing w:after="0"/>
              <w:rPr>
                <w:sz w:val="21"/>
                <w:szCs w:val="21"/>
                <w:color w:val="auto"/>
              </w:rPr>
            </w:pPr>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2740" w:type="dxa"/>
            <w:vAlign w:val="bottom"/>
            <w:gridSpan w:val="2"/>
          </w:tcPr>
          <w:p>
            <w:pPr>
              <w:spacing w:after="0" w:line="176" w:lineRule="exact"/>
              <w:rPr>
                <w:sz w:val="20"/>
                <w:szCs w:val="20"/>
                <w:color w:val="auto"/>
              </w:rPr>
            </w:pPr>
            <w:r>
              <w:rPr>
                <w:rFonts w:ascii="Arial" w:cs="Arial" w:eastAsia="Arial" w:hAnsi="Arial"/>
                <w:sz w:val="18"/>
                <w:szCs w:val="18"/>
                <w:color w:val="auto"/>
                <w:w w:val="90"/>
              </w:rPr>
              <w:t>President and Chief Executive Officer</w:t>
            </w:r>
          </w:p>
        </w:tc>
      </w:tr>
      <w:tr>
        <w:trPr>
          <w:trHeight w:val="230"/>
        </w:trPr>
        <w:tc>
          <w:tcPr>
            <w:tcW w:w="98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2021</w:t>
      </w:r>
    </w:p>
    <w:p>
      <w:pPr>
        <w:spacing w:after="0" w:line="171" w:lineRule="exact"/>
        <w:rPr>
          <w:sz w:val="20"/>
          <w:szCs w:val="20"/>
          <w:color w:val="auto"/>
        </w:rPr>
      </w:pPr>
    </w:p>
    <w:p>
      <w:pPr>
        <w:ind w:right="700" w:firstLine="445"/>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Endo International plc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I, Mark Bradley, as Chief Financial Officer of Endo International plc (the Company), hereby certify, pursuant to 18 U.S.C. Section 1350, as adopted pursuant to Section 906 of the Sarbanes-Oxley Act of 2002, that:</w:t>
      </w:r>
    </w:p>
    <w:p>
      <w:pPr>
        <w:spacing w:after="0" w:line="49" w:lineRule="exact"/>
        <w:rPr>
          <w:sz w:val="20"/>
          <w:szCs w:val="20"/>
          <w:color w:val="auto"/>
        </w:rPr>
      </w:pPr>
    </w:p>
    <w:p>
      <w:pPr>
        <w:ind w:left="420" w:right="380" w:firstLine="398"/>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annual period ended December 31, 2020 (the Report) fully complies with the requirements of Section 13(a) or 15(d) of the Securities Exchange Act of 1934 (15 U.S.C. 78m); and</w:t>
      </w:r>
    </w:p>
    <w:p>
      <w:pPr>
        <w:spacing w:after="0" w:line="35" w:lineRule="exact"/>
        <w:rPr>
          <w:rFonts w:ascii="Arial" w:cs="Arial" w:eastAsia="Arial" w:hAnsi="Arial"/>
          <w:sz w:val="18"/>
          <w:szCs w:val="18"/>
          <w:color w:val="auto"/>
        </w:rPr>
      </w:pPr>
    </w:p>
    <w:p>
      <w:pPr>
        <w:ind w:left="420" w:right="500" w:firstLine="398"/>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MARK BRADLEY</w:t>
            </w:r>
          </w:p>
        </w:tc>
        <w:tc>
          <w:tcPr>
            <w:tcW w:w="1900" w:type="dxa"/>
            <w:vAlign w:val="bottom"/>
          </w:tcPr>
          <w:p>
            <w:pPr>
              <w:spacing w:after="0"/>
              <w:rPr>
                <w:sz w:val="17"/>
                <w:szCs w:val="17"/>
                <w:color w:val="auto"/>
              </w:rPr>
            </w:pPr>
          </w:p>
        </w:tc>
      </w:tr>
      <w:tr>
        <w:trPr>
          <w:trHeight w:val="249"/>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3580" w:type="dxa"/>
            <w:vAlign w:val="bottom"/>
            <w:gridSpan w:val="2"/>
          </w:tcPr>
          <w:p>
            <w:pPr>
              <w:spacing w:after="0"/>
              <w:rPr>
                <w:sz w:val="20"/>
                <w:szCs w:val="20"/>
                <w:color w:val="auto"/>
              </w:rPr>
            </w:pPr>
            <w:r>
              <w:rPr>
                <w:rFonts w:ascii="Arial" w:cs="Arial" w:eastAsia="Arial" w:hAnsi="Arial"/>
                <w:sz w:val="18"/>
                <w:szCs w:val="18"/>
                <w:color w:val="auto"/>
              </w:rPr>
              <w:t>Mark Bradley</w:t>
            </w:r>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3580" w:type="dxa"/>
            <w:vAlign w:val="bottom"/>
            <w:gridSpan w:val="2"/>
          </w:tcPr>
          <w:p>
            <w:pPr>
              <w:spacing w:after="0" w:line="176" w:lineRule="exact"/>
              <w:rPr>
                <w:sz w:val="20"/>
                <w:szCs w:val="20"/>
                <w:color w:val="auto"/>
              </w:rPr>
            </w:pPr>
            <w:r>
              <w:rPr>
                <w:rFonts w:ascii="Arial" w:cs="Arial" w:eastAsia="Arial" w:hAnsi="Arial"/>
                <w:sz w:val="18"/>
                <w:szCs w:val="18"/>
                <w:color w:val="auto"/>
                <w:w w:val="92"/>
              </w:rPr>
              <w:t>Executive Vice President, Chief Financial Officer</w:t>
            </w:r>
          </w:p>
        </w:tc>
      </w:tr>
      <w:tr>
        <w:trPr>
          <w:trHeight w:val="230"/>
        </w:trPr>
        <w:tc>
          <w:tcPr>
            <w:tcW w:w="98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2021</w:t>
      </w:r>
    </w:p>
    <w:p>
      <w:pPr>
        <w:spacing w:after="0" w:line="171" w:lineRule="exact"/>
        <w:rPr>
          <w:sz w:val="20"/>
          <w:szCs w:val="20"/>
          <w:color w:val="auto"/>
        </w:rPr>
      </w:pPr>
    </w:p>
    <w:p>
      <w:pPr>
        <w:ind w:right="700" w:firstLine="445"/>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Endo International plc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1)"/>
      <w:numFmt w:val="decimal"/>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1)"/>
      <w:numFmt w:val="decimal"/>
      <w:start w:val="1"/>
    </w:lvl>
  </w:abstractNum>
  <w:abstractNum w:abstractNumId="7">
    <w:nsid w:val="1CF10FD8"/>
    <w:multiLevelType w:val="hybridMultilevel"/>
    <w:lvl w:ilvl="0">
      <w:lvlJc w:val="left"/>
      <w:lvlText w:val="•"/>
      <w:numFmt w:val="bullet"/>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1"/>
      <w:numFmt w:val="upperLetter"/>
      <w:start w:val="46"/>
    </w:lvl>
  </w:abstractNum>
  <w:abstractNum w:abstractNumId="10">
    <w:nsid w:val="47398C89"/>
    <w:multiLevelType w:val="hybridMultilevel"/>
    <w:lvl w:ilvl="0">
      <w:lvlJc w:val="left"/>
      <w:lvlText w:val="(%1)"/>
      <w:numFmt w:val="decimal"/>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1)"/>
      <w:numFmt w:val="decimal"/>
      <w:start w:val="2"/>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
      <w:numFmt w:val="bullet"/>
      <w:start w:val="1"/>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
      <w:numFmt w:val="bullet"/>
      <w:start w:val="1"/>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
      <w:numFmt w:val="bullet"/>
      <w:start w:val="1"/>
    </w:lvl>
  </w:abstractNum>
  <w:abstractNum w:abstractNumId="28">
    <w:nsid w:val="1381823A"/>
    <w:multiLevelType w:val="hybridMultilevel"/>
    <w:lvl w:ilvl="0">
      <w:lvlJc w:val="left"/>
      <w:lvlText w:val="•"/>
      <w:numFmt w:val="bullet"/>
      <w:start w:val="1"/>
    </w:lvl>
  </w:abstractNum>
  <w:abstractNum w:abstractNumId="29">
    <w:nsid w:val="5DB70AE5"/>
    <w:multiLevelType w:val="hybridMultilevel"/>
    <w:lvl w:ilvl="0">
      <w:lvlJc w:val="left"/>
      <w:lvlText w:val="•"/>
      <w:numFmt w:val="bullet"/>
      <w:start w:val="1"/>
    </w:lvl>
  </w:abstractNum>
  <w:abstractNum w:abstractNumId="30">
    <w:nsid w:val="100F8FCA"/>
    <w:multiLevelType w:val="hybridMultilevel"/>
    <w:lvl w:ilvl="0">
      <w:lvlJc w:val="left"/>
      <w:lvlText w:val="•"/>
      <w:numFmt w:val="bullet"/>
      <w:start w:val="1"/>
    </w:lvl>
  </w:abstractNum>
  <w:abstractNum w:abstractNumId="31">
    <w:nsid w:val="6590700B"/>
    <w:multiLevelType w:val="hybridMultilevel"/>
    <w:lvl w:ilvl="0">
      <w:lvlJc w:val="left"/>
      <w:lvlText w:val="•"/>
      <w:numFmt w:val="bullet"/>
      <w:start w:val="1"/>
    </w:lvl>
  </w:abstractNum>
  <w:abstractNum w:abstractNumId="32">
    <w:nsid w:val="15014ACB"/>
    <w:multiLevelType w:val="hybridMultilevel"/>
    <w:lvl w:ilvl="0">
      <w:lvlJc w:val="left"/>
      <w:lvlText w:val="•"/>
      <w:numFmt w:val="bullet"/>
      <w:start w:val="1"/>
    </w:lvl>
  </w:abstractNum>
  <w:abstractNum w:abstractNumId="33">
    <w:nsid w:val="5F5E7FD0"/>
    <w:multiLevelType w:val="hybridMultilevel"/>
    <w:lvl w:ilvl="0">
      <w:lvlJc w:val="left"/>
      <w:lvlText w:val="•"/>
      <w:numFmt w:val="bullet"/>
      <w:start w:val="1"/>
    </w:lvl>
  </w:abstractNum>
  <w:abstractNum w:abstractNumId="34">
    <w:nsid w:val="98A3148"/>
    <w:multiLevelType w:val="hybridMultilevel"/>
    <w:lvl w:ilvl="0">
      <w:lvlJc w:val="left"/>
      <w:lvlText w:val="•"/>
      <w:numFmt w:val="bullet"/>
      <w:start w:val="1"/>
    </w:lvl>
  </w:abstractNum>
  <w:abstractNum w:abstractNumId="35">
    <w:nsid w:val="799D0247"/>
    <w:multiLevelType w:val="hybridMultilevel"/>
    <w:lvl w:ilvl="0">
      <w:lvlJc w:val="left"/>
      <w:lvlText w:val="•"/>
      <w:numFmt w:val="bullet"/>
      <w:start w:val="1"/>
    </w:lvl>
  </w:abstractNum>
  <w:abstractNum w:abstractNumId="36">
    <w:nsid w:val="6B94764"/>
    <w:multiLevelType w:val="hybridMultilevel"/>
    <w:lvl w:ilvl="0">
      <w:lvlJc w:val="left"/>
      <w:lvlText w:val="(%1)"/>
      <w:numFmt w:val="decimal"/>
      <w:start w:val="1"/>
    </w:lvl>
  </w:abstractNum>
  <w:abstractNum w:abstractNumId="37">
    <w:nsid w:val="42C296BD"/>
    <w:multiLevelType w:val="hybridMultilevel"/>
    <w:lvl w:ilvl="0">
      <w:lvlJc w:val="left"/>
      <w:lvlText w:val="•"/>
      <w:numFmt w:val="bullet"/>
      <w:start w:val="1"/>
    </w:lvl>
  </w:abstractNum>
  <w:abstractNum w:abstractNumId="38">
    <w:nsid w:val="168E121F"/>
    <w:multiLevelType w:val="hybridMultilevel"/>
    <w:lvl w:ilvl="0">
      <w:lvlJc w:val="left"/>
      <w:lvlText w:val="•"/>
      <w:numFmt w:val="bullet"/>
      <w:start w:val="1"/>
    </w:lvl>
  </w:abstractNum>
  <w:abstractNum w:abstractNumId="39">
    <w:nsid w:val="1EBA5D23"/>
    <w:multiLevelType w:val="hybridMultilevel"/>
    <w:lvl w:ilvl="0">
      <w:lvlJc w:val="left"/>
      <w:lvlText w:val="•"/>
      <w:numFmt w:val="bullet"/>
      <w:start w:val="1"/>
    </w:lvl>
  </w:abstractNum>
  <w:abstractNum w:abstractNumId="40">
    <w:nsid w:val="661E3F1E"/>
    <w:multiLevelType w:val="hybridMultilevel"/>
    <w:lvl w:ilvl="0">
      <w:lvlJc w:val="left"/>
      <w:lvlText w:val="•"/>
      <w:numFmt w:val="bullet"/>
      <w:start w:val="1"/>
    </w:lvl>
  </w:abstractNum>
  <w:abstractNum w:abstractNumId="41">
    <w:nsid w:val="5DC79EA8"/>
    <w:multiLevelType w:val="hybridMultilevel"/>
    <w:lvl w:ilvl="0">
      <w:lvlJc w:val="left"/>
      <w:lvlText w:val="•"/>
      <w:numFmt w:val="bullet"/>
      <w:start w:val="1"/>
    </w:lvl>
  </w:abstractNum>
  <w:abstractNum w:abstractNumId="42">
    <w:nsid w:val="540A471C"/>
    <w:multiLevelType w:val="hybridMultilevel"/>
    <w:lvl w:ilvl="0">
      <w:lvlJc w:val="left"/>
      <w:lvlText w:val="•"/>
      <w:numFmt w:val="bullet"/>
      <w:start w:val="1"/>
    </w:lvl>
  </w:abstractNum>
  <w:abstractNum w:abstractNumId="43">
    <w:nsid w:val="7BD3EE7B"/>
    <w:multiLevelType w:val="hybridMultilevel"/>
    <w:lvl w:ilvl="0">
      <w:lvlJc w:val="left"/>
      <w:lvlText w:val="•"/>
      <w:numFmt w:val="bullet"/>
      <w:start w:val="1"/>
    </w:lvl>
  </w:abstractNum>
  <w:abstractNum w:abstractNumId="44">
    <w:nsid w:val="51D9C564"/>
    <w:multiLevelType w:val="hybridMultilevel"/>
    <w:lvl w:ilvl="0">
      <w:lvlJc w:val="left"/>
      <w:lvlText w:val="•"/>
      <w:numFmt w:val="bullet"/>
      <w:start w:val="1"/>
    </w:lvl>
  </w:abstractNum>
  <w:abstractNum w:abstractNumId="45">
    <w:nsid w:val="613EFDC5"/>
    <w:multiLevelType w:val="hybridMultilevel"/>
    <w:lvl w:ilvl="0">
      <w:lvlJc w:val="left"/>
      <w:lvlText w:val="•"/>
      <w:numFmt w:val="bullet"/>
      <w:start w:val="1"/>
    </w:lvl>
  </w:abstractNum>
  <w:abstractNum w:abstractNumId="46">
    <w:nsid w:val="BF72B14"/>
    <w:multiLevelType w:val="hybridMultilevel"/>
    <w:lvl w:ilvl="0">
      <w:lvlJc w:val="left"/>
      <w:lvlText w:val="•"/>
      <w:numFmt w:val="bullet"/>
      <w:start w:val="1"/>
    </w:lvl>
  </w:abstractNum>
  <w:abstractNum w:abstractNumId="47">
    <w:nsid w:val="11447B73"/>
    <w:multiLevelType w:val="hybridMultilevel"/>
    <w:lvl w:ilvl="0">
      <w:lvlJc w:val="left"/>
      <w:lvlText w:val="(%1)"/>
      <w:numFmt w:val="decimal"/>
      <w:start w:val="1"/>
    </w:lvl>
  </w:abstractNum>
  <w:abstractNum w:abstractNumId="48">
    <w:nsid w:val="42963E5A"/>
    <w:multiLevelType w:val="hybridMultilevel"/>
    <w:lvl w:ilvl="0">
      <w:lvlJc w:val="left"/>
      <w:lvlText w:val="%1."/>
      <w:numFmt w:val="decimal"/>
      <w:start w:val="11"/>
    </w:lvl>
  </w:abstractNum>
  <w:abstractNum w:abstractNumId="49">
    <w:nsid w:val="A0382C5"/>
    <w:multiLevelType w:val="hybridMultilevel"/>
    <w:lvl w:ilvl="0">
      <w:lvlJc w:val="left"/>
      <w:lvlText w:val="%1."/>
      <w:numFmt w:val="decimal"/>
      <w:start w:val="15"/>
    </w:lvl>
  </w:abstractNum>
  <w:abstractNum w:abstractNumId="50">
    <w:nsid w:val="8F2B15E"/>
    <w:multiLevelType w:val="hybridMultilevel"/>
    <w:lvl w:ilvl="0">
      <w:lvlJc w:val="left"/>
      <w:lvlText w:val="(%1)"/>
      <w:numFmt w:val="decimal"/>
      <w:start w:val="1"/>
    </w:lvl>
  </w:abstractNum>
  <w:abstractNum w:abstractNumId="51">
    <w:nsid w:val="1A32234B"/>
    <w:multiLevelType w:val="hybridMultilevel"/>
    <w:lvl w:ilvl="0">
      <w:lvlJc w:val="left"/>
      <w:lvlText w:val="(%1)"/>
      <w:numFmt w:val="decimal"/>
      <w:start w:val="1"/>
    </w:lvl>
  </w:abstractNum>
  <w:abstractNum w:abstractNumId="52">
    <w:nsid w:val="3B0FD379"/>
    <w:multiLevelType w:val="hybridMultilevel"/>
    <w:lvl w:ilvl="0">
      <w:lvlJc w:val="left"/>
      <w:lvlText w:val="(%1)"/>
      <w:numFmt w:val="decimal"/>
      <w:start w:val="1"/>
    </w:lvl>
  </w:abstractNum>
  <w:abstractNum w:abstractNumId="53">
    <w:nsid w:val="68EB2F63"/>
    <w:multiLevelType w:val="hybridMultilevel"/>
    <w:lvl w:ilvl="0">
      <w:lvlJc w:val="left"/>
      <w:lvlText w:val="%1."/>
      <w:numFmt w:val="decimal"/>
      <w:start w:val="16"/>
    </w:lvl>
  </w:abstractNum>
  <w:abstractNum w:abstractNumId="54">
    <w:nsid w:val="4962813B"/>
    <w:multiLevelType w:val="hybridMultilevel"/>
    <w:lvl w:ilvl="0">
      <w:lvlJc w:val="left"/>
      <w:lvlText w:val="(%1)"/>
      <w:numFmt w:val="decimal"/>
      <w:start w:val="1"/>
    </w:lvl>
  </w:abstractNum>
  <w:abstractNum w:abstractNumId="55">
    <w:nsid w:val="60B6DF70"/>
    <w:multiLevelType w:val="hybridMultilevel"/>
    <w:lvl w:ilvl="0">
      <w:lvlJc w:val="left"/>
      <w:lvlText w:val="(%1)"/>
      <w:numFmt w:val="decimal"/>
      <w:start w:val="1"/>
    </w:lvl>
  </w:abstractNum>
  <w:abstractNum w:abstractNumId="56">
    <w:nsid w:val="6A5EE64"/>
    <w:multiLevelType w:val="hybridMultilevel"/>
    <w:lvl w:ilvl="0">
      <w:lvlJc w:val="left"/>
      <w:lvlText w:val="(%1)"/>
      <w:numFmt w:val="decimal"/>
      <w:start w:val="1"/>
    </w:lvl>
  </w:abstractNum>
  <w:abstractNum w:abstractNumId="57">
    <w:nsid w:val="14330624"/>
    <w:multiLevelType w:val="hybridMultilevel"/>
    <w:lvl w:ilvl="0">
      <w:lvlJc w:val="left"/>
      <w:lvlText w:val="*"/>
      <w:numFmt w:val="bullet"/>
      <w:start w:val="1"/>
    </w:lvl>
  </w:abstractNum>
  <w:abstractNum w:abstractNumId="58">
    <w:nsid w:val="7FFFCA11"/>
    <w:multiLevelType w:val="hybridMultilevel"/>
    <w:lvl w:ilvl="0">
      <w:lvlJc w:val="left"/>
      <w:lvlText w:val="•"/>
      <w:numFmt w:val="bullet"/>
      <w:start w:val="1"/>
    </w:lvl>
  </w:abstractNum>
  <w:abstractNum w:abstractNumId="59">
    <w:nsid w:val="1A27709E"/>
    <w:multiLevelType w:val="hybridMultilevel"/>
    <w:lvl w:ilvl="0">
      <w:lvlJc w:val="left"/>
      <w:lvlText w:val="•"/>
      <w:numFmt w:val="bullet"/>
      <w:start w:val="1"/>
    </w:lvl>
  </w:abstractNum>
  <w:abstractNum w:abstractNumId="60">
    <w:nsid w:val="71EA1109"/>
    <w:multiLevelType w:val="hybridMultilevel"/>
    <w:lvl w:ilvl="0">
      <w:lvlJc w:val="left"/>
      <w:lvlText w:val="•"/>
      <w:numFmt w:val="bullet"/>
      <w:start w:val="1"/>
    </w:lvl>
  </w:abstractNum>
  <w:abstractNum w:abstractNumId="61">
    <w:nsid w:val="100F59DC"/>
    <w:multiLevelType w:val="hybridMultilevel"/>
    <w:lvl w:ilvl="0">
      <w:lvlJc w:val="left"/>
      <w:lvlText w:val="(%1)"/>
      <w:numFmt w:val="decimal"/>
      <w:start w:val="1"/>
    </w:lvl>
  </w:abstractNum>
  <w:abstractNum w:abstractNumId="62">
    <w:nsid w:val="7FB7E0AA"/>
    <w:multiLevelType w:val="hybridMultilevel"/>
    <w:lvl w:ilvl="0">
      <w:lvlJc w:val="left"/>
      <w:lvlText w:val="(%1)"/>
      <w:numFmt w:val="decimal"/>
      <w:start w:val="1"/>
    </w:lvl>
  </w:abstractNum>
  <w:abstractNum w:abstractNumId="63">
    <w:nsid w:val="6EB5BD4"/>
    <w:multiLevelType w:val="hybridMultilevel"/>
    <w:lvl w:ilvl="0">
      <w:lvlJc w:val="left"/>
      <w:lvlText w:val="(%1)"/>
      <w:numFmt w:val="decimal"/>
      <w:start w:val="1"/>
    </w:lvl>
  </w:abstractNum>
  <w:abstractNum w:abstractNumId="64">
    <w:nsid w:val="6F6DD9AC"/>
    <w:multiLevelType w:val="hybridMultilevel"/>
    <w:lvl w:ilvl="0">
      <w:lvlJc w:val="left"/>
      <w:lvlText w:val="(%1)"/>
      <w:numFmt w:val="decimal"/>
      <w:start w:val="1"/>
    </w:lvl>
  </w:abstractNum>
  <w:abstractNum w:abstractNumId="65">
    <w:nsid w:val="94211F2"/>
    <w:multiLevelType w:val="hybridMultilevel"/>
    <w:lvl w:ilvl="0">
      <w:lvlJc w:val="left"/>
      <w:lvlText w:val="(%1)"/>
      <w:numFmt w:val="decimal"/>
      <w:start w:val="6"/>
    </w:lvl>
  </w:abstractNum>
  <w:abstractNum w:abstractNumId="66">
    <w:nsid w:val="885E1B"/>
    <w:multiLevelType w:val="hybridMultilevel"/>
    <w:lvl w:ilvl="0">
      <w:lvlJc w:val="left"/>
      <w:lvlText w:val="(%1)"/>
      <w:numFmt w:val="decimal"/>
      <w:start w:val="1"/>
    </w:lvl>
  </w:abstractNum>
  <w:abstractNum w:abstractNumId="67">
    <w:nsid w:val="76272110"/>
    <w:multiLevelType w:val="hybridMultilevel"/>
    <w:lvl w:ilvl="0">
      <w:lvlJc w:val="left"/>
      <w:lvlText w:val="•"/>
      <w:numFmt w:val="bullet"/>
      <w:start w:val="1"/>
    </w:lvl>
  </w:abstractNum>
  <w:abstractNum w:abstractNumId="68">
    <w:nsid w:val="4C04A8AF"/>
    <w:multiLevelType w:val="hybridMultilevel"/>
    <w:lvl w:ilvl="0">
      <w:lvlJc w:val="left"/>
      <w:lvlText w:val="(%1)"/>
      <w:numFmt w:val="decimal"/>
      <w:start w:val="1"/>
    </w:lvl>
  </w:abstractNum>
  <w:abstractNum w:abstractNumId="69">
    <w:nsid w:val="1716703B"/>
    <w:multiLevelType w:val="hybridMultilevel"/>
    <w:lvl w:ilvl="0">
      <w:lvlJc w:val="left"/>
      <w:lvlText w:val="(%1)"/>
      <w:numFmt w:val="decimal"/>
      <w:start w:val="1"/>
    </w:lvl>
  </w:abstractNum>
  <w:abstractNum w:abstractNumId="70">
    <w:nsid w:val="14E17E33"/>
    <w:multiLevelType w:val="hybridMultilevel"/>
    <w:lvl w:ilvl="0">
      <w:lvlJc w:val="left"/>
      <w:lvlText w:val="(%1)"/>
      <w:numFmt w:val="decimal"/>
      <w:start w:val="1"/>
    </w:lvl>
  </w:abstractNum>
  <w:abstractNum w:abstractNumId="71">
    <w:nsid w:val="3222E7CD"/>
    <w:multiLevelType w:val="hybridMultilevel"/>
    <w:lvl w:ilvl="0">
      <w:lvlJc w:val="left"/>
      <w:lvlText w:val="(%1)"/>
      <w:numFmt w:val="decimal"/>
      <w:start w:val="1"/>
    </w:lvl>
  </w:abstractNum>
  <w:abstractNum w:abstractNumId="72">
    <w:nsid w:val="74DE0EE3"/>
    <w:multiLevelType w:val="hybridMultilevel"/>
    <w:lvl w:ilvl="0">
      <w:lvlJc w:val="left"/>
      <w:lvlText w:val="(%1)"/>
      <w:numFmt w:val="decimal"/>
      <w:start w:val="2"/>
    </w:lvl>
  </w:abstractNum>
  <w:abstractNum w:abstractNumId="73">
    <w:nsid w:val="68EBC550"/>
    <w:multiLevelType w:val="hybridMultilevel"/>
    <w:lvl w:ilvl="0">
      <w:lvlJc w:val="left"/>
      <w:lvlText w:val="(%1)"/>
      <w:numFmt w:val="decimal"/>
      <w:start w:val="1"/>
    </w:lvl>
  </w:abstractNum>
  <w:abstractNum w:abstractNumId="74">
    <w:nsid w:val="2DF6D648"/>
    <w:multiLevelType w:val="hybridMultilevel"/>
    <w:lvl w:ilvl="0">
      <w:lvlJc w:val="left"/>
      <w:lvlText w:val="(%1)"/>
      <w:numFmt w:val="lowerRoman"/>
      <w:start w:val="2"/>
    </w:lvl>
  </w:abstractNum>
  <w:abstractNum w:abstractNumId="75">
    <w:nsid w:val="46B7D447"/>
    <w:multiLevelType w:val="hybridMultilevel"/>
    <w:lvl w:ilvl="0">
      <w:lvlJc w:val="left"/>
      <w:lvlText w:val="•"/>
      <w:numFmt w:val="bullet"/>
      <w:start w:val="1"/>
    </w:lvl>
  </w:abstractNum>
  <w:abstractNum w:abstractNumId="76">
    <w:nsid w:val="4A2AC315"/>
    <w:multiLevelType w:val="hybridMultilevel"/>
    <w:lvl w:ilvl="0">
      <w:lvlJc w:val="left"/>
      <w:lvlText w:val="(%1)"/>
      <w:numFmt w:val="decimal"/>
      <w:start w:val="1"/>
    </w:lvl>
  </w:abstractNum>
  <w:abstractNum w:abstractNumId="77">
    <w:nsid w:val="39EE015C"/>
    <w:multiLevelType w:val="hybridMultilevel"/>
    <w:lvl w:ilvl="0">
      <w:lvlJc w:val="left"/>
      <w:lvlText w:val="•"/>
      <w:numFmt w:val="bullet"/>
      <w:start w:val="1"/>
    </w:lvl>
  </w:abstractNum>
  <w:abstractNum w:abstractNumId="78">
    <w:nsid w:val="57FC4FBB"/>
    <w:multiLevelType w:val="hybridMultilevel"/>
    <w:lvl w:ilvl="0">
      <w:lvlJc w:val="left"/>
      <w:lvlText w:val="•"/>
      <w:numFmt w:val="bullet"/>
      <w:start w:val="1"/>
    </w:lvl>
  </w:abstractNum>
  <w:abstractNum w:abstractNumId="79">
    <w:nsid w:val="CC1016F"/>
    <w:multiLevelType w:val="hybridMultilevel"/>
    <w:lvl w:ilvl="0">
      <w:lvlJc w:val="left"/>
      <w:lvlText w:val="•"/>
      <w:numFmt w:val="bullet"/>
      <w:start w:val="1"/>
    </w:lvl>
  </w:abstractNum>
  <w:abstractNum w:abstractNumId="80">
    <w:nsid w:val="43F18422"/>
    <w:multiLevelType w:val="hybridMultilevel"/>
    <w:lvl w:ilvl="0">
      <w:lvlJc w:val="left"/>
      <w:lvlText w:val="•"/>
      <w:numFmt w:val="bullet"/>
      <w:start w:val="1"/>
    </w:lvl>
  </w:abstractNum>
  <w:abstractNum w:abstractNumId="81">
    <w:nsid w:val="60EF0119"/>
    <w:multiLevelType w:val="hybridMultilevel"/>
    <w:lvl w:ilvl="0">
      <w:lvlJc w:val="left"/>
      <w:lvlText w:val="•"/>
      <w:numFmt w:val="bullet"/>
      <w:start w:val="1"/>
    </w:lvl>
  </w:abstractNum>
  <w:abstractNum w:abstractNumId="82">
    <w:nsid w:val="26F324BA"/>
    <w:multiLevelType w:val="hybridMultilevel"/>
    <w:lvl w:ilvl="0">
      <w:lvlJc w:val="left"/>
      <w:lvlText w:val="(%1)"/>
      <w:numFmt w:val="decimal"/>
      <w:start w:val="1"/>
    </w:lvl>
  </w:abstractNum>
  <w:abstractNum w:abstractNumId="83">
    <w:nsid w:val="7F01579B"/>
    <w:multiLevelType w:val="hybridMultilevel"/>
    <w:lvl w:ilvl="0">
      <w:lvlJc w:val="left"/>
      <w:lvlText w:val="(%1)"/>
      <w:numFmt w:val="decimal"/>
      <w:start w:val="1"/>
    </w:lvl>
  </w:abstractNum>
  <w:abstractNum w:abstractNumId="84">
    <w:nsid w:val="49DA307D"/>
    <w:multiLevelType w:val="hybridMultilevel"/>
    <w:lvl w:ilvl="0">
      <w:lvlJc w:val="left"/>
      <w:lvlText w:val="(%1)"/>
      <w:numFmt w:val="decimal"/>
      <w:start w:val="1"/>
    </w:lvl>
  </w:abstractNum>
  <w:abstractNum w:abstractNumId="85">
    <w:nsid w:val="7055A5F5"/>
    <w:multiLevelType w:val="hybridMultilevel"/>
    <w:lvl w:ilvl="0">
      <w:lvlJc w:val="left"/>
      <w:lvlText w:val="(%1)"/>
      <w:numFmt w:val="decimal"/>
      <w:start w:val="1"/>
    </w:lvl>
  </w:abstractNum>
  <w:abstractNum w:abstractNumId="86">
    <w:nsid w:val="5FB8370B"/>
    <w:multiLevelType w:val="hybridMultilevel"/>
    <w:lvl w:ilvl="0">
      <w:lvlJc w:val="left"/>
      <w:lvlText w:val="(%1)"/>
      <w:numFmt w:val="decimal"/>
      <w:start w:val="1"/>
    </w:lvl>
  </w:abstractNum>
  <w:abstractNum w:abstractNumId="87">
    <w:nsid w:val="50801EE1"/>
    <w:multiLevelType w:val="hybridMultilevel"/>
    <w:lvl w:ilvl="0">
      <w:lvlJc w:val="left"/>
      <w:lvlText w:val="$"/>
      <w:numFmt w:val="bullet"/>
      <w:start w:val="1"/>
    </w:lvl>
  </w:abstractNum>
  <w:abstractNum w:abstractNumId="88">
    <w:nsid w:val="488AC1A"/>
    <w:multiLevelType w:val="hybridMultilevel"/>
    <w:lvl w:ilvl="0">
      <w:lvlJc w:val="left"/>
      <w:lvlText w:val="$"/>
      <w:numFmt w:val="bullet"/>
      <w:start w:val="1"/>
    </w:lvl>
  </w:abstractNum>
  <w:abstractNum w:abstractNumId="89">
    <w:nsid w:val="5FB8011C"/>
    <w:multiLevelType w:val="hybridMultilevel"/>
    <w:lvl w:ilvl="0">
      <w:lvlJc w:val="left"/>
      <w:lvlText w:val="$"/>
      <w:numFmt w:val="bullet"/>
      <w:start w:val="1"/>
    </w:lvl>
  </w:abstractNum>
  <w:abstractNum w:abstractNumId="90">
    <w:nsid w:val="6AA78F7F"/>
    <w:multiLevelType w:val="hybridMultilevel"/>
    <w:lvl w:ilvl="0">
      <w:lvlJc w:val="left"/>
      <w:lvlText w:val="(%1)"/>
      <w:numFmt w:val="decimal"/>
      <w:start w:val="1"/>
    </w:lvl>
  </w:abstractNum>
  <w:abstractNum w:abstractNumId="91">
    <w:nsid w:val="7672BD23"/>
    <w:multiLevelType w:val="hybridMultilevel"/>
    <w:lvl w:ilvl="0">
      <w:lvlJc w:val="left"/>
      <w:lvlText w:val="•"/>
      <w:numFmt w:val="bullet"/>
      <w:start w:val="1"/>
    </w:lvl>
  </w:abstractNum>
  <w:abstractNum w:abstractNumId="92">
    <w:nsid w:val="6FC75AF8"/>
    <w:multiLevelType w:val="hybridMultilevel"/>
    <w:lvl w:ilvl="0">
      <w:lvlJc w:val="left"/>
      <w:lvlText w:val="(%1)"/>
      <w:numFmt w:val="lowerRoman"/>
      <w:start w:val="4"/>
    </w:lvl>
  </w:abstractNum>
  <w:abstractNum w:abstractNumId="93">
    <w:nsid w:val="6A5F7029"/>
    <w:multiLevelType w:val="hybridMultilevel"/>
    <w:lvl w:ilvl="0">
      <w:lvlJc w:val="left"/>
      <w:lvlText w:val="•"/>
      <w:numFmt w:val="bullet"/>
      <w:start w:val="1"/>
    </w:lvl>
  </w:abstractNum>
  <w:abstractNum w:abstractNumId="94">
    <w:nsid w:val="7D5E18F8"/>
    <w:multiLevelType w:val="hybridMultilevel"/>
    <w:lvl w:ilvl="0">
      <w:lvlJc w:val="left"/>
      <w:lvlText w:val="•"/>
      <w:numFmt w:val="bullet"/>
      <w:start w:val="1"/>
    </w:lvl>
  </w:abstractNum>
  <w:abstractNum w:abstractNumId="95">
    <w:nsid w:val="5F3534A4"/>
    <w:multiLevelType w:val="hybridMultilevel"/>
    <w:lvl w:ilvl="0">
      <w:lvlJc w:val="left"/>
      <w:lvlText w:val="o"/>
      <w:numFmt w:val="bullet"/>
      <w:start w:val="1"/>
    </w:lvl>
  </w:abstractNum>
  <w:abstractNum w:abstractNumId="96">
    <w:nsid w:val="73A1821B"/>
    <w:multiLevelType w:val="hybridMultilevel"/>
    <w:lvl w:ilvl="0">
      <w:lvlJc w:val="left"/>
      <w:lvlText w:val="•"/>
      <w:numFmt w:val="bullet"/>
      <w:start w:val="1"/>
    </w:lvl>
  </w:abstractNum>
  <w:abstractNum w:abstractNumId="97">
    <w:nsid w:val="7DE67713"/>
    <w:multiLevelType w:val="hybridMultilevel"/>
    <w:lvl w:ilvl="0">
      <w:lvlJc w:val="left"/>
      <w:lvlText w:val="•"/>
      <w:numFmt w:val="bullet"/>
      <w:start w:val="1"/>
    </w:lvl>
  </w:abstractNum>
  <w:abstractNum w:abstractNumId="98">
    <w:nsid w:val="555C55B5"/>
    <w:multiLevelType w:val="hybridMultilevel"/>
    <w:lvl w:ilvl="0">
      <w:lvlJc w:val="left"/>
      <w:lvlText w:val="(%1)"/>
      <w:numFmt w:val="lowerRoman"/>
      <w:start w:val="1"/>
    </w:lvl>
  </w:abstractNum>
  <w:abstractNum w:abstractNumId="99">
    <w:nsid w:val="3FA62ACA"/>
    <w:multiLevelType w:val="hybridMultilevel"/>
    <w:lvl w:ilvl="0">
      <w:lvlJc w:val="left"/>
      <w:lvlText w:val="%1."/>
      <w:numFmt w:val="decimal"/>
      <w:start w:val="1"/>
    </w:lvl>
  </w:abstractNum>
  <w:abstractNum w:abstractNumId="100">
    <w:nsid w:val="14FCE74E"/>
    <w:multiLevelType w:val="hybridMultilevel"/>
    <w:lvl w:ilvl="0">
      <w:lvlJc w:val="left"/>
      <w:lvlText w:val="%1."/>
      <w:numFmt w:val="decimal"/>
      <w:start w:val="2"/>
    </w:lvl>
  </w:abstractNum>
  <w:abstractNum w:abstractNumId="101">
    <w:nsid w:val="6A3DD3E8"/>
    <w:multiLevelType w:val="hybridMultilevel"/>
    <w:lvl w:ilvl="0">
      <w:lvlJc w:val="left"/>
      <w:lvlText w:val="%1."/>
      <w:numFmt w:val="decimal"/>
      <w:start w:val="6"/>
    </w:lvl>
  </w:abstractNum>
  <w:abstractNum w:abstractNumId="102">
    <w:nsid w:val="71C91298"/>
    <w:multiLevelType w:val="hybridMultilevel"/>
    <w:lvl w:ilvl="0">
      <w:lvlJc w:val="left"/>
      <w:lvlText w:val="%1."/>
      <w:numFmt w:val="decimal"/>
      <w:start w:val="1"/>
    </w:lvl>
    <w:lvl w:ilvl="1">
      <w:lvlJc w:val="left"/>
      <w:lvlText w:val="%2)"/>
      <w:numFmt w:val="lowerLetter"/>
      <w:start w:val="1"/>
    </w:lvl>
  </w:abstractNum>
  <w:abstractNum w:abstractNumId="103">
    <w:nsid w:val="9DAF632"/>
    <w:multiLevelType w:val="hybridMultilevel"/>
    <w:lvl w:ilvl="0">
      <w:lvlJc w:val="left"/>
      <w:lvlText w:val="%1."/>
      <w:numFmt w:val="decimal"/>
      <w:start w:val="1"/>
    </w:lvl>
    <w:lvl w:ilvl="1">
      <w:lvlJc w:val="left"/>
      <w:lvlText w:val="%2)"/>
      <w:numFmt w:val="lowerLetter"/>
      <w:start w:val="1"/>
    </w:lvl>
  </w:abstractNum>
  <w:abstractNum w:abstractNumId="104">
    <w:nsid w:val="53299938"/>
    <w:multiLevelType w:val="hybridMultilevel"/>
    <w:lvl w:ilvl="0">
      <w:lvlJc w:val="left"/>
      <w:lvlText w:val="(%1)"/>
      <w:numFmt w:val="decimal"/>
      <w:start w:val="1"/>
    </w:lvl>
  </w:abstractNum>
  <w:abstractNum w:abstractNumId="105">
    <w:nsid w:val="1FBFE8E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30" Type="http://schemas.openxmlformats.org/officeDocument/2006/relationships/image" Target="media/image87.png"/><Relationship Id="rId131" Type="http://schemas.openxmlformats.org/officeDocument/2006/relationships/image" Target="media/image88.png"/><Relationship Id="rId141" Type="http://schemas.openxmlformats.org/officeDocument/2006/relationships/image" Target="media/image89.png"/><Relationship Id="rId142" Type="http://schemas.openxmlformats.org/officeDocument/2006/relationships/image" Target="media/image90.png"/><Relationship Id="rId143" Type="http://schemas.openxmlformats.org/officeDocument/2006/relationships/image" Target="media/image91.png"/><Relationship Id="rId144" Type="http://schemas.openxmlformats.org/officeDocument/2006/relationships/image" Target="media/image92.png"/><Relationship Id="rId145" Type="http://schemas.openxmlformats.org/officeDocument/2006/relationships/image" Target="media/image93.png"/><Relationship Id="rId146" Type="http://schemas.openxmlformats.org/officeDocument/2006/relationships/image" Target="media/image94.png"/><Relationship Id="rId147" Type="http://schemas.openxmlformats.org/officeDocument/2006/relationships/image" Target="media/image95.png"/><Relationship Id="rId148" Type="http://schemas.openxmlformats.org/officeDocument/2006/relationships/image" Target="media/image96.png"/><Relationship Id="rId149" Type="http://schemas.openxmlformats.org/officeDocument/2006/relationships/image" Target="media/image97.png"/><Relationship Id="rId150" Type="http://schemas.openxmlformats.org/officeDocument/2006/relationships/image" Target="media/image98.png"/><Relationship Id="rId151" Type="http://schemas.openxmlformats.org/officeDocument/2006/relationships/image" Target="media/image99.png"/><Relationship Id="rId152" Type="http://schemas.openxmlformats.org/officeDocument/2006/relationships/image" Target="media/image100.png"/><Relationship Id="rId153" Type="http://schemas.openxmlformats.org/officeDocument/2006/relationships/image" Target="media/image101.png"/><Relationship Id="rId154" Type="http://schemas.openxmlformats.org/officeDocument/2006/relationships/image" Target="media/image102.png"/><Relationship Id="rId155" Type="http://schemas.openxmlformats.org/officeDocument/2006/relationships/image" Target="media/image103.png"/><Relationship Id="rId156" Type="http://schemas.openxmlformats.org/officeDocument/2006/relationships/image" Target="media/image104.png"/><Relationship Id="rId157" Type="http://schemas.openxmlformats.org/officeDocument/2006/relationships/image" Target="media/image105.png"/><Relationship Id="rId158" Type="http://schemas.openxmlformats.org/officeDocument/2006/relationships/image" Target="media/image106.png"/><Relationship Id="rId159" Type="http://schemas.openxmlformats.org/officeDocument/2006/relationships/image" Target="media/image107.png"/><Relationship Id="rId160" Type="http://schemas.openxmlformats.org/officeDocument/2006/relationships/image" Target="media/image108.png"/><Relationship Id="rId161" Type="http://schemas.openxmlformats.org/officeDocument/2006/relationships/image" Target="media/image109.png"/><Relationship Id="rId162" Type="http://schemas.openxmlformats.org/officeDocument/2006/relationships/image" Target="media/image110.png"/><Relationship Id="rId163" Type="http://schemas.openxmlformats.org/officeDocument/2006/relationships/image" Target="media/image111.png"/><Relationship Id="rId164" Type="http://schemas.openxmlformats.org/officeDocument/2006/relationships/image" Target="media/image112.png"/><Relationship Id="rId165" Type="http://schemas.openxmlformats.org/officeDocument/2006/relationships/image" Target="media/image113.png"/><Relationship Id="rId166" Type="http://schemas.openxmlformats.org/officeDocument/2006/relationships/image" Target="media/image114.png"/><Relationship Id="rId167" Type="http://schemas.openxmlformats.org/officeDocument/2006/relationships/image" Target="media/image115.png"/><Relationship Id="rId168" Type="http://schemas.openxmlformats.org/officeDocument/2006/relationships/image" Target="media/image116.png"/><Relationship Id="rId169" Type="http://schemas.openxmlformats.org/officeDocument/2006/relationships/image" Target="media/image117.png"/><Relationship Id="rId170" Type="http://schemas.openxmlformats.org/officeDocument/2006/relationships/image" Target="media/image118.png"/><Relationship Id="rId171" Type="http://schemas.openxmlformats.org/officeDocument/2006/relationships/image" Target="media/image119.png"/><Relationship Id="rId172" Type="http://schemas.openxmlformats.org/officeDocument/2006/relationships/image" Target="media/image120.png"/><Relationship Id="rId173" Type="http://schemas.openxmlformats.org/officeDocument/2006/relationships/image" Target="media/image121.png"/><Relationship Id="rId174" Type="http://schemas.openxmlformats.org/officeDocument/2006/relationships/image" Target="media/image122.png"/><Relationship Id="rId175" Type="http://schemas.openxmlformats.org/officeDocument/2006/relationships/image" Target="media/image123.png"/><Relationship Id="rId176" Type="http://schemas.openxmlformats.org/officeDocument/2006/relationships/image" Target="media/image124.png"/><Relationship Id="rId177" Type="http://schemas.openxmlformats.org/officeDocument/2006/relationships/image" Target="media/image125.png"/><Relationship Id="rId178" Type="http://schemas.openxmlformats.org/officeDocument/2006/relationships/image" Target="media/image126.png"/><Relationship Id="rId179" Type="http://schemas.openxmlformats.org/officeDocument/2006/relationships/image" Target="media/image127.png"/><Relationship Id="rId180" Type="http://schemas.openxmlformats.org/officeDocument/2006/relationships/image" Target="media/image128.png"/><Relationship Id="rId181" Type="http://schemas.openxmlformats.org/officeDocument/2006/relationships/image" Target="media/image129.png"/><Relationship Id="rId182" Type="http://schemas.openxmlformats.org/officeDocument/2006/relationships/image" Target="media/image130.png"/><Relationship Id="rId183" Type="http://schemas.openxmlformats.org/officeDocument/2006/relationships/image" Target="media/image131.png"/><Relationship Id="rId184" Type="http://schemas.openxmlformats.org/officeDocument/2006/relationships/image" Target="media/image132.png"/><Relationship Id="rId185" Type="http://schemas.openxmlformats.org/officeDocument/2006/relationships/image" Target="media/image133.png"/><Relationship Id="rId186" Type="http://schemas.openxmlformats.org/officeDocument/2006/relationships/image" Target="media/image134.png"/><Relationship Id="rId187" Type="http://schemas.openxmlformats.org/officeDocument/2006/relationships/image" Target="media/image135.png"/><Relationship Id="rId188" Type="http://schemas.openxmlformats.org/officeDocument/2006/relationships/image" Target="media/image136.png"/><Relationship Id="rId189" Type="http://schemas.openxmlformats.org/officeDocument/2006/relationships/image" Target="media/image137.png"/><Relationship Id="rId190" Type="http://schemas.openxmlformats.org/officeDocument/2006/relationships/image" Target="media/image138.png"/><Relationship Id="rId191" Type="http://schemas.openxmlformats.org/officeDocument/2006/relationships/image" Target="media/image139.png"/><Relationship Id="rId192" Type="http://schemas.openxmlformats.org/officeDocument/2006/relationships/image" Target="media/image140.png"/><Relationship Id="rId193" Type="http://schemas.openxmlformats.org/officeDocument/2006/relationships/image" Target="media/image141.png"/><Relationship Id="rId194" Type="http://schemas.openxmlformats.org/officeDocument/2006/relationships/image" Target="media/image142.png"/><Relationship Id="rId195" Type="http://schemas.openxmlformats.org/officeDocument/2006/relationships/image" Target="media/image143.png"/><Relationship Id="rId196" Type="http://schemas.openxmlformats.org/officeDocument/2006/relationships/image" Target="media/image144.png"/><Relationship Id="rId197" Type="http://schemas.openxmlformats.org/officeDocument/2006/relationships/image" Target="media/image145.png"/><Relationship Id="rId198" Type="http://schemas.openxmlformats.org/officeDocument/2006/relationships/image" Target="media/image146.png"/><Relationship Id="rId199" Type="http://schemas.openxmlformats.org/officeDocument/2006/relationships/image" Target="media/image147.png"/><Relationship Id="rId200" Type="http://schemas.openxmlformats.org/officeDocument/2006/relationships/image" Target="media/image148.png"/><Relationship Id="rId201" Type="http://schemas.openxmlformats.org/officeDocument/2006/relationships/image" Target="media/image149.png"/><Relationship Id="rId202" Type="http://schemas.openxmlformats.org/officeDocument/2006/relationships/image" Target="media/image150.png"/><Relationship Id="rId203" Type="http://schemas.openxmlformats.org/officeDocument/2006/relationships/image" Target="media/image151.png"/><Relationship Id="rId204" Type="http://schemas.openxmlformats.org/officeDocument/2006/relationships/image" Target="media/image152.png"/><Relationship Id="rId205" Type="http://schemas.openxmlformats.org/officeDocument/2006/relationships/image" Target="media/image153.png"/><Relationship Id="rId206" Type="http://schemas.openxmlformats.org/officeDocument/2006/relationships/image" Target="media/image154.png"/><Relationship Id="rId207" Type="http://schemas.openxmlformats.org/officeDocument/2006/relationships/image" Target="media/image155.png"/><Relationship Id="rId208" Type="http://schemas.openxmlformats.org/officeDocument/2006/relationships/image" Target="media/image156.png"/><Relationship Id="rId209" Type="http://schemas.openxmlformats.org/officeDocument/2006/relationships/image" Target="media/image157.png"/><Relationship Id="rId210" Type="http://schemas.openxmlformats.org/officeDocument/2006/relationships/image" Target="media/image158.png"/><Relationship Id="rId211" Type="http://schemas.openxmlformats.org/officeDocument/2006/relationships/image" Target="media/image159.png"/><Relationship Id="rId212" Type="http://schemas.openxmlformats.org/officeDocument/2006/relationships/image" Target="media/image160.png"/><Relationship Id="rId213" Type="http://schemas.openxmlformats.org/officeDocument/2006/relationships/image" Target="media/image161.png"/><Relationship Id="rId214" Type="http://schemas.openxmlformats.org/officeDocument/2006/relationships/image" Target="media/image162.png"/><Relationship Id="rId215" Type="http://schemas.openxmlformats.org/officeDocument/2006/relationships/image" Target="media/image163.png"/><Relationship Id="rId216" Type="http://schemas.openxmlformats.org/officeDocument/2006/relationships/image" Target="media/image164.png"/><Relationship Id="rId217" Type="http://schemas.openxmlformats.org/officeDocument/2006/relationships/image" Target="media/image165.png"/><Relationship Id="rId218" Type="http://schemas.openxmlformats.org/officeDocument/2006/relationships/image" Target="media/image166.png"/><Relationship Id="rId219" Type="http://schemas.openxmlformats.org/officeDocument/2006/relationships/image" Target="media/image167.png"/><Relationship Id="rId220" Type="http://schemas.openxmlformats.org/officeDocument/2006/relationships/image" Target="media/image168.png"/><Relationship Id="rId221" Type="http://schemas.openxmlformats.org/officeDocument/2006/relationships/image" Target="media/image169.png"/><Relationship Id="rId222" Type="http://schemas.openxmlformats.org/officeDocument/2006/relationships/image" Target="media/image170.png"/><Relationship Id="rId223" Type="http://schemas.openxmlformats.org/officeDocument/2006/relationships/image" Target="media/image171.png"/><Relationship Id="rId224" Type="http://schemas.openxmlformats.org/officeDocument/2006/relationships/image" Target="media/image172.png"/><Relationship Id="rId225" Type="http://schemas.openxmlformats.org/officeDocument/2006/relationships/image" Target="media/image173.png"/><Relationship Id="rId226" Type="http://schemas.openxmlformats.org/officeDocument/2006/relationships/image" Target="media/image174.png"/><Relationship Id="rId227" Type="http://schemas.openxmlformats.org/officeDocument/2006/relationships/image" Target="media/image175.png"/><Relationship Id="rId228" Type="http://schemas.openxmlformats.org/officeDocument/2006/relationships/image" Target="media/image176.png"/><Relationship Id="rId229" Type="http://schemas.openxmlformats.org/officeDocument/2006/relationships/image" Target="media/image177.png"/><Relationship Id="rId230" Type="http://schemas.openxmlformats.org/officeDocument/2006/relationships/image" Target="media/image178.png"/><Relationship Id="rId231" Type="http://schemas.openxmlformats.org/officeDocument/2006/relationships/image" Target="media/image179.png"/><Relationship Id="rId232" Type="http://schemas.openxmlformats.org/officeDocument/2006/relationships/image" Target="media/image180.png"/><Relationship Id="rId233" Type="http://schemas.openxmlformats.org/officeDocument/2006/relationships/image" Target="media/image181.png"/><Relationship Id="rId234" Type="http://schemas.openxmlformats.org/officeDocument/2006/relationships/image" Target="media/image182.png"/><Relationship Id="rId235" Type="http://schemas.openxmlformats.org/officeDocument/2006/relationships/image" Target="media/image183.png"/><Relationship Id="rId236" Type="http://schemas.openxmlformats.org/officeDocument/2006/relationships/image" Target="media/image184.png"/><Relationship Id="rId237" Type="http://schemas.openxmlformats.org/officeDocument/2006/relationships/image" Target="media/image185.png"/><Relationship Id="rId238" Type="http://schemas.openxmlformats.org/officeDocument/2006/relationships/image" Target="media/image186.png"/><Relationship Id="rId239" Type="http://schemas.openxmlformats.org/officeDocument/2006/relationships/image" Target="media/image187.png"/><Relationship Id="rId240" Type="http://schemas.openxmlformats.org/officeDocument/2006/relationships/image" Target="media/image188.png"/><Relationship Id="rId241" Type="http://schemas.openxmlformats.org/officeDocument/2006/relationships/image" Target="media/image189.png"/><Relationship Id="rId242" Type="http://schemas.openxmlformats.org/officeDocument/2006/relationships/image" Target="media/image190.png"/><Relationship Id="rId243" Type="http://schemas.openxmlformats.org/officeDocument/2006/relationships/image" Target="media/image191.png"/><Relationship Id="rId244" Type="http://schemas.openxmlformats.org/officeDocument/2006/relationships/image" Target="media/image192.png"/><Relationship Id="rId245" Type="http://schemas.openxmlformats.org/officeDocument/2006/relationships/image" Target="media/image193.png"/><Relationship Id="rId246" Type="http://schemas.openxmlformats.org/officeDocument/2006/relationships/image" Target="media/image194.jpeg"/><Relationship Id="rId247" Type="http://schemas.openxmlformats.org/officeDocument/2006/relationships/image" Target="media/image195.jpeg"/><Relationship Id="rId248" Type="http://schemas.openxmlformats.org/officeDocument/2006/relationships/image" Target="media/image196.png"/><Relationship Id="rId249" Type="http://schemas.openxmlformats.org/officeDocument/2006/relationships/image" Target="media/image197.png"/><Relationship Id="rId250" Type="http://schemas.openxmlformats.org/officeDocument/2006/relationships/image" Target="media/image198.png"/><Relationship Id="rId251" Type="http://schemas.openxmlformats.org/officeDocument/2006/relationships/image" Target="media/image199.png"/><Relationship Id="rId252" Type="http://schemas.openxmlformats.org/officeDocument/2006/relationships/image" Target="media/image200.jpeg"/><Relationship Id="rId253" Type="http://schemas.openxmlformats.org/officeDocument/2006/relationships/image" Target="media/image201.jpeg"/><Relationship Id="rId254" Type="http://schemas.openxmlformats.org/officeDocument/2006/relationships/image" Target="media/image202.png"/><Relationship Id="rId255" Type="http://schemas.openxmlformats.org/officeDocument/2006/relationships/image" Target="media/image203.png"/><Relationship Id="rId256" Type="http://schemas.openxmlformats.org/officeDocument/2006/relationships/image" Target="media/image204.png"/><Relationship Id="rId257" Type="http://schemas.openxmlformats.org/officeDocument/2006/relationships/image" Target="media/image205.png"/><Relationship Id="rId258" Type="http://schemas.openxmlformats.org/officeDocument/2006/relationships/image" Target="media/image206.jpeg"/><Relationship Id="rId259" Type="http://schemas.openxmlformats.org/officeDocument/2006/relationships/image" Target="media/image207.jpeg"/><Relationship Id="rId260" Type="http://schemas.openxmlformats.org/officeDocument/2006/relationships/image" Target="media/image208.png"/><Relationship Id="rId261" Type="http://schemas.openxmlformats.org/officeDocument/2006/relationships/image" Target="media/image209.png"/><Relationship Id="rId262" Type="http://schemas.openxmlformats.org/officeDocument/2006/relationships/image" Target="media/image210.png"/><Relationship Id="rId263" Type="http://schemas.openxmlformats.org/officeDocument/2006/relationships/image" Target="media/image211.png"/><Relationship Id="rId264" Type="http://schemas.openxmlformats.org/officeDocument/2006/relationships/image" Target="media/image212.jpeg"/><Relationship Id="rId265" Type="http://schemas.openxmlformats.org/officeDocument/2006/relationships/image" Target="media/image213.jpeg"/><Relationship Id="rId266" Type="http://schemas.openxmlformats.org/officeDocument/2006/relationships/image" Target="media/image214.png"/><Relationship Id="rId267" Type="http://schemas.openxmlformats.org/officeDocument/2006/relationships/image" Target="media/image215.png"/><Relationship Id="rId268" Type="http://schemas.openxmlformats.org/officeDocument/2006/relationships/image" Target="media/image216.png"/><Relationship Id="rId269" Type="http://schemas.openxmlformats.org/officeDocument/2006/relationships/image" Target="media/image217.png"/><Relationship Id="rId270" Type="http://schemas.openxmlformats.org/officeDocument/2006/relationships/image" Target="media/image218.png"/><Relationship Id="rId271" Type="http://schemas.openxmlformats.org/officeDocument/2006/relationships/image" Target="media/image219.png"/><Relationship Id="rId90" Type="http://schemas.openxmlformats.org/officeDocument/2006/relationships/hyperlink" Target="http://www.sec.gov/Archives/edgar/data/1593034/000119312520271732/d87354dex21.htm" TargetMode="External"/><Relationship Id="rId91" Type="http://schemas.openxmlformats.org/officeDocument/2006/relationships/hyperlink" Target="http://www.sec.gov/Archives/edgar/data/1593034/000119312514077873/d684005dex31.htm" TargetMode="External"/><Relationship Id="rId92" Type="http://schemas.openxmlformats.org/officeDocument/2006/relationships/hyperlink" Target="http://www.sec.gov/Archives/edgar/data/1593034/000159303417000039/ex31memorandumandarticleso.htm" TargetMode="External"/><Relationship Id="rId93" Type="http://schemas.openxmlformats.org/officeDocument/2006/relationships/hyperlink" Target="http://www.sec.gov/Archives/edgar/data/1593034/000119312514077910/d683861dex43.htm" TargetMode="External"/><Relationship Id="rId94" Type="http://schemas.openxmlformats.org/officeDocument/2006/relationships/hyperlink" Target="http://www.sec.gov/Archives/edgar/data/1593034/000119312515021954/d860452dex101.htm" TargetMode="External"/><Relationship Id="rId95" Type="http://schemas.openxmlformats.org/officeDocument/2006/relationships/hyperlink" Target="http://www.sec.gov/Archives/edgar/data/1593034/000159303416000051/ex415supplementalindenture.htm" TargetMode="External"/><Relationship Id="rId98" Type="http://schemas.openxmlformats.org/officeDocument/2006/relationships/hyperlink" Target="http://www.sec.gov/Archives/edgar/data/1593034/000119312520170531/d941026dex49.htm" TargetMode="External"/><Relationship Id="rId99" Type="http://schemas.openxmlformats.org/officeDocument/2006/relationships/hyperlink" Target="http://www.sec.gov/Archives/edgar/data/1593034/000119312515021954/d860452dex103.htm" TargetMode="External"/><Relationship Id="rId100" Type="http://schemas.openxmlformats.org/officeDocument/2006/relationships/hyperlink" Target="http://www.sec.gov/Archives/edgar/data/1593034/000119312515249120/d51143dex101.htm" TargetMode="External"/><Relationship Id="rId101" Type="http://schemas.openxmlformats.org/officeDocument/2006/relationships/hyperlink" Target="http://www.sec.gov/Archives/edgar/data/1593034/000119312520170531/d941026dex48.htm" TargetMode="External"/><Relationship Id="rId102" Type="http://schemas.openxmlformats.org/officeDocument/2006/relationships/hyperlink" Target="http://www.sec.gov/Archives/edgar/data/1593034/000119312519090665/d694160dex41.htm" TargetMode="External"/><Relationship Id="rId103" Type="http://schemas.openxmlformats.org/officeDocument/2006/relationships/hyperlink" Target="http://www.sec.gov/Archives/edgar/data/1593034/000119312520170531/d941026dex42.htm" TargetMode="External"/><Relationship Id="rId104" Type="http://schemas.openxmlformats.org/officeDocument/2006/relationships/hyperlink" Target="http://www.sec.gov/Archives/edgar/data/1593034/000119312520170531/d941026dex44.htm" TargetMode="External"/><Relationship Id="rId105" Type="http://schemas.openxmlformats.org/officeDocument/2006/relationships/hyperlink" Target="http://www.sec.gov/Archives/edgar/data/1593034/000119312520170531/d941026dex46.htm" TargetMode="External"/><Relationship Id="rId106" Type="http://schemas.openxmlformats.org/officeDocument/2006/relationships/hyperlink" Target="http://www.sec.gov/Archives/edgar/data/1593034/000159303418000030/ex106execdefferedcomppan.htm" TargetMode="External"/><Relationship Id="rId107" Type="http://schemas.openxmlformats.org/officeDocument/2006/relationships/hyperlink" Target="http://www.sec.gov/Archives/edgar/data/1100962/000110096213000014/ex1012-401krestoration.htm" TargetMode="External"/><Relationship Id="rId108" Type="http://schemas.openxmlformats.org/officeDocument/2006/relationships/hyperlink" Target="http://www.sec.gov/Archives/edgar/data/1100962/000110096213000014/ex1013-directorsdeferredco.htm" TargetMode="External"/><Relationship Id="rId109" Type="http://schemas.openxmlformats.org/officeDocument/2006/relationships/hyperlink" Target="http://www.sec.gov/Archives/edgar/data/1593034/000119312514077910/d683861dex49.htm" TargetMode="External"/><Relationship Id="rId112" Type="http://schemas.openxmlformats.org/officeDocument/2006/relationships/hyperlink" Target="http://www.sec.gov/Archives/edgar/data/1593034/000119312517144339/d381353dex101.htm" TargetMode="External"/><Relationship Id="rId113" Type="http://schemas.openxmlformats.org/officeDocument/2006/relationships/hyperlink" Target="http://www.sec.gov/Archives/edgar/data/1593034/000119312519090665/d694160dex101.htm" TargetMode="External"/><Relationship Id="rId114" Type="http://schemas.openxmlformats.org/officeDocument/2006/relationships/hyperlink" Target="http://www.sec.gov/Archives/edgar/data/1593034/000119312520170531/d941026dex101.htm" TargetMode="External"/><Relationship Id="rId115" Type="http://schemas.openxmlformats.org/officeDocument/2006/relationships/hyperlink" Target="http://www.sec.gov/Archives/edgar/data/1593034/000119312520170531/d941026dex102.htm" TargetMode="External"/><Relationship Id="rId116" Type="http://schemas.openxmlformats.org/officeDocument/2006/relationships/hyperlink" Target="http://www.sec.gov/Archives/edgar/data/1593034/000119312520170531/d941026dex103.htm" TargetMode="External"/><Relationship Id="rId117" Type="http://schemas.openxmlformats.org/officeDocument/2006/relationships/hyperlink" Target="http://www.sec.gov/Archives/edgar/data/1182129/000119312508171314/dex101.htm" TargetMode="External"/><Relationship Id="rId118" Type="http://schemas.openxmlformats.org/officeDocument/2006/relationships/hyperlink" Target="http://www.sec.gov/Archives/edgar/data/1593034/000159303420000049/a20200611ex101stockinc.htm" TargetMode="External"/><Relationship Id="rId119" Type="http://schemas.openxmlformats.org/officeDocument/2006/relationships/hyperlink" Target="http://www.sec.gov/Archives/edgar/data/1593034/000159303418000036/ex101formofstockoptionawar.htm" TargetMode="External"/><Relationship Id="rId120" Type="http://schemas.openxmlformats.org/officeDocument/2006/relationships/hyperlink" Target="http://www.sec.gov/Archives/edgar/data/1593034/000159303418000036/ex102formofstockawardagree.htm" TargetMode="External"/><Relationship Id="rId121" Type="http://schemas.openxmlformats.org/officeDocument/2006/relationships/hyperlink" Target="http://www.sec.gov/Archives/edgar/data/1593034/000159303420000047/ex101formofperformance.htm" TargetMode="External"/><Relationship Id="rId122" Type="http://schemas.openxmlformats.org/officeDocument/2006/relationships/hyperlink" Target="http://www.sec.gov/Archives/edgar/data/1593034/000159303420000047/ex102formoflong-termca.htm" TargetMode="External"/><Relationship Id="rId123" Type="http://schemas.openxmlformats.org/officeDocument/2006/relationships/hyperlink" Target="http://www.sec.gov/Archives/edgar/data/1593034/000159303418000030/ex105formoflong-termcashin.htm" TargetMode="External"/><Relationship Id="rId124" Type="http://schemas.openxmlformats.org/officeDocument/2006/relationships/hyperlink" Target="http://www.sec.gov/Archives/edgar/data/1593034/000159303416000051/ex1032finalindemnification.htm" TargetMode="External"/><Relationship Id="rId125" Type="http://schemas.openxmlformats.org/officeDocument/2006/relationships/hyperlink" Target="http://www.sec.gov/Archives/edgar/data/1593034/000159303416000056/ex1035endointernationalplc.htm" TargetMode="External"/><Relationship Id="rId126" Type="http://schemas.openxmlformats.org/officeDocument/2006/relationships/hyperlink" Target="http://www.sec.gov/Archives/edgar/data/1593034/000159303416000071/ex102jubilanthollisterstie.htm" TargetMode="External"/><Relationship Id="rId127" Type="http://schemas.openxmlformats.org/officeDocument/2006/relationships/hyperlink" Target="http://www.sec.gov/Archives/edgar/data/1593034/000159303419000011/ex101paulcampanelliemploye.htm" TargetMode="External"/><Relationship Id="rId128" Type="http://schemas.openxmlformats.org/officeDocument/2006/relationships/hyperlink" Target="http://www.sec.gov/Archives/edgar/data/1593034/000159303420000019/a10181ceoagreement.htm" TargetMode="External"/><Relationship Id="rId129" Type="http://schemas.openxmlformats.org/officeDocument/2006/relationships/hyperlink" Target="http://www.sec.gov/Archives/edgar/data/1593034/000159303420000047/ex103pbemploymentagree.htm" TargetMode="External"/><Relationship Id="rId132" Type="http://schemas.openxmlformats.org/officeDocument/2006/relationships/hyperlink" Target="http://www.sec.gov/Archives/edgar/data/1593034/000159303420000019/a1019cfoagreement.htm" TargetMode="External"/><Relationship Id="rId133" Type="http://schemas.openxmlformats.org/officeDocument/2006/relationships/hyperlink" Target="http://www.sec.gov/Archives/edgar/data/1593034/000159303420000090/ex102-malettaemploymen.htm" TargetMode="External"/><Relationship Id="rId134" Type="http://schemas.openxmlformats.org/officeDocument/2006/relationships/hyperlink" Target="http://www.sec.gov/Archives/edgar/data/1593034/000159303419000054/campanelli.htm" TargetMode="External"/><Relationship Id="rId135" Type="http://schemas.openxmlformats.org/officeDocument/2006/relationships/hyperlink" Target="http://www.sec.gov/Archives/edgar/data/1593034/000159303419000029/ex102bccashcontributio.htm" TargetMode="External"/><Relationship Id="rId136" Type="http://schemas.openxmlformats.org/officeDocument/2006/relationships/hyperlink" Target="http://www.sec.gov/Archives/edgar/data/1593034/000159303420000047/ex104pbcashcontributio.htm" TargetMode="External"/><Relationship Id="rId137" Type="http://schemas.openxmlformats.org/officeDocument/2006/relationships/hyperlink" Target="http://www.sec.gov/Archives/edgar/data/1593034/000159303420000019/ex1023mbcashcontributi.htm" TargetMode="External"/><Relationship Id="rId138" Type="http://schemas.openxmlformats.org/officeDocument/2006/relationships/hyperlink" Target="http://www.sec.gov/Archives/edgar/data/1593034/000159303420000019/ex1024mbletteragreement.htm" TargetMode="External"/><Relationship Id="rId139" Type="http://schemas.openxmlformats.org/officeDocument/2006/relationships/hyperlink" Target="http://www.sec.gov/Archives/edgar/data/1593034/000159303419000029/ex104mmcashcontributio.htm" TargetMode="External"/><Relationship Id="rId140" Type="http://schemas.openxmlformats.org/officeDocument/2006/relationships/hyperlink" Target="http://www.sec.gov/Archives/edgar/data/1593034/000159303419000029/ex103tccashcontributi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2021-02-26T10:07:29Z</dcterms:created>
  <dcterms:modified xsi:type="dcterms:W3CDTF">2021-02-26T10:07:29Z</dcterms:modified>
</cp:coreProperties>
</file>