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2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3" w:lineRule="exact"/>
        <w:rPr>
          <w:sz w:val="24"/>
          <w:szCs w:val="24"/>
          <w:color w:val="auto"/>
        </w:rPr>
      </w:pPr>
    </w:p>
    <w:p>
      <w:pPr>
        <w:ind w:left="1200" w:hanging="333"/>
        <w:spacing w:after="0"/>
        <w:tabs>
          <w:tab w:leader="none" w:pos="1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 w:lineRule="exact"/>
        <w:rPr>
          <w:rFonts w:ascii="MS PGothic" w:cs="MS PGothic" w:eastAsia="MS PGothic" w:hAnsi="MS PGothic"/>
          <w:sz w:val="16"/>
          <w:szCs w:val="16"/>
          <w:color w:val="auto"/>
        </w:rPr>
      </w:pPr>
    </w:p>
    <w:p>
      <w:pPr>
        <w:ind w:left="316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31" w:lineRule="exact"/>
        <w:rPr>
          <w:sz w:val="24"/>
          <w:szCs w:val="24"/>
          <w:color w:val="auto"/>
        </w:rPr>
      </w:pPr>
    </w:p>
    <w:p>
      <w:pPr>
        <w:ind w:left="1220" w:hanging="393"/>
        <w:spacing w:after="0"/>
        <w:tabs>
          <w:tab w:leader="none" w:pos="12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30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7340" w:type="dxa"/>
            <w:vAlign w:val="bottom"/>
          </w:tcPr>
          <w:p>
            <w:pPr>
              <w:jc w:val="center"/>
              <w:ind w:left="3800"/>
              <w:spacing w:after="0"/>
              <w:rPr>
                <w:sz w:val="20"/>
                <w:szCs w:val="20"/>
                <w:color w:val="auto"/>
              </w:rPr>
            </w:pPr>
            <w:r>
              <w:rPr>
                <w:rFonts w:ascii="Times New Roman" w:cs="Times New Roman" w:eastAsia="Times New Roman" w:hAnsi="Times New Roman"/>
                <w:sz w:val="20"/>
                <w:szCs w:val="20"/>
                <w:b w:val="1"/>
                <w:bCs w:val="1"/>
                <w:color w:val="auto"/>
                <w:w w:val="98"/>
              </w:rPr>
              <w:t>Commission File Number: 001-36326</w:t>
            </w:r>
          </w:p>
        </w:tc>
        <w:tc>
          <w:tcPr>
            <w:tcW w:w="3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7340" w:type="dxa"/>
            <w:vAlign w:val="bottom"/>
          </w:tcPr>
          <w:p>
            <w:pPr>
              <w:jc w:val="center"/>
              <w:ind w:left="378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tc>
        <w:tc>
          <w:tcPr>
            <w:tcW w:w="3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9"/>
        </w:trPr>
        <w:tc>
          <w:tcPr>
            <w:tcW w:w="7340" w:type="dxa"/>
            <w:vAlign w:val="bottom"/>
          </w:tcPr>
          <w:p>
            <w:pPr>
              <w:jc w:val="center"/>
              <w:ind w:left="3780"/>
              <w:spacing w:after="0" w:line="328" w:lineRule="exact"/>
              <w:rPr>
                <w:sz w:val="20"/>
                <w:szCs w:val="20"/>
                <w:color w:val="auto"/>
              </w:rPr>
            </w:pPr>
            <w:r>
              <w:rPr>
                <w:rFonts w:ascii="Times New Roman" w:cs="Times New Roman" w:eastAsia="Times New Roman" w:hAnsi="Times New Roman"/>
                <w:sz w:val="29"/>
                <w:szCs w:val="29"/>
                <w:b w:val="1"/>
                <w:bCs w:val="1"/>
                <w:color w:val="auto"/>
                <w:w w:val="99"/>
              </w:rPr>
              <w:t>Endo International plc</w:t>
            </w:r>
          </w:p>
        </w:tc>
        <w:tc>
          <w:tcPr>
            <w:tcW w:w="3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360" w:type="dxa"/>
            <w:vAlign w:val="bottom"/>
            <w:gridSpan w:val="2"/>
          </w:tcPr>
          <w:p>
            <w:pPr>
              <w:jc w:val="center"/>
              <w:ind w:left="7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7340" w:type="dxa"/>
            <w:vAlign w:val="bottom"/>
          </w:tcPr>
          <w:p>
            <w:pPr>
              <w:jc w:val="center"/>
              <w:ind w:left="378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tc>
        <w:tc>
          <w:tcPr>
            <w:tcW w:w="3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340" w:type="dxa"/>
            <w:vAlign w:val="bottom"/>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9"/>
              </w:rPr>
              <w:t>Ireland</w:t>
            </w:r>
          </w:p>
        </w:tc>
        <w:tc>
          <w:tcPr>
            <w:tcW w:w="3020" w:type="dxa"/>
            <w:vAlign w:val="bottom"/>
          </w:tcPr>
          <w:p>
            <w:pPr>
              <w:jc w:val="center"/>
              <w:ind w:right="604"/>
              <w:spacing w:after="0"/>
              <w:rPr>
                <w:sz w:val="20"/>
                <w:szCs w:val="20"/>
                <w:color w:val="auto"/>
              </w:rPr>
            </w:pPr>
            <w:r>
              <w:rPr>
                <w:rFonts w:ascii="Times New Roman" w:cs="Times New Roman" w:eastAsia="Times New Roman" w:hAnsi="Times New Roman"/>
                <w:sz w:val="14"/>
                <w:szCs w:val="14"/>
                <w:b w:val="1"/>
                <w:bCs w:val="1"/>
                <w:color w:val="auto"/>
              </w:rPr>
              <w:t>68-0683755</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40" w:type="dxa"/>
            <w:vAlign w:val="bottom"/>
          </w:tcPr>
          <w:p>
            <w:pPr>
              <w:jc w:val="center"/>
              <w:ind w:right="14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020" w:type="dxa"/>
            <w:vAlign w:val="bottom"/>
          </w:tcPr>
          <w:p>
            <w:pPr>
              <w:jc w:val="center"/>
              <w:ind w:right="564"/>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340" w:type="dxa"/>
            <w:vAlign w:val="bottom"/>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First Floor, Minerva House, Simmonscourt Road</w:t>
            </w:r>
          </w:p>
        </w:tc>
        <w:tc>
          <w:tcPr>
            <w:tcW w:w="3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Ballsbridge, Dublin 4,  Ireland</w:t>
            </w:r>
          </w:p>
        </w:tc>
        <w:tc>
          <w:tcPr>
            <w:tcW w:w="3020" w:type="dxa"/>
            <w:vAlign w:val="bottom"/>
          </w:tcPr>
          <w:p>
            <w:pPr>
              <w:jc w:val="center"/>
              <w:ind w:right="544"/>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jc w:val="center"/>
              <w:ind w:right="142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020" w:type="dxa"/>
            <w:vAlign w:val="bottom"/>
          </w:tcPr>
          <w:p>
            <w:pPr>
              <w:jc w:val="center"/>
              <w:ind w:right="544"/>
              <w:spacing w:after="0"/>
              <w:rPr>
                <w:sz w:val="20"/>
                <w:szCs w:val="20"/>
                <w:color w:val="auto"/>
              </w:rPr>
            </w:pPr>
            <w:r>
              <w:rPr>
                <w:rFonts w:ascii="Times New Roman" w:cs="Times New Roman" w:eastAsia="Times New Roman" w:hAnsi="Times New Roman"/>
                <w:sz w:val="14"/>
                <w:szCs w:val="14"/>
                <w:color w:val="auto"/>
              </w:rPr>
              <w:t>(Zip Code)</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7340" w:type="dxa"/>
            <w:vAlign w:val="bottom"/>
          </w:tcPr>
          <w:p>
            <w:pPr>
              <w:jc w:val="center"/>
              <w:ind w:left="3780"/>
              <w:spacing w:after="0"/>
              <w:rPr>
                <w:sz w:val="20"/>
                <w:szCs w:val="20"/>
                <w:color w:val="auto"/>
              </w:rPr>
            </w:pPr>
            <w:r>
              <w:rPr>
                <w:rFonts w:ascii="Times New Roman" w:cs="Times New Roman" w:eastAsia="Times New Roman" w:hAnsi="Times New Roman"/>
                <w:sz w:val="18"/>
                <w:szCs w:val="18"/>
                <w:b w:val="1"/>
                <w:bCs w:val="1"/>
                <w:color w:val="auto"/>
                <w:w w:val="98"/>
              </w:rPr>
              <w:t>011-353-1-268-2000</w:t>
            </w:r>
          </w:p>
        </w:tc>
        <w:tc>
          <w:tcPr>
            <w:tcW w:w="3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340" w:type="dxa"/>
            <w:vAlign w:val="bottom"/>
          </w:tcPr>
          <w:p>
            <w:pPr>
              <w:jc w:val="center"/>
              <w:ind w:left="37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0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w:t>
            </w: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62"/>
        </w:trPr>
        <w:tc>
          <w:tcPr>
            <w:tcW w:w="10360" w:type="dxa"/>
            <w:vAlign w:val="bottom"/>
            <w:gridSpan w:val="2"/>
          </w:tcPr>
          <w:p>
            <w:pPr>
              <w:spacing w:after="0" w:line="162" w:lineRule="exact"/>
              <w:rPr>
                <w:sz w:val="20"/>
                <w:szCs w:val="20"/>
                <w:color w:val="auto"/>
              </w:rPr>
            </w:pPr>
            <w:r>
              <w:rPr>
                <w:rFonts w:ascii="Times New Roman" w:cs="Times New Roman" w:eastAsia="Times New Roman" w:hAnsi="Times New Roman"/>
                <w:sz w:val="17"/>
                <w:szCs w:val="17"/>
                <w:color w:val="auto"/>
              </w:rPr>
              <w:t>1934 during the preceding 12 months (or for such shorter period that the registrant was required to file such reports), and (2) has been subject to such</w:t>
            </w:r>
          </w:p>
        </w:tc>
        <w:tc>
          <w:tcPr>
            <w:tcW w:w="5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2"/>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filing requirements for the past 90 days.</w:t>
            </w:r>
          </w:p>
        </w:tc>
        <w:tc>
          <w:tcPr>
            <w:tcW w:w="30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10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w:t>
            </w: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62"/>
        </w:trPr>
        <w:tc>
          <w:tcPr>
            <w:tcW w:w="10360" w:type="dxa"/>
            <w:vAlign w:val="bottom"/>
            <w:gridSpan w:val="2"/>
          </w:tcPr>
          <w:p>
            <w:pPr>
              <w:spacing w:after="0" w:line="162" w:lineRule="exact"/>
              <w:rPr>
                <w:sz w:val="20"/>
                <w:szCs w:val="20"/>
                <w:color w:val="auto"/>
              </w:rPr>
            </w:pPr>
            <w:r>
              <w:rPr>
                <w:rFonts w:ascii="Times New Roman" w:cs="Times New Roman" w:eastAsia="Times New Roman" w:hAnsi="Times New Roman"/>
                <w:sz w:val="17"/>
                <w:szCs w:val="17"/>
                <w:color w:val="auto"/>
              </w:rPr>
              <w:t>of Regulation S-T (§232.405 of this chapter) during the preceding 12 months (or for such shorter period that the registrant was required to submit</w:t>
            </w:r>
          </w:p>
        </w:tc>
        <w:tc>
          <w:tcPr>
            <w:tcW w:w="5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2"/>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such files).</w:t>
            </w:r>
          </w:p>
        </w:tc>
        <w:tc>
          <w:tcPr>
            <w:tcW w:w="302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9" w:lineRule="exact"/>
        <w:rPr>
          <w:sz w:val="24"/>
          <w:szCs w:val="24"/>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spacing w:after="0"/>
              <w:rPr>
                <w:sz w:val="23"/>
                <w:szCs w:val="23"/>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8"/>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2"/>
        </w:trPr>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revised financial accounting standards provided pursuant to Section 13(a) of the Exchange Act.</w:t>
            </w:r>
          </w:p>
        </w:tc>
        <w:tc>
          <w:tcPr>
            <w:tcW w:w="2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34"/>
        </w:trPr>
        <w:tc>
          <w:tcPr>
            <w:tcW w:w="9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pacing w:after="0" w:line="63" w:lineRule="exact"/>
        <w:rPr>
          <w:sz w:val="24"/>
          <w:szCs w:val="24"/>
          <w:color w:val="auto"/>
        </w:rPr>
      </w:pPr>
    </w:p>
    <w:tbl>
      <w:tblPr>
        <w:tblLayout w:type="fixed"/>
        <w:tblInd w:w="600"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000" w:type="dxa"/>
            <w:vAlign w:val="bottom"/>
          </w:tcPr>
          <w:p>
            <w:pPr>
              <w:spacing w:after="0"/>
              <w:rPr>
                <w:sz w:val="16"/>
                <w:szCs w:val="16"/>
                <w:color w:val="auto"/>
              </w:rPr>
            </w:pP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8"/>
              </w:rPr>
              <w:t>Trading symbol(s)</w:t>
            </w:r>
          </w:p>
        </w:tc>
        <w:tc>
          <w:tcPr>
            <w:tcW w:w="3700" w:type="dxa"/>
            <w:vAlign w:val="bottom"/>
            <w:gridSpan w:val="2"/>
          </w:tcPr>
          <w:p>
            <w:pPr>
              <w:jc w:val="center"/>
              <w:ind w:left="435"/>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5"/>
        </w:trPr>
        <w:tc>
          <w:tcPr>
            <w:tcW w:w="4340" w:type="dxa"/>
            <w:vAlign w:val="bottom"/>
            <w:gridSpan w:val="3"/>
          </w:tcPr>
          <w:p>
            <w:pPr>
              <w:jc w:val="center"/>
              <w:ind w:right="940"/>
              <w:spacing w:after="0"/>
              <w:rPr>
                <w:sz w:val="20"/>
                <w:szCs w:val="20"/>
                <w:color w:val="auto"/>
              </w:rPr>
            </w:pPr>
            <w:r>
              <w:rPr>
                <w:rFonts w:ascii="Times New Roman" w:cs="Times New Roman" w:eastAsia="Times New Roman" w:hAnsi="Times New Roman"/>
                <w:sz w:val="17"/>
                <w:szCs w:val="17"/>
                <w:color w:val="auto"/>
              </w:rPr>
              <w:t>Ordinary shares, nominal value $0.0001 per share</w:t>
            </w:r>
          </w:p>
        </w:tc>
        <w:tc>
          <w:tcPr>
            <w:tcW w:w="186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w w:val="99"/>
              </w:rPr>
              <w:t>ENDP</w:t>
            </w:r>
          </w:p>
        </w:tc>
        <w:tc>
          <w:tcPr>
            <w:tcW w:w="52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Global Select Market</w:t>
            </w:r>
          </w:p>
        </w:tc>
      </w:tr>
    </w:tbl>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Ordinary shares, nominal value $0.0001 per share outstanding as of October 30, 2020 was 230,292,329.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57"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998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ENDO INTERNATIONAL PLC</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880" w:type="dxa"/>
            <w:vAlign w:val="bottom"/>
          </w:tcPr>
          <w:p>
            <w:pPr>
              <w:spacing w:after="0"/>
              <w:rPr>
                <w:sz w:val="24"/>
                <w:szCs w:val="24"/>
                <w:color w:val="auto"/>
              </w:rPr>
            </w:pPr>
          </w:p>
        </w:tc>
        <w:tc>
          <w:tcPr>
            <w:tcW w:w="998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3"/>
        </w:trPr>
        <w:tc>
          <w:tcPr>
            <w:tcW w:w="880" w:type="dxa"/>
            <w:vAlign w:val="bottom"/>
          </w:tcPr>
          <w:p>
            <w:pPr>
              <w:spacing w:after="0"/>
              <w:rPr>
                <w:sz w:val="24"/>
                <w:szCs w:val="24"/>
                <w:color w:val="auto"/>
              </w:rPr>
            </w:pPr>
          </w:p>
        </w:tc>
        <w:tc>
          <w:tcPr>
            <w:tcW w:w="998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
        </w:trPr>
        <w:tc>
          <w:tcPr>
            <w:tcW w:w="108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860" w:type="dxa"/>
            <w:vAlign w:val="bottom"/>
            <w:gridSpan w:val="2"/>
          </w:tcPr>
          <w:p>
            <w:pPr>
              <w:ind w:left="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Forward-Looking Statements</w:t>
              </w:r>
            </w:hyperlink>
          </w:p>
        </w:tc>
        <w:tc>
          <w:tcPr>
            <w:tcW w:w="380" w:type="dxa"/>
            <w:vAlign w:val="bottom"/>
            <w:gridSpan w:val="2"/>
          </w:tcPr>
          <w:p>
            <w:pPr>
              <w:jc w:val="right"/>
              <w:ind w:right="20"/>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i</w:t>
              </w:r>
            </w:hyperlink>
          </w:p>
        </w:tc>
      </w:tr>
      <w:tr>
        <w:trPr>
          <w:trHeight w:val="495"/>
        </w:trPr>
        <w:tc>
          <w:tcPr>
            <w:tcW w:w="880" w:type="dxa"/>
            <w:vAlign w:val="bottom"/>
          </w:tcPr>
          <w:p>
            <w:pPr>
              <w:spacing w:after="0"/>
              <w:rPr>
                <w:sz w:val="24"/>
                <w:szCs w:val="24"/>
                <w:color w:val="auto"/>
              </w:rPr>
            </w:pPr>
          </w:p>
        </w:tc>
        <w:tc>
          <w:tcPr>
            <w:tcW w:w="9980" w:type="dxa"/>
            <w:vAlign w:val="bottom"/>
          </w:tcPr>
          <w:p>
            <w:pPr>
              <w:ind w:left="284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 FINANCIAL INFORMATION</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Item 1.</w:t>
              </w:r>
            </w:hyperlink>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Financial Statements</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Condensed Consolidated Balance Sheets (Unaudited)</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1</w:t>
              </w:r>
            </w:hyperlink>
          </w:p>
        </w:tc>
        <w:tc>
          <w:tcPr>
            <w:tcW w:w="2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Condensed Consolidated Statements of Operations (Unaudited)</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Condensed Consolidated Statements of Comprehensive Income (Loss) (Unaudited)</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3</w:t>
              </w:r>
            </w:hyperlink>
          </w:p>
        </w:tc>
        <w:tc>
          <w:tcPr>
            <w:tcW w:w="2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Condensed Consolidated Statements of Cash Flows (Unaudited)</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4</w:t>
              </w:r>
            </w:hyperlink>
          </w:p>
        </w:tc>
        <w:tc>
          <w:tcPr>
            <w:tcW w:w="20" w:type="dxa"/>
            <w:vAlign w:val="bottom"/>
          </w:tcPr>
          <w:p>
            <w:pPr>
              <w:spacing w:after="0"/>
              <w:rPr>
                <w:sz w:val="19"/>
                <w:szCs w:val="19"/>
                <w:color w:val="auto"/>
              </w:rPr>
            </w:pPr>
          </w:p>
        </w:tc>
      </w:tr>
      <w:tr>
        <w:trPr>
          <w:trHeight w:val="229"/>
        </w:trPr>
        <w:tc>
          <w:tcPr>
            <w:tcW w:w="880" w:type="dxa"/>
            <w:vAlign w:val="bottom"/>
          </w:tcPr>
          <w:p>
            <w:pPr>
              <w:spacing w:after="0"/>
              <w:rPr>
                <w:sz w:val="19"/>
                <w:szCs w:val="19"/>
                <w:color w:val="auto"/>
              </w:rPr>
            </w:pPr>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Notes to Condensed Consolidated Financial Statements (Unaudited)</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Item 2.</w:t>
              </w:r>
            </w:hyperlink>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39">
              <w:r>
                <w:rPr>
                  <w:rFonts w:ascii="Times New Roman" w:cs="Times New Roman" w:eastAsia="Times New Roman" w:hAnsi="Times New Roman"/>
                  <w:sz w:val="18"/>
                  <w:szCs w:val="18"/>
                  <w:u w:val="single" w:color="auto"/>
                  <w:color w:val="0000FF"/>
                </w:rPr>
                <w:t>36</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Item 3.</w:t>
              </w:r>
            </w:hyperlink>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Quantitative and Qualitative Disclosures About Market Risk</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49</w:t>
              </w:r>
            </w:hyperlink>
          </w:p>
        </w:tc>
        <w:tc>
          <w:tcPr>
            <w:tcW w:w="20" w:type="dxa"/>
            <w:vAlign w:val="bottom"/>
          </w:tcPr>
          <w:p>
            <w:pPr>
              <w:spacing w:after="0"/>
              <w:rPr>
                <w:sz w:val="19"/>
                <w:szCs w:val="19"/>
                <w:color w:val="auto"/>
              </w:rPr>
            </w:pPr>
          </w:p>
        </w:tc>
      </w:tr>
      <w:tr>
        <w:trPr>
          <w:trHeight w:val="234"/>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Item 4.</w:t>
              </w:r>
            </w:hyperlink>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Controls and Procedures</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53">
              <w:r>
                <w:rPr>
                  <w:rFonts w:ascii="Times New Roman" w:cs="Times New Roman" w:eastAsia="Times New Roman" w:hAnsi="Times New Roman"/>
                  <w:sz w:val="18"/>
                  <w:szCs w:val="18"/>
                  <w:u w:val="single" w:color="auto"/>
                  <w:color w:val="0000FF"/>
                </w:rPr>
                <w:t>50</w:t>
              </w:r>
            </w:hyperlink>
          </w:p>
        </w:tc>
        <w:tc>
          <w:tcPr>
            <w:tcW w:w="20" w:type="dxa"/>
            <w:vAlign w:val="bottom"/>
          </w:tcPr>
          <w:p>
            <w:pPr>
              <w:spacing w:after="0"/>
              <w:rPr>
                <w:sz w:val="20"/>
                <w:szCs w:val="20"/>
                <w:color w:val="auto"/>
              </w:rPr>
            </w:pPr>
          </w:p>
        </w:tc>
      </w:tr>
      <w:tr>
        <w:trPr>
          <w:trHeight w:val="495"/>
        </w:trPr>
        <w:tc>
          <w:tcPr>
            <w:tcW w:w="880" w:type="dxa"/>
            <w:vAlign w:val="bottom"/>
          </w:tcPr>
          <w:p>
            <w:pPr>
              <w:spacing w:after="0"/>
              <w:rPr>
                <w:sz w:val="24"/>
                <w:szCs w:val="24"/>
                <w:color w:val="auto"/>
              </w:rPr>
            </w:pPr>
          </w:p>
        </w:tc>
        <w:tc>
          <w:tcPr>
            <w:tcW w:w="9980" w:type="dxa"/>
            <w:vAlign w:val="bottom"/>
          </w:tcPr>
          <w:p>
            <w:pPr>
              <w:ind w:left="2980"/>
              <w:spacing w:after="0"/>
              <w:rPr>
                <w:rFonts w:ascii="Times New Roman" w:cs="Times New Roman" w:eastAsia="Times New Roman" w:hAnsi="Times New Roman"/>
                <w:sz w:val="18"/>
                <w:szCs w:val="18"/>
                <w:b w:val="1"/>
                <w:bCs w:val="1"/>
                <w:u w:val="single" w:color="auto"/>
                <w:color w:val="0000FF"/>
              </w:rPr>
            </w:pPr>
            <w:hyperlink w:anchor="page53">
              <w:r>
                <w:rPr>
                  <w:rFonts w:ascii="Times New Roman" w:cs="Times New Roman" w:eastAsia="Times New Roman" w:hAnsi="Times New Roman"/>
                  <w:sz w:val="18"/>
                  <w:szCs w:val="18"/>
                  <w:b w:val="1"/>
                  <w:bCs w:val="1"/>
                  <w:u w:val="single" w:color="auto"/>
                  <w:color w:val="0000FF"/>
                </w:rPr>
                <w:t>PART II. OTHER INFORMATION</w:t>
              </w:r>
            </w:hyperlink>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Item 1.</w:t>
              </w:r>
            </w:hyperlink>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Legal Proceedings</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51</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Item 1A.</w:t>
              </w:r>
            </w:hyperlink>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Risk Factors</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54">
              <w:r>
                <w:rPr>
                  <w:rFonts w:ascii="Times New Roman" w:cs="Times New Roman" w:eastAsia="Times New Roman" w:hAnsi="Times New Roman"/>
                  <w:sz w:val="18"/>
                  <w:szCs w:val="18"/>
                  <w:u w:val="single" w:color="auto"/>
                  <w:color w:val="0000FF"/>
                </w:rPr>
                <w:t>51</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2.</w:t>
              </w:r>
            </w:hyperlink>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Unregistered Sales of Equity Securities and Use of Proceeds</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53</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3.</w:t>
              </w:r>
            </w:hyperlink>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Defaults Upon Senior Securities</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53</w:t>
              </w:r>
            </w:hyperlink>
          </w:p>
        </w:tc>
        <w:tc>
          <w:tcPr>
            <w:tcW w:w="20" w:type="dxa"/>
            <w:vAlign w:val="bottom"/>
          </w:tcPr>
          <w:p>
            <w:pPr>
              <w:spacing w:after="0"/>
              <w:rPr>
                <w:sz w:val="19"/>
                <w:szCs w:val="19"/>
                <w:color w:val="auto"/>
              </w:rPr>
            </w:pPr>
          </w:p>
        </w:tc>
      </w:tr>
      <w:tr>
        <w:trPr>
          <w:trHeight w:val="229"/>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4.</w:t>
              </w:r>
            </w:hyperlink>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Mine Safety Disclosures</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53</w:t>
              </w:r>
            </w:hyperlink>
          </w:p>
        </w:tc>
        <w:tc>
          <w:tcPr>
            <w:tcW w:w="20" w:type="dxa"/>
            <w:vAlign w:val="bottom"/>
          </w:tcPr>
          <w:p>
            <w:pPr>
              <w:spacing w:after="0"/>
              <w:rPr>
                <w:sz w:val="19"/>
                <w:szCs w:val="19"/>
                <w:color w:val="auto"/>
              </w:rPr>
            </w:pPr>
          </w:p>
        </w:tc>
      </w:tr>
      <w:tr>
        <w:trPr>
          <w:trHeight w:val="230"/>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Item 5.</w:t>
              </w:r>
            </w:hyperlink>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Other Information</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56">
              <w:r>
                <w:rPr>
                  <w:rFonts w:ascii="Times New Roman" w:cs="Times New Roman" w:eastAsia="Times New Roman" w:hAnsi="Times New Roman"/>
                  <w:sz w:val="18"/>
                  <w:szCs w:val="18"/>
                  <w:u w:val="single" w:color="auto"/>
                  <w:color w:val="0000FF"/>
                </w:rPr>
                <w:t>53</w:t>
              </w:r>
            </w:hyperlink>
          </w:p>
        </w:tc>
        <w:tc>
          <w:tcPr>
            <w:tcW w:w="20" w:type="dxa"/>
            <w:vAlign w:val="bottom"/>
          </w:tcPr>
          <w:p>
            <w:pPr>
              <w:spacing w:after="0"/>
              <w:rPr>
                <w:sz w:val="19"/>
                <w:szCs w:val="19"/>
                <w:color w:val="auto"/>
              </w:rPr>
            </w:pPr>
          </w:p>
        </w:tc>
      </w:tr>
      <w:tr>
        <w:trPr>
          <w:trHeight w:val="234"/>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Item 6.</w:t>
              </w:r>
            </w:hyperlink>
          </w:p>
        </w:tc>
        <w:tc>
          <w:tcPr>
            <w:tcW w:w="9980" w:type="dxa"/>
            <w:vAlign w:val="bottom"/>
          </w:tcPr>
          <w:p>
            <w:pPr>
              <w:ind w:left="80"/>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Exhibits</w:t>
              </w:r>
            </w:hyperlink>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57">
              <w:r>
                <w:rPr>
                  <w:rFonts w:ascii="Times New Roman" w:cs="Times New Roman" w:eastAsia="Times New Roman" w:hAnsi="Times New Roman"/>
                  <w:sz w:val="18"/>
                  <w:szCs w:val="18"/>
                  <w:u w:val="single" w:color="auto"/>
                  <w:color w:val="0000FF"/>
                </w:rPr>
                <w:t>55</w:t>
              </w:r>
            </w:hyperlink>
          </w:p>
        </w:tc>
        <w:tc>
          <w:tcPr>
            <w:tcW w:w="20" w:type="dxa"/>
            <w:vAlign w:val="bottom"/>
          </w:tcPr>
          <w:p>
            <w:pPr>
              <w:spacing w:after="0"/>
              <w:rPr>
                <w:sz w:val="20"/>
                <w:szCs w:val="20"/>
                <w:color w:val="auto"/>
              </w:rPr>
            </w:pPr>
          </w:p>
        </w:tc>
      </w:tr>
      <w:tr>
        <w:trPr>
          <w:trHeight w:val="500"/>
        </w:trPr>
        <w:tc>
          <w:tcPr>
            <w:tcW w:w="880" w:type="dxa"/>
            <w:vAlign w:val="bottom"/>
          </w:tcPr>
          <w:p>
            <w:pPr>
              <w:ind w:left="20"/>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Signatures</w:t>
              </w:r>
            </w:hyperlink>
          </w:p>
        </w:tc>
        <w:tc>
          <w:tcPr>
            <w:tcW w:w="9980" w:type="dxa"/>
            <w:vAlign w:val="bottom"/>
          </w:tcPr>
          <w:p>
            <w:pPr>
              <w:spacing w:after="0"/>
              <w:rPr>
                <w:sz w:val="24"/>
                <w:szCs w:val="24"/>
                <w:color w:val="auto"/>
              </w:rPr>
            </w:pPr>
          </w:p>
        </w:tc>
        <w:tc>
          <w:tcPr>
            <w:tcW w:w="360" w:type="dxa"/>
            <w:vAlign w:val="bottom"/>
          </w:tcPr>
          <w:p>
            <w:pPr>
              <w:jc w:val="right"/>
              <w:spacing w:after="0"/>
              <w:rPr>
                <w:rFonts w:ascii="Times New Roman" w:cs="Times New Roman" w:eastAsia="Times New Roman" w:hAnsi="Times New Roman"/>
                <w:sz w:val="18"/>
                <w:szCs w:val="18"/>
                <w:u w:val="single" w:color="auto"/>
                <w:color w:val="0000FF"/>
              </w:rPr>
            </w:pPr>
            <w:hyperlink w:anchor="page58">
              <w:r>
                <w:rPr>
                  <w:rFonts w:ascii="Times New Roman" w:cs="Times New Roman" w:eastAsia="Times New Roman" w:hAnsi="Times New Roman"/>
                  <w:sz w:val="18"/>
                  <w:szCs w:val="18"/>
                  <w:u w:val="single" w:color="auto"/>
                  <w:color w:val="0000FF"/>
                </w:rPr>
                <w:t>56</w:t>
              </w:r>
            </w:hyperlink>
          </w:p>
        </w:tc>
        <w:tc>
          <w:tcPr>
            <w:tcW w:w="20" w:type="dxa"/>
            <w:vAlign w:val="bottom"/>
          </w:tcPr>
          <w:p>
            <w:pPr>
              <w:spacing w:after="0"/>
              <w:rPr>
                <w:sz w:val="24"/>
                <w:szCs w:val="24"/>
                <w:color w:val="auto"/>
              </w:rPr>
            </w:pPr>
          </w:p>
        </w:tc>
      </w:tr>
      <w:tr>
        <w:trPr>
          <w:trHeight w:val="1100"/>
        </w:trPr>
        <w:tc>
          <w:tcPr>
            <w:tcW w:w="88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486"/>
        <w:spacing w:after="0" w:line="251" w:lineRule="auto"/>
        <w:rPr>
          <w:sz w:val="20"/>
          <w:szCs w:val="20"/>
          <w:color w:val="auto"/>
        </w:rPr>
      </w:pPr>
      <w:r>
        <w:rPr>
          <w:rFonts w:ascii="Times New Roman" w:cs="Times New Roman" w:eastAsia="Times New Roman" w:hAnsi="Times New Roman"/>
          <w:sz w:val="18"/>
          <w:szCs w:val="18"/>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Forward-looking statements include, without limitation, any future financial results, future cost savings and future litigation relating to the Offer, the Merger (each, as defined below) and the ability to successfully complete such transactions, future financing activities, the impact of the novel strain of coronavirus referred to as COVID-19 on the health and welfare of our employees and on our business (including any response to COVID-19 such as anticipated return to historical purchasing decisions by customers, the economic impact of COVID-19, changes in consumer spending, decisions to engage in certain medical procedures, future governmental orders that could impact our operations and the ability of our manufacturing facilities and suppliers to fulfill their obligations to us), and any other statements that refer to Endo’s expected, estimated or anticipated future results. We have tried, whenever possible, to identify such statements by words such as “believe,” “expect,” “anticipate,” “intend,” “estimate,” “plan,” “project,” “forecast,” “will,” “may” or similar expressions. We have based these forward-looking statements on our current expectations, assumptions and projections about the growth of our business, our financial performance and the development of our industry. Because these statements reflect our current views concerning future events, these forward-looking statements involve risks and uncertainties including, without limitation, the risks and uncertainties inherent in the Offer and the Merger, including, among other things, regarding how many of BioSpecifics’ (as defined below) stockholders will tender their shares in the Offer, the possibility that competing offers will be made, the ability to obtain requisite regulatory approvals relating to the acquisition, the ability to satisfy the conditions to the closing of the Offer and the Merger, the expected timing of the Offer and the Merger, the risk of litigation relating to the transaction, including resulting expense or delay, difficulties or unanticipated expenses in connection with integrating BioSpecifics’ operations into the Company’s and the possibility that anticipated synergies and other benefits of the transaction will not be realized in the amounts anticipated within the expected timeframe or at all, the risks related to the impact of COVID-19 (such as, without limitation, the scope and duration of the pandemic and the resulting economic crisis and levels of unemployment, governmental actions and restrictive measures implemented in response, material delays and cancellations of certain medical procedures, potential manufacturing and supply chain disruptions and other potential impacts to our business as a result of COVID-19) and the other risks and uncertainties more fully described in our annual, quarterly and other reports that we file with the Securities and Exchange Commission (SEC), including this report. 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Additionally, the prolonged impact of COVID-19 could heighten the impact of one or more of such risk factors.</w:t>
      </w:r>
    </w:p>
    <w:p>
      <w:pPr>
        <w:spacing w:after="0" w:line="96"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Also note that, in Part I, Item 1A of the Annual Report on Form 10-K for the year ended December 31, 2019 filed with the SEC on February 26, 2020 (the Annual Report); in Part II, Item 1A of the Quarterly Report on Form 10-Q for the quarterly period ended March 31, 2020 filed with the SEC on May 7, 2020 (the First Quarter 2020 Form 10-Q) and this report; and as otherwise enumerated herein or therein,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 except share and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4"/>
        </w:trPr>
        <w:tc>
          <w:tcPr>
            <w:tcW w:w="8400" w:type="dxa"/>
            <w:vAlign w:val="bottom"/>
            <w:tcBorders>
              <w:top w:val="single" w:sz="8" w:color="CCEEFF"/>
            </w:tcBorders>
            <w:shd w:val="clear" w:color="auto" w:fill="CCEEFF"/>
          </w:tcPr>
          <w:p>
            <w:pPr>
              <w:ind w:left="3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1,454,531</w:t>
            </w:r>
          </w:p>
        </w:tc>
        <w:tc>
          <w:tcPr>
            <w:tcW w:w="0" w:type="dxa"/>
            <w:vAlign w:val="bottom"/>
          </w:tcPr>
          <w:p>
            <w:pPr>
              <w:spacing w:after="0"/>
              <w:rPr>
                <w:sz w:val="1"/>
                <w:szCs w:val="1"/>
                <w:color w:val="auto"/>
              </w:rPr>
            </w:pP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247,457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467,953</w:t>
            </w:r>
          </w:p>
        </w:tc>
        <w:tc>
          <w:tcPr>
            <w:tcW w:w="0" w:type="dxa"/>
            <w:vAlign w:val="bottom"/>
          </w:tcPr>
          <w:p>
            <w:pPr>
              <w:spacing w:after="0"/>
              <w:rPr>
                <w:sz w:val="1"/>
                <w:szCs w:val="1"/>
                <w:color w:val="auto"/>
              </w:rPr>
            </w:pPr>
          </w:p>
        </w:tc>
      </w:tr>
      <w:tr>
        <w:trPr>
          <w:trHeight w:val="229"/>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327,865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47,567</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2,802,820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2,586,218</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504,865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51,700</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3,595,184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2,178,862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2,571,267</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78,101</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9,165,243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9,389,527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0" w:type="dxa"/>
            <w:vAlign w:val="bottom"/>
            <w:shd w:val="clear" w:color="auto" w:fill="CCEEFF"/>
          </w:tcPr>
          <w:p>
            <w:pPr>
              <w:ind w:left="22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899,949</w:t>
            </w:r>
          </w:p>
        </w:tc>
        <w:tc>
          <w:tcPr>
            <w:tcW w:w="0" w:type="dxa"/>
            <w:vAlign w:val="bottom"/>
          </w:tcPr>
          <w:p>
            <w:pPr>
              <w:spacing w:after="0"/>
              <w:rPr>
                <w:sz w:val="1"/>
                <w:szCs w:val="1"/>
                <w:color w:val="auto"/>
              </w:rPr>
            </w:pP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legal settlement accrual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513,005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0" w:type="dxa"/>
            <w:vAlign w:val="bottom"/>
          </w:tcPr>
          <w:p>
            <w:pPr>
              <w:spacing w:after="0"/>
              <w:rPr>
                <w:sz w:val="1"/>
                <w:szCs w:val="1"/>
                <w:color w:val="auto"/>
              </w:rPr>
            </w:pP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1,460,289</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31,703</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8,286,351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8,359,899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48,299</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355,881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DEFICIT: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Euro deferred shares, $0.01 par value; 4,000,000 shares authorized and issued at both September 30, 2020 and</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2019</w:t>
            </w: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Ordinary shares, $0.0001 par value; 1,000,000,000 shares authorized; 230,288,796 and 226,802,609 shares issued</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at September 30, 2020 and December 31, 2019, respectively</w:t>
            </w: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8,930,209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8,904,692</w:t>
            </w:r>
          </w:p>
        </w:tc>
        <w:tc>
          <w:tcPr>
            <w:tcW w:w="0" w:type="dxa"/>
            <w:vAlign w:val="bottom"/>
          </w:tcPr>
          <w:p>
            <w:pPr>
              <w:spacing w:after="0"/>
              <w:rPr>
                <w:sz w:val="1"/>
                <w:szCs w:val="1"/>
                <w:color w:val="auto"/>
              </w:rPr>
            </w:pP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(9,487,613)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(9,552,214)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(219,090)</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(782,482)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(866,544)</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9,389,527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and shares in thousands,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2,149,564</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1,169,282</w:t>
            </w: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471,749</w:t>
            </w:r>
          </w:p>
        </w:tc>
      </w:tr>
      <w:tr>
        <w:trPr>
          <w:trHeight w:val="23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96,353</w:t>
            </w: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r>
      <w:tr>
        <w:trPr>
          <w:trHeight w:val="23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258,652</w:t>
            </w: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Acquisition-related and integration items,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(26,983)</w:t>
            </w: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404,387</w:t>
            </w:r>
          </w:p>
        </w:tc>
      </w:tr>
      <w:tr>
        <w:trPr>
          <w:trHeight w:val="23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(119,828)</w:t>
            </w: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(120,363)</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31,732</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106,217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(152,095)</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 (NOTE 3)</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(51,898)</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64,601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(203,993)</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PER SHARE—BASIC:</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2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PER SHARE—DILUTED:</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3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2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225,804</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225,804</w:t>
            </w: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64,601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(203,993)</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unrealized gain (loss) on foreign currency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8"/>
              </w:rPr>
              <w:t>(6,058)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w:t>
            </w:r>
          </w:p>
        </w:tc>
      </w:tr>
      <w:tr>
        <w:trPr>
          <w:trHeight w:val="223"/>
        </w:trPr>
        <w:tc>
          <w:tcPr>
            <w:tcW w:w="5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8"/>
              </w:rPr>
              <w:t>(6,058)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58,543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(197,383)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(203,993)</w:t>
            </w: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468,409</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48,909</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(26,983)</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(119,828)</w:t>
            </w: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258,652</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business and other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r>
      <w:tr>
        <w:trPr>
          <w:trHeight w:val="229"/>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assets and liabilities which (used) provided cash:</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58,630</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(32,761)</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15,577</w:t>
            </w: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(378,547)</w:t>
            </w:r>
          </w:p>
        </w:tc>
      </w:tr>
      <w:tr>
        <w:trPr>
          <w:trHeight w:val="22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payable/receivable, net</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22,933</w:t>
            </w:r>
          </w:p>
        </w:tc>
      </w:tr>
      <w:tr>
        <w:trPr>
          <w:trHeight w:val="223"/>
        </w:trPr>
        <w:tc>
          <w:tcPr>
            <w:tcW w:w="8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119,244</w:t>
            </w: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 excluding capitalized interest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(47,812)</w:t>
            </w: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interest payments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acquisition costs and license fees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sale of business and other assets,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23"/>
        </w:trPr>
        <w:tc>
          <w:tcPr>
            <w:tcW w:w="84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(45,327)</w:t>
            </w:r>
          </w:p>
        </w:tc>
      </w:tr>
      <w:tr>
        <w:trPr>
          <w:trHeight w:val="723"/>
        </w:trPr>
        <w:tc>
          <w:tcPr>
            <w:tcW w:w="84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8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1"/>
        </w:trPr>
        <w:tc>
          <w:tcPr>
            <w:tcW w:w="8400" w:type="dxa"/>
            <w:vAlign w:val="bottom"/>
          </w:tcPr>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8"/>
        </w:trPr>
        <w:tc>
          <w:tcPr>
            <w:tcW w:w="8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8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notes, net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1,483,125</w:t>
            </w:r>
          </w:p>
        </w:tc>
        <w:tc>
          <w:tcPr>
            <w:tcW w:w="0" w:type="dxa"/>
            <w:vAlign w:val="bottom"/>
          </w:tcPr>
          <w:p>
            <w:pPr>
              <w:spacing w:after="0"/>
              <w:rPr>
                <w:sz w:val="1"/>
                <w:szCs w:val="1"/>
                <w:color w:val="auto"/>
              </w:rPr>
            </w:pP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Repayments of notes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(1,501,788)</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term loans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(25,614)</w:t>
            </w:r>
          </w:p>
        </w:tc>
        <w:tc>
          <w:tcPr>
            <w:tcW w:w="0" w:type="dxa"/>
            <w:vAlign w:val="bottom"/>
          </w:tcPr>
          <w:p>
            <w:pPr>
              <w:spacing w:after="0"/>
              <w:rPr>
                <w:sz w:val="1"/>
                <w:szCs w:val="1"/>
                <w:color w:val="auto"/>
              </w:rPr>
            </w:pP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draw of revolving debt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other indebtedness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0" w:type="dxa"/>
            <w:vAlign w:val="bottom"/>
          </w:tcPr>
          <w:p>
            <w:pPr>
              <w:spacing w:after="0"/>
              <w:rPr>
                <w:sz w:val="1"/>
                <w:szCs w:val="1"/>
                <w:color w:val="auto"/>
              </w:rPr>
            </w:pPr>
          </w:p>
        </w:tc>
      </w:tr>
      <w:tr>
        <w:trPr>
          <w:trHeight w:val="229"/>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for debt issuance and extinguishment costs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for contingent consideration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0" w:type="dxa"/>
            <w:vAlign w:val="bottom"/>
          </w:tcPr>
          <w:p>
            <w:pPr>
              <w:spacing w:after="0"/>
              <w:rPr>
                <w:sz w:val="1"/>
                <w:szCs w:val="1"/>
                <w:color w:val="auto"/>
              </w:rPr>
            </w:pPr>
          </w:p>
        </w:tc>
      </w:tr>
      <w:tr>
        <w:trPr>
          <w:trHeight w:val="229"/>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tax withholding for restricted shares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(98,357)</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219,564</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155"/>
        </w:trPr>
        <w:tc>
          <w:tcPr>
            <w:tcW w:w="84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INCREASE IN CASH, CASH EQUIVALENTS, RESTRICTED CASH AND RESTRICTED CASH</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140,398</w:t>
            </w:r>
          </w:p>
        </w:tc>
        <w:tc>
          <w:tcPr>
            <w:tcW w:w="12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294,261</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EQUIVALENTS</w:t>
            </w:r>
          </w:p>
        </w:tc>
        <w:tc>
          <w:tcPr>
            <w:tcW w:w="2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4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w:t>
            </w: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1,720,388</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1,476,837</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84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CASH EQUIVALENTS, RESTRICTED CASH AND RESTRICTED CASH EQUIVALENTS, END OF</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1,860,786</w:t>
            </w:r>
          </w:p>
        </w:tc>
        <w:tc>
          <w:tcPr>
            <w:tcW w:w="12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1,771,098</w:t>
            </w:r>
          </w:p>
        </w:tc>
        <w:tc>
          <w:tcPr>
            <w:tcW w:w="0" w:type="dxa"/>
            <w:vAlign w:val="bottom"/>
          </w:tcPr>
          <w:p>
            <w:pPr>
              <w:spacing w:after="0"/>
              <w:rPr>
                <w:sz w:val="1"/>
                <w:szCs w:val="1"/>
                <w:color w:val="auto"/>
              </w:rPr>
            </w:pPr>
          </w:p>
        </w:tc>
      </w:tr>
      <w:tr>
        <w:trPr>
          <w:trHeight w:val="208"/>
        </w:trPr>
        <w:tc>
          <w:tcPr>
            <w:tcW w:w="84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PERIOD</w:t>
            </w:r>
          </w:p>
        </w:tc>
        <w:tc>
          <w:tcPr>
            <w:tcW w:w="2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INFORMATION:</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into Qualified Settlement Funds for mesh legal settlements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185,745</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out of Qualified Settlement Funds for mesh legal settlements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266,958</w:t>
            </w:r>
          </w:p>
        </w:tc>
        <w:tc>
          <w:tcPr>
            <w:tcW w:w="0" w:type="dxa"/>
            <w:vAlign w:val="bottom"/>
          </w:tcPr>
          <w:p>
            <w:pPr>
              <w:spacing w:after="0"/>
              <w:rPr>
                <w:sz w:val="1"/>
                <w:szCs w:val="1"/>
                <w:color w:val="auto"/>
              </w:rPr>
            </w:pPr>
          </w:p>
        </w:tc>
      </w:tr>
      <w:tr>
        <w:trPr>
          <w:trHeight w:val="234"/>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cash distributions for mesh legal settlements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2020</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6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Endo International plc and its subsidiaries have been prepared in accordance with United States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September 30, 2020 and the results of its operations and its cash flows for the periods presented. Operating results for the three and nine months ended September 30, 2020 are not necessarily indicative of the results that may be expected for the year ending December 31, 2020. The year-end Condensed Consolidated Balance Sheet data as of December 31, 2019 was derived from audited financial statements but does not include all disclosures required by U.S. GAAP.</w:t>
      </w:r>
    </w:p>
    <w:p>
      <w:pPr>
        <w:spacing w:after="0" w:line="80"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our Consolidated Financial Statements and accompanying notes included in the Annual Report.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us to make estimates that affect the amounts and disclosures in the Condensed Consolidated Financial Statements, including the notes thereto, and elsewhere in this report.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Actual results may differ significantly from our estimates, including as a result of COVID-19.</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Added or Updated since December 31, 2019</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Significant changes to our significant accounting policies since December 31, 2019 are detailed below. For additional discussion of the Company’s significant accounting policies, see Note 2. Summary of Significant Accounting Policies in the Consolidated Financial Statements, included in Part IV, Item 15 of the Annual Report.</w:t>
      </w:r>
    </w:p>
    <w:p>
      <w:pPr>
        <w:spacing w:after="0" w:line="64"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The Company adopted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Accounting Standards Codification (ASC) Topic 326, Financial Instruments-Credit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(ASC 326)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January 1, 2020. For further discussion of the adoption, refer to the “Recent Accounting Pronouncements Adopted or Otherwise Effective as of September 30, 2020” section below. Subsequent to the adoption of ASC 326, our accounts receivable balance is stated at amortized cost less an allowance for expected credit losses. In addition, our accounts receivable balance is reduced by certain sales deduction reserves where we have the right of offset with the customer. We generally do not require collateral.</w:t>
      </w:r>
    </w:p>
    <w:p>
      <w:pPr>
        <w:spacing w:after="0" w:line="71" w:lineRule="exact"/>
        <w:rPr>
          <w:sz w:val="20"/>
          <w:szCs w:val="20"/>
          <w:color w:val="auto"/>
        </w:rPr>
      </w:pPr>
    </w:p>
    <w:p>
      <w:pPr>
        <w:ind w:right="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Concentrations of Credit Risk and Credit Losses. </w:t>
      </w:r>
      <w:r>
        <w:rPr>
          <w:rFonts w:ascii="Times New Roman" w:cs="Times New Roman" w:eastAsia="Times New Roman" w:hAnsi="Times New Roman"/>
          <w:sz w:val="18"/>
          <w:szCs w:val="18"/>
          <w:color w:val="auto"/>
        </w:rPr>
        <w:t>Financial instruments that potentially subject us to significant concentrations of credit risk consist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of cash equivalents, restricted cash equivalents and accounts receivable. From time to time, we invest our excess cash in high-quality, liquid money market instruments maintained by major banks and financial institutions. We have not experienced any losses on our cash equivalents.</w:t>
      </w:r>
    </w:p>
    <w:p>
      <w:pPr>
        <w:spacing w:after="0" w:line="67"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With respect to our accounts receivable, we have no history of significant losses. Approximately 90% and 88% of our gross trade accounts receivable balances represent amounts due from three customers (Cardinal Health, Inc., McKesson Corporation and AmerisourceBergen Corporation) at September 30, 2020 and December 31, 2019, respectively. We perform ongoing credit evaluations of these and our other customers based on information available to us. We consider these and other factors, including changes in the composition and aging of our accounts receivable, in developing our allowance for expected credit losses. The estimated allowance was not material to the Company’s Condensed Consolidated Financial Statements at September 30, 2020 or December 31, 2019, nor were the changes to the allowance during any of the periods presented.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do not currently expect our current or future exposures to credit losses to have a significant impact on us. However, our customers’ ability to pay us on a timely basis, or at all, could be affected by factors specific to their respective businesses and/or by economic conditions, including those related to the COVID-19 pandemic, the extent of which cannot be fully predicted.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Adopted or Otherwise Effective as of September 30, 2020</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on Financial Instruments </w:t>
      </w:r>
      <w:r>
        <w:rPr>
          <w:rFonts w:ascii="Times New Roman" w:cs="Times New Roman" w:eastAsia="Times New Roman" w:hAnsi="Times New Roman"/>
          <w:sz w:val="18"/>
          <w:szCs w:val="18"/>
          <w:color w:val="auto"/>
        </w:rPr>
        <w:t>(ASU 2016-13). ASU 2016-13, together with a series of subsequently-issued related ASUs, has been codified in ASC 326.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326 establishes new requirements for companies to estimate expected credit losses when measuring certain financial assets, including accounts receivable. The Company adopted ASC 326 using a modified retrospective approach with an effective date of January 1, 2020. The adoption of ASC 326 did not have a material impact on the Company’s Condensed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Astora</w:t>
      </w:r>
    </w:p>
    <w:p>
      <w:pPr>
        <w:spacing w:after="0" w:line="121"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The operating results of the Company’s Astora business, which the Company’s board of directors (the Board) resolved to wind-down in 2016, are reported as Discontinued operations, net of tax in the Condensed Consolidated Statements of Operations for all periods presented. The following table provides the operating results of Astora Discontinued operations, net of tax, for the three and nine months ended September 30, 2020 and 2019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30,400</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(51,898)</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(51,898)</w:t>
            </w:r>
          </w:p>
        </w:tc>
      </w:tr>
    </w:tbl>
    <w:p>
      <w:pPr>
        <w:spacing w:after="0" w:line="8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Loss from discontinued operations before income taxes includes Litigation-related and other contingencies, net, mesh-related legal defense costs and certain other items.</w:t>
      </w:r>
    </w:p>
    <w:p>
      <w:pPr>
        <w:spacing w:after="0" w:line="54"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cash flows from discontinued operating activities related to Astora included the impact of net losses of $41.6 million and $51.9 million for the nine months ended September 30, 2020 and 2019, respectively, and the impact of cash activity related to vaginal mesh cases. There were no material net cash flows related to Astora discontinued investing activities during the nine months ended September 30, 2020 or 2019. There was no depreciation or amortization during the nine months ended September 30, 2020 or 2019 related to Astora.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w:t>
      </w:r>
    </w:p>
    <w:p>
      <w:pPr>
        <w:spacing w:after="0" w:line="119"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color w:val="auto"/>
        </w:rPr>
        <w:t xml:space="preserve">Restructuring charges related to nonretirement postemployment benefits that fall under </w:t>
      </w:r>
      <w:r>
        <w:rPr>
          <w:rFonts w:ascii="Times New Roman" w:cs="Times New Roman" w:eastAsia="Times New Roman" w:hAnsi="Times New Roman"/>
          <w:sz w:val="18"/>
          <w:szCs w:val="18"/>
          <w:i w:val="1"/>
          <w:iCs w:val="1"/>
          <w:color w:val="auto"/>
        </w:rPr>
        <w:t>Accounting Standards Codification Topic 712,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—Nonretirement Postemployment Benefits </w:t>
      </w:r>
      <w:r>
        <w:rPr>
          <w:rFonts w:ascii="Times New Roman" w:cs="Times New Roman" w:eastAsia="Times New Roman" w:hAnsi="Times New Roman"/>
          <w:sz w:val="18"/>
          <w:szCs w:val="18"/>
          <w:color w:val="auto"/>
        </w:rPr>
        <w:t>(ASC 712) are recognized when the severance liability is determined to be probable of being paid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reasonably estimable. One-time benefits related to restructurings, if any, are recognized in accordance with </w:t>
      </w:r>
      <w:r>
        <w:rPr>
          <w:rFonts w:ascii="Times New Roman" w:cs="Times New Roman" w:eastAsia="Times New Roman" w:hAnsi="Times New Roman"/>
          <w:sz w:val="18"/>
          <w:szCs w:val="18"/>
          <w:i w:val="1"/>
          <w:iCs w:val="1"/>
          <w:color w:val="auto"/>
        </w:rPr>
        <w:t>Accounting Standards Codification Topic 420,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Exit or Disposal Cost Obligations </w:t>
      </w:r>
      <w:r>
        <w:rPr>
          <w:rFonts w:ascii="Times New Roman" w:cs="Times New Roman" w:eastAsia="Times New Roman" w:hAnsi="Times New Roman"/>
          <w:sz w:val="18"/>
          <w:szCs w:val="18"/>
          <w:color w:val="auto"/>
        </w:rPr>
        <w:t>(ASC 420) when the programs are approved, the affected employees are identified, the terms of the arrangement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it is determined changes to the plan are unlikely to occur and the arrangements are communicated to employees. Other restructuring costs are generally expensed as incurred.</w:t>
      </w:r>
    </w:p>
    <w:p>
      <w:pPr>
        <w:spacing w:after="0" w:line="76"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Set forth below are disclosures relating to restructuring initiatives that resulted in material expenses or cash expenditures during the three- or nine-month periods ended September 30, 2020 and 2019 or had material restructuring liabilities at either September 30, 2020 or December 31,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Restructuring Initiative</w:t>
      </w:r>
    </w:p>
    <w:p>
      <w:pPr>
        <w:spacing w:after="0" w:line="121"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color w:val="auto"/>
        </w:rPr>
        <w:t>On November 5, 2020, the Company announced the initiation of several strategic actions to further optimize the Company’s operations and increase overall efficiency (the 2020 Restructuring Initiative). These actions are expected to generate significant cost savings that will be reinvested, among other things, to support the Company’s key strategic priority to expand and enhance its product portfolio. These actions include the following:</w:t>
      </w:r>
    </w:p>
    <w:p>
      <w:pPr>
        <w:spacing w:after="0" w:line="1" w:lineRule="exact"/>
        <w:rPr>
          <w:sz w:val="20"/>
          <w:szCs w:val="20"/>
          <w:color w:val="auto"/>
        </w:rPr>
      </w:pPr>
    </w:p>
    <w:p>
      <w:pPr>
        <w:ind w:left="900" w:right="20" w:hanging="244"/>
        <w:spacing w:after="0" w:line="253" w:lineRule="auto"/>
        <w:tabs>
          <w:tab w:leader="none" w:pos="8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Company’s generic retail business cost structure by exiting manufacturing sites in Irvine, California and Chestnut Ridge, New York, as well as active pharmaceutical ingredient manufacturing and bioequivalence study sites in India. The sites will be exited in a phased approach that is expected to be completed in the second half of 2022. Certain products currently manufactured at the Irvine and Chestnut Ridge sites are expected to be transferred to other internal and external sites within the Company’s manufacturing network.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900" w:right="160" w:hanging="244"/>
        <w:spacing w:after="0" w:line="261" w:lineRule="auto"/>
        <w:tabs>
          <w:tab w:leader="none" w:pos="8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operating flexibility and reducing general and administrative costs by transferring certain transaction processing activities to third-party global business process service providers.</w:t>
      </w:r>
    </w:p>
    <w:p>
      <w:pPr>
        <w:ind w:left="900" w:right="100" w:hanging="244"/>
        <w:spacing w:after="0" w:line="260" w:lineRule="auto"/>
        <w:tabs>
          <w:tab w:leader="none" w:pos="8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organizational effectiveness by further integrating the Company’s commercial, operations and research and development functions, respectively, to support the Company’s key strategic priorities.</w:t>
      </w:r>
    </w:p>
    <w:p>
      <w:pPr>
        <w:spacing w:after="0" w:line="73" w:lineRule="exact"/>
        <w:rPr>
          <w:sz w:val="20"/>
          <w:szCs w:val="20"/>
          <w:color w:val="auto"/>
        </w:rPr>
      </w:pPr>
    </w:p>
    <w:p>
      <w:pPr>
        <w:ind w:right="520" w:firstLine="486"/>
        <w:spacing w:after="0" w:line="276" w:lineRule="auto"/>
        <w:rPr>
          <w:sz w:val="20"/>
          <w:szCs w:val="20"/>
          <w:color w:val="auto"/>
        </w:rPr>
      </w:pPr>
      <w:r>
        <w:rPr>
          <w:rFonts w:ascii="Times New Roman" w:cs="Times New Roman" w:eastAsia="Times New Roman" w:hAnsi="Times New Roman"/>
          <w:sz w:val="17"/>
          <w:szCs w:val="17"/>
          <w:color w:val="auto"/>
        </w:rPr>
        <w:t>As a result of the 2020 Restructuring Initiative, the Company’s global workforce is expected to be reduced by approximately 560 net full-time positions. The Company expects to realize annualized pre-tax cash savings (without giving effect to the costs described below) of approximately</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$85 million to $95 million by the first half of 2023, primarily related to reductions in Cost of revenues of approximately $65 million to $70 million and other expenses, including Selling, general and administrative and Research and development expenses, of approximately $20 million to $25 million.</w:t>
      </w:r>
    </w:p>
    <w:p>
      <w:pPr>
        <w:spacing w:after="0" w:line="73"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As a result of the 2020 Restructuring Initiative, the Company expects to incur total pre-tax restructuring-related expenses of approximately $163 million to $183 million, of which approximately $125 million to $140 million relates to the Generic Pharmaceuticals segment, with the remaining amounts relating to our other segments and certain corporate unallocated costs. These estimated restructuring charges consist of accelerated depreciation charges of approximately $56 million to $66 million, asset impairment charges of approximately $7 million, employee separation, continuity and other benefit-related costs of approximately $85 million to $90 million and certain other restructuring costs of approximately $15 million to $20 million. Cash outlays associated with the 2020 Restructuring Initiative are expected to be approximately $100 million to $110 million and consist primarily of employee separation, continuity and other benefit-related costs and certain other restructuring costs. The Company anticipates these actions will be substantially completed by the end of 2022, with substantially all cash payments made by then.</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2020 Restructuring Initiative, the Company incurred the following pre-tax net charges during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(in thousands):</w:t>
      </w:r>
    </w:p>
    <w:p>
      <w:pPr>
        <w:sectPr>
          <w:pgSz w:w="11900" w:h="16838" w:orient="portrait"/>
          <w:cols w:equalWidth="0" w:num="1">
            <w:col w:w="11240"/>
          </w:cols>
          <w:pgMar w:left="320" w:top="114" w:right="339" w:bottom="1440" w:gutter="0" w:footer="0" w:header="0"/>
        </w:sect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Accelerated depreciation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separation, continuity and other benefit-related costs (1)</w:t>
      </w:r>
    </w:p>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2020, all employee-related costs have been recognized in accordance with ASC 712.</w:t>
      </w:r>
    </w:p>
    <w:p>
      <w:pPr>
        <w:spacing w:after="0" w:line="20" w:lineRule="exact"/>
        <w:rPr>
          <w:sz w:val="20"/>
          <w:szCs w:val="20"/>
          <w:color w:val="auto"/>
        </w:rPr>
      </w:pPr>
      <w:r>
        <w:rPr>
          <w:sz w:val="20"/>
          <w:szCs w:val="20"/>
          <w:color w:val="auto"/>
        </w:rPr>
        <w:br w:type="column"/>
      </w:r>
    </w:p>
    <w:p>
      <w:pPr>
        <w:ind w:left="17"/>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57"/>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0" w:lineRule="exact"/>
        <w:rPr>
          <w:sz w:val="20"/>
          <w:szCs w:val="20"/>
          <w:color w:val="auto"/>
        </w:rPr>
      </w:pPr>
    </w:p>
    <w:p>
      <w:pPr>
        <w:ind w:left="877" w:hanging="877"/>
        <w:spacing w:after="0"/>
        <w:tabs>
          <w:tab w:leader="none" w:pos="8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6,291</w:t>
      </w:r>
    </w:p>
    <w:p>
      <w:pPr>
        <w:spacing w:after="0" w:line="27" w:lineRule="exact"/>
        <w:rPr>
          <w:rFonts w:ascii="Times New Roman" w:cs="Times New Roman" w:eastAsia="Times New Roman" w:hAnsi="Times New Roman"/>
          <w:sz w:val="18"/>
          <w:szCs w:val="18"/>
          <w:color w:val="auto"/>
        </w:rPr>
      </w:pPr>
    </w:p>
    <w:p>
      <w:pPr>
        <w:ind w:left="87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7,391</w:t>
      </w:r>
    </w:p>
    <w:p>
      <w:pPr>
        <w:spacing w:after="0" w:line="23" w:lineRule="exact"/>
        <w:rPr>
          <w:sz w:val="20"/>
          <w:szCs w:val="20"/>
          <w:color w:val="auto"/>
        </w:rPr>
      </w:pPr>
    </w:p>
    <w:p>
      <w:pPr>
        <w:ind w:left="777"/>
        <w:spacing w:after="0"/>
        <w:rPr>
          <w:sz w:val="20"/>
          <w:szCs w:val="20"/>
          <w:color w:val="auto"/>
        </w:rPr>
      </w:pPr>
      <w:r>
        <w:rPr>
          <w:rFonts w:ascii="Times New Roman" w:cs="Times New Roman" w:eastAsia="Times New Roman" w:hAnsi="Times New Roman"/>
          <w:sz w:val="18"/>
          <w:szCs w:val="18"/>
          <w:color w:val="auto"/>
        </w:rPr>
        <w:t>53,647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6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1" w:lineRule="exact"/>
        <w:rPr>
          <w:sz w:val="20"/>
          <w:szCs w:val="20"/>
          <w:color w:val="auto"/>
        </w:rPr>
      </w:pPr>
    </w:p>
    <w:p>
      <w:pPr>
        <w:ind w:left="777" w:hanging="777"/>
        <w:spacing w:after="0"/>
        <w:tabs>
          <w:tab w:leader="none" w:pos="77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66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61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66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66" w:right="60" w:hanging="13"/>
        <w:spacing w:after="0" w:line="244" w:lineRule="auto"/>
        <w:rPr>
          <w:sz w:val="20"/>
          <w:szCs w:val="20"/>
          <w:color w:val="auto"/>
        </w:rPr>
      </w:pPr>
      <w:r>
        <w:rPr>
          <w:rFonts w:ascii="Times New Roman" w:cs="Times New Roman" w:eastAsia="Times New Roman" w:hAnsi="Times New Roman"/>
          <w:sz w:val="14"/>
          <w:szCs w:val="14"/>
          <w:b w:val="1"/>
          <w:bCs w:val="1"/>
          <w:color w:val="auto"/>
        </w:rPr>
        <w:t>Nine Months Ended September 30, 2020</w:t>
      </w:r>
    </w:p>
    <w:p>
      <w:pPr>
        <w:spacing w:after="0" w:line="17" w:lineRule="exact"/>
        <w:rPr>
          <w:sz w:val="20"/>
          <w:szCs w:val="20"/>
          <w:color w:val="auto"/>
        </w:rPr>
      </w:pPr>
    </w:p>
    <w:p>
      <w:pPr>
        <w:ind w:left="786" w:hanging="786"/>
        <w:spacing w:after="0"/>
        <w:tabs>
          <w:tab w:leader="none" w:pos="7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14,676</w:t>
      </w:r>
    </w:p>
    <w:p>
      <w:pPr>
        <w:spacing w:after="0" w:line="27" w:lineRule="exact"/>
        <w:rPr>
          <w:rFonts w:ascii="Times New Roman" w:cs="Times New Roman" w:eastAsia="Times New Roman" w:hAnsi="Times New Roman"/>
          <w:sz w:val="18"/>
          <w:szCs w:val="18"/>
          <w:color w:val="auto"/>
        </w:rPr>
      </w:pPr>
    </w:p>
    <w:p>
      <w:pPr>
        <w:ind w:left="8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7,391</w:t>
      </w:r>
    </w:p>
    <w:p>
      <w:pPr>
        <w:spacing w:after="0" w:line="23" w:lineRule="exact"/>
        <w:rPr>
          <w:sz w:val="20"/>
          <w:szCs w:val="20"/>
          <w:color w:val="auto"/>
        </w:rPr>
      </w:pPr>
    </w:p>
    <w:p>
      <w:pPr>
        <w:ind w:left="786"/>
        <w:spacing w:after="0"/>
        <w:rPr>
          <w:sz w:val="20"/>
          <w:szCs w:val="20"/>
          <w:color w:val="auto"/>
        </w:rPr>
      </w:pPr>
      <w:r>
        <w:rPr>
          <w:rFonts w:ascii="Times New Roman" w:cs="Times New Roman" w:eastAsia="Times New Roman" w:hAnsi="Times New Roman"/>
          <w:sz w:val="18"/>
          <w:szCs w:val="18"/>
          <w:color w:val="auto"/>
        </w:rPr>
        <w:t>53,647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1" w:lineRule="exact"/>
        <w:rPr>
          <w:sz w:val="20"/>
          <w:szCs w:val="20"/>
          <w:color w:val="auto"/>
        </w:rPr>
      </w:pPr>
    </w:p>
    <w:p>
      <w:pPr>
        <w:ind w:left="786" w:hanging="786"/>
        <w:spacing w:after="0"/>
        <w:tabs>
          <w:tab w:leader="none" w:pos="7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8655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8655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3">
            <w:col w:w="7703" w:space="720"/>
            <w:col w:w="1317" w:space="154"/>
            <w:col w:w="1346"/>
          </w:cols>
          <w:pgMar w:left="320" w:top="114" w:right="339" w:bottom="1440" w:gutter="0" w:footer="0" w:header="0"/>
          <w:type w:val="continuous"/>
        </w:sect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these pre-tax net charges were primarily attributable to our Generic Pharmaceuticals segment, including $57.8 million and $66.2 million during the three and nine months ended September 30, 2020, respectively. The remaining amounts related to our other segments and certain corporate unallocated costs.</w:t>
      </w:r>
    </w:p>
    <w:p>
      <w:pPr>
        <w:spacing w:after="0" w:line="68"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2020, cumulative amounts incurred to date include accelerated depreciation charges of approximately $14.7 million, asset impairment charges related to identifiable intangible assets and certain operating lease assets of approximately $7.4 million and employee separation, continuity and other benefit-related costs of approximately $53.6 million. Of these amounts, approximately $66.2 million were attributable to the Generic Pharmaceuticals segment, with the remaining amounts relating to our other segments and certain corporate unallocated costs.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During the three and nine months ended September 30, 2020, the pre-tax net charges related to the 2020 Restructuring Initiative were included in our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3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42,198</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22,130</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4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65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1" w:name="page12"/>
    <w:bookmarkEnd w:id="11"/>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Changes to the liability for the 2020 Restructuring Initiative during the nine months ended September 30, 2020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Continuity and</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 Benefit-</w:t>
            </w:r>
          </w:p>
        </w:tc>
        <w:tc>
          <w:tcPr>
            <w:tcW w:w="320" w:type="dxa"/>
            <w:vAlign w:val="bottom"/>
          </w:tcPr>
          <w:p>
            <w:pPr>
              <w:spacing w:after="0"/>
              <w:rPr>
                <w:sz w:val="11"/>
                <w:szCs w:val="11"/>
                <w:color w:val="auto"/>
              </w:rPr>
            </w:pPr>
          </w:p>
        </w:tc>
        <w:tc>
          <w:tcPr>
            <w:tcW w:w="10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charges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53,647</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September 30,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Of the liability at September 30, 2020, $29.5 million is classified as current and is included in Accounts payable and accrued expenses in the Condensed Consolidated Balance Sheets, with the remaining amount classified as noncurrent and included in Other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RESULTS</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Company’s four reportable business segments are Branded Pharmaceuticals, Sterile Injectables, Generic Pharmaceuticals and International Pharmaceuticals. These segments reflect the level at which the chief operating decision maker (CODM) regularly reviews financial information to assess performance and to make decisions about resources to be allocated. Each segment derives revenue from the sales or licensing of its respective products and is discussed in more detail below.</w:t>
      </w:r>
    </w:p>
    <w:p>
      <w:pPr>
        <w:spacing w:after="0" w:line="72"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We evaluate segment performance based on Segment adjusted income (loss) from continuing operations before income tax, which we define as Loss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and certain other items. Effective January 1, 2020, the Company revised its definition of Segment adjusted income (loss) from continuing operations before income tax to exclude certain legal costs in order to reflect changes in how the CODM reviews segment performance. The Company believes that such costs are not indicative of business performance and that excluding them more accurately reflects each segment’s results and better enables management to compare financial results between periods. Prior period results have been adjusted to reflect this change. Specifically, for the three months ended September 30, 2019, certain legal costs of $14.4 million and $0.1 million have been excluded from our Branded Pharmaceuticals and Generic Pharmaceuticals segments, respectively, and for the nine months ended September 30, 2019, certain legal costs of $49.3 million and $1.0 million have been excluded from our Branded Pharmaceuticals and Generic Pharmaceuticals segments, respectively, resulting in increases to the Segment adjusted income (loss) from continuing operations before income tax for these segments. This change had no impact on our Total consolidated loss from continuing operations before income tax.</w:t>
      </w:r>
    </w:p>
    <w:p>
      <w:pPr>
        <w:spacing w:after="0" w:line="88"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(loss) from continuing operations before income tax is equal to the combined results of each of its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Branded Pharmaceuticals</w:t>
      </w:r>
    </w:p>
    <w:p>
      <w:pPr>
        <w:spacing w:after="0" w:line="121" w:lineRule="exact"/>
        <w:rPr>
          <w:sz w:val="20"/>
          <w:szCs w:val="20"/>
          <w:color w:val="auto"/>
        </w:rPr>
      </w:pPr>
    </w:p>
    <w:p>
      <w:pPr>
        <w:ind w:right="520" w:firstLine="486"/>
        <w:spacing w:after="0" w:line="239" w:lineRule="auto"/>
        <w:rPr>
          <w:sz w:val="20"/>
          <w:szCs w:val="20"/>
          <w:color w:val="auto"/>
        </w:rPr>
      </w:pPr>
      <w:r>
        <w:rPr>
          <w:rFonts w:ascii="Times New Roman" w:cs="Times New Roman" w:eastAsia="Times New Roman" w:hAnsi="Times New Roman"/>
          <w:sz w:val="18"/>
          <w:szCs w:val="18"/>
          <w:color w:val="auto"/>
        </w:rPr>
        <w:t>Our Branded Pharmaceuticals segment includes a variety of branded prescription products to treat and manage conditions in urology, urologic oncology, endocrinology, pain and orthopedics. The products in this segment include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NASCOBAL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Nasal Spray, AVEED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LIDODERM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Sterile Injectables</w:t>
      </w:r>
    </w:p>
    <w:p>
      <w:pPr>
        <w:spacing w:after="0" w:line="118" w:lineRule="exact"/>
        <w:rPr>
          <w:sz w:val="20"/>
          <w:szCs w:val="20"/>
          <w:color w:val="auto"/>
        </w:rPr>
      </w:pPr>
    </w:p>
    <w:p>
      <w:pPr>
        <w:jc w:val="both"/>
        <w:ind w:right="200" w:firstLine="486"/>
        <w:spacing w:after="0" w:line="223" w:lineRule="auto"/>
        <w:rPr>
          <w:sz w:val="20"/>
          <w:szCs w:val="20"/>
          <w:color w:val="auto"/>
        </w:rPr>
      </w:pPr>
      <w:r>
        <w:rPr>
          <w:rFonts w:ascii="Times New Roman" w:cs="Times New Roman" w:eastAsia="Times New Roman" w:hAnsi="Times New Roman"/>
          <w:sz w:val="18"/>
          <w:szCs w:val="18"/>
          <w:color w:val="auto"/>
        </w:rPr>
        <w:t>Our Sterile Injectables segment consists primarily of branded sterile injectable products such as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APLISOL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 and certain generic sterile injectable products, including ertapenem for injection (the authorized generic of Merck Sharp &amp; Dohme Corp.’s (Merck) Invanz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ephedrine sulfate injection, among others.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Generic Pharmaceuticals</w:t>
      </w:r>
    </w:p>
    <w:p>
      <w:pPr>
        <w:spacing w:after="0" w:line="121"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Our Generic Pharmaceuticals segment consists of a product portfolio including solid oral extended-release, solid oral immediate-release, liquids, semi-solids, patches, powders, ophthalmics and sprays and includes products in the pain management, urology, central nervous system disorders, immunosuppression, oncology, women’s health and cardiovascular disease markets, among others.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Pharmaceuticals</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Our International Pharmaceuticals segment includes a variety of specialty pharmaceutical products sold outside the U.S., primarily in Canada through our operating company Paladin Labs Inc. (Paladin). The key products of this segment serve various therapeutic areas, including attention deficit hyperactivity disorder, pain, women’s health and oncology.</w:t>
      </w:r>
    </w:p>
    <w:p>
      <w:pPr>
        <w:spacing w:after="0" w:line="68"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represents selected information for the Company’s reportable segments for the three and nine months ended September 30, 2020 and 2019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from external customers: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Branded Pharmaceuticals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223,682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217,313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557,276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629,851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Sterile Injectables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777,963</w:t>
            </w:r>
          </w:p>
        </w:tc>
        <w:tc>
          <w:tcPr>
            <w:tcW w:w="0" w:type="dxa"/>
            <w:vAlign w:val="bottom"/>
          </w:tcPr>
          <w:p>
            <w:pPr>
              <w:spacing w:after="0"/>
              <w:rPr>
                <w:sz w:val="1"/>
                <w:szCs w:val="1"/>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Generic Pharmaceuticals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602,670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654,322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87,428</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 from external customers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634,860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729,426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2,142,853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2,149,564</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Segment adjusted income (loss) from continuing operations before income</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Branded Pharmaceuticals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267,964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302,682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Sterile Injectables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566,345</w:t>
            </w:r>
          </w:p>
        </w:tc>
        <w:tc>
          <w:tcPr>
            <w:tcW w:w="0" w:type="dxa"/>
            <w:vAlign w:val="bottom"/>
          </w:tcPr>
          <w:p>
            <w:pPr>
              <w:spacing w:after="0"/>
              <w:rPr>
                <w:sz w:val="1"/>
                <w:szCs w:val="1"/>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Generic Pharmaceuticals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129,702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35,053</w:t>
            </w:r>
          </w:p>
        </w:tc>
        <w:tc>
          <w:tcPr>
            <w:tcW w:w="0" w:type="dxa"/>
            <w:vAlign w:val="bottom"/>
          </w:tcPr>
          <w:p>
            <w:pPr>
              <w:spacing w:after="0"/>
              <w:rPr>
                <w:sz w:val="1"/>
                <w:szCs w:val="1"/>
                <w:color w:val="auto"/>
              </w:rPr>
            </w:pPr>
          </w:p>
        </w:tc>
      </w:tr>
      <w:tr>
        <w:trPr>
          <w:trHeight w:val="155"/>
        </w:trPr>
        <w:tc>
          <w:tcPr>
            <w:tcW w:w="54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segment adjusted income (loss) from continuing operations before</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308,117</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344,918</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1,089,584</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1,033,782</w:t>
            </w:r>
          </w:p>
        </w:tc>
        <w:tc>
          <w:tcPr>
            <w:tcW w:w="0" w:type="dxa"/>
            <w:vAlign w:val="bottom"/>
          </w:tcPr>
          <w:p>
            <w:pPr>
              <w:spacing w:after="0"/>
              <w:rPr>
                <w:sz w:val="1"/>
                <w:szCs w:val="1"/>
                <w:color w:val="auto"/>
              </w:rPr>
            </w:pPr>
          </w:p>
        </w:tc>
      </w:tr>
      <w:tr>
        <w:trPr>
          <w:trHeight w:val="208"/>
        </w:trPr>
        <w:tc>
          <w:tcPr>
            <w:tcW w:w="54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income tax</w:t>
            </w:r>
          </w:p>
        </w:tc>
        <w:tc>
          <w:tcPr>
            <w:tcW w:w="2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material revenues from external customers attributed to an individual country outside of the U.S. during any of the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The table below provides reconciliations of our Total consolidated loss from continuing operations before income tax, which is determined in accordance with U.S. GAAP, to our Total segment adjusted income (loss) from continuing operations before income tax for the three and nine months ended September 30, 2020 and 2019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8"/>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loss from continuing operations before income tax</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(120,363)</w:t>
            </w:r>
          </w:p>
        </w:tc>
        <w:tc>
          <w:tcPr>
            <w:tcW w:w="0" w:type="dxa"/>
            <w:vAlign w:val="bottom"/>
          </w:tcPr>
          <w:p>
            <w:pPr>
              <w:spacing w:after="0"/>
              <w:rPr>
                <w:sz w:val="1"/>
                <w:szCs w:val="1"/>
                <w:color w:val="auto"/>
              </w:rPr>
            </w:pPr>
          </w:p>
        </w:tc>
      </w:tr>
      <w:tr>
        <w:trPr>
          <w:trHeight w:val="23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404,387</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unallocated costs (1)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124,351</w:t>
            </w:r>
          </w:p>
        </w:tc>
        <w:tc>
          <w:tcPr>
            <w:tcW w:w="0" w:type="dxa"/>
            <w:vAlign w:val="bottom"/>
          </w:tcPr>
          <w:p>
            <w:pPr>
              <w:spacing w:after="0"/>
              <w:rPr>
                <w:sz w:val="1"/>
                <w:szCs w:val="1"/>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417,949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Upfront and milestone payments to partners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Continuity and separation benefits and other cost reduction initiatives (2)</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Certain litigation-related and other contingencies, net (3)</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legal costs (4)</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50,229</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impairment charges (5)</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258,652</w:t>
            </w:r>
          </w:p>
        </w:tc>
        <w:tc>
          <w:tcPr>
            <w:tcW w:w="0" w:type="dxa"/>
            <w:vAlign w:val="bottom"/>
          </w:tcPr>
          <w:p>
            <w:pPr>
              <w:spacing w:after="0"/>
              <w:rPr>
                <w:sz w:val="1"/>
                <w:szCs w:val="1"/>
                <w:color w:val="auto"/>
              </w:rPr>
            </w:pPr>
          </w:p>
        </w:tc>
      </w:tr>
      <w:tr>
        <w:trPr>
          <w:trHeight w:val="23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Acquisition-related and integration items, net (6)</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(26,983)</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(119,828)</w:t>
            </w:r>
          </w:p>
        </w:tc>
        <w:tc>
          <w:tcPr>
            <w:tcW w:w="0" w:type="dxa"/>
            <w:vAlign w:val="bottom"/>
          </w:tcPr>
          <w:p>
            <w:pPr>
              <w:spacing w:after="0"/>
              <w:rPr>
                <w:sz w:val="1"/>
                <w:szCs w:val="1"/>
                <w:color w:val="auto"/>
              </w:rPr>
            </w:pPr>
          </w:p>
        </w:tc>
      </w:tr>
      <w:tr>
        <w:trPr>
          <w:trHeight w:val="176"/>
        </w:trPr>
        <w:tc>
          <w:tcPr>
            <w:tcW w:w="54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Foreign currency impact related to the remeasurement of intercompany</w:t>
            </w: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 instruments</w:t>
            </w:r>
          </w:p>
        </w:tc>
        <w:tc>
          <w:tcPr>
            <w:tcW w:w="2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 (7)</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27,380</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segment adjusted income (loss) from continuing operations before</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308,117</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344,918</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1,089,584</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1,033,782</w:t>
            </w:r>
          </w:p>
        </w:tc>
        <w:tc>
          <w:tcPr>
            <w:tcW w:w="0" w:type="dxa"/>
            <w:vAlign w:val="bottom"/>
          </w:tcPr>
          <w:p>
            <w:pPr>
              <w:spacing w:after="0"/>
              <w:rPr>
                <w:sz w:val="1"/>
                <w:szCs w:val="1"/>
                <w:color w:val="auto"/>
              </w:rPr>
            </w:pPr>
          </w:p>
        </w:tc>
      </w:tr>
      <w:tr>
        <w:trPr>
          <w:trHeight w:val="208"/>
        </w:trPr>
        <w:tc>
          <w:tcPr>
            <w:tcW w:w="54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income tax</w:t>
            </w:r>
          </w:p>
        </w:tc>
        <w:tc>
          <w:tcPr>
            <w:tcW w:w="2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certain corporate overhead costs, such as headcount, facility and corporate litigation expenses and certain other income and expenses.</w:t>
      </w:r>
    </w:p>
    <w:p>
      <w:pPr>
        <w:spacing w:after="0" w:line="1" w:lineRule="exact"/>
        <w:rPr>
          <w:rFonts w:ascii="Times New Roman" w:cs="Times New Roman" w:eastAsia="Times New Roman" w:hAnsi="Times New Roman"/>
          <w:sz w:val="14"/>
          <w:szCs w:val="14"/>
          <w:color w:val="auto"/>
        </w:rPr>
      </w:pPr>
    </w:p>
    <w:p>
      <w:pPr>
        <w:ind w:left="500" w:hanging="330"/>
        <w:spacing w:after="0" w:line="241"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within this line are costs associated with certain continuity and transitional compensation arrangements for certain senior management of the Company, including $4.3 million and $22.2 million during the three and nine months ended September 30, 2020, respectively, and $6.7 million during both the three and nine months ended September 30, 2019. Other amounts primarily relate to the 2020 Restructuring Initiative and certain other cost reduction initiatives, including employee separation, continuity and other benefit-related costs of $53.6 million, accelerated depreciation of $6.3 million and miscellaneous charges of $3.4 million during the three months ended September 30, 2020; employee separation, continuity and other benefit-related costs of $53.6 million, accelerated depreciation of $14.7 million and miscellaneous charges of $9.8 million during the nine months ended September 30, 2020; miscellaneous charges of $4.3 million during the three months ended September 30, 2019; and employee separation, continuity and other benefit-related costs of $2.2 million and miscellaneous charges of $6.3 million during the nine months ended September 30, 2019. Refer to Note 4. Restructuring for further discussion of the 2020 Restructuring Initiative.</w:t>
      </w:r>
    </w:p>
    <w:p>
      <w:pPr>
        <w:spacing w:after="0" w:line="2" w:lineRule="exact"/>
        <w:rPr>
          <w:rFonts w:ascii="Times New Roman" w:cs="Times New Roman" w:eastAsia="Times New Roman" w:hAnsi="Times New Roman"/>
          <w:sz w:val="14"/>
          <w:szCs w:val="14"/>
          <w:color w:val="auto"/>
        </w:rPr>
      </w:pPr>
    </w:p>
    <w:p>
      <w:pPr>
        <w:ind w:left="500" w:right="600" w:hanging="330"/>
        <w:spacing w:after="0" w:line="241"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adjustments to our accruals for litigation-related settlement charges and certain settlement proceeds related to suits filed by our subsidiaries. Our material legal proceedings and other contingent matters are described in more detail in Note 13. Commitments and Contingencies.</w:t>
      </w:r>
    </w:p>
    <w:p>
      <w:pPr>
        <w:ind w:left="480" w:hanging="310"/>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opioid-related legal expenses.</w:t>
      </w:r>
    </w:p>
    <w:p>
      <w:pPr>
        <w:spacing w:after="0" w:line="1" w:lineRule="exact"/>
        <w:rPr>
          <w:rFonts w:ascii="Times New Roman" w:cs="Times New Roman" w:eastAsia="Times New Roman" w:hAnsi="Times New Roman"/>
          <w:sz w:val="14"/>
          <w:szCs w:val="14"/>
          <w:color w:val="auto"/>
        </w:rPr>
      </w:pPr>
    </w:p>
    <w:p>
      <w:pPr>
        <w:ind w:left="500" w:right="220" w:hanging="330"/>
        <w:spacing w:after="0" w:line="241"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charges to impair goodwill and intangible assets and operating lease right-of-use assets as further described in Note 9. Goodwill and Other Intangibles and Note 8. Leases, respectively.</w:t>
      </w:r>
    </w:p>
    <w:p>
      <w:pPr>
        <w:ind w:left="480" w:hanging="310"/>
        <w:spacing w:after="0"/>
        <w:tabs>
          <w:tab w:leader="none" w:pos="4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changes in the fair value of contingent consideration.</w:t>
      </w:r>
    </w:p>
    <w:p>
      <w:pPr>
        <w:spacing w:after="0" w:line="1" w:lineRule="exact"/>
        <w:rPr>
          <w:rFonts w:ascii="Times New Roman" w:cs="Times New Roman" w:eastAsia="Times New Roman" w:hAnsi="Times New Roman"/>
          <w:sz w:val="14"/>
          <w:szCs w:val="14"/>
          <w:color w:val="auto"/>
        </w:rPr>
      </w:pPr>
    </w:p>
    <w:p>
      <w:pPr>
        <w:ind w:left="500" w:right="20" w:hanging="330"/>
        <w:spacing w:after="0" w:line="245" w:lineRule="auto"/>
        <w:tabs>
          <w:tab w:leader="none" w:pos="49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during the nine months ended September 30, 2020 includes $31.1 million of third-party fees incurred in connection with the June 2020 Refinancing Transactions, which were accounted for as debt modifications. Refer to Note 12. Debt for additional information. Amounts during the three and nine months ended September 30, 2019 include $17.5 million for contract termination costs incurred as a result of certain product discontinuation activities in our International Pharmaceuticals segment and $14.1 million for a premium associated with an extended reporting period endorsement on an expiring insurance program. Remaining amounts in this line primarily relate to gains on sales of businesses and other assets, as further described in Note 16. Other (Income) Expense, Net.</w:t>
      </w:r>
    </w:p>
    <w:p>
      <w:pPr>
        <w:spacing w:after="0" w:line="85"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Asset information is not reviewed or included within our internal management reporting. Therefore, the Company has not disclosed asset information for each reportable segment.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2020 and 2019,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Branded Pharmaceuticals: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XIAFLEX®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226,118</w:t>
            </w:r>
          </w:p>
        </w:tc>
      </w:tr>
      <w:tr>
        <w:trPr>
          <w:trHeight w:val="229"/>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SUPPRELIN® LA</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66,542</w:t>
            </w:r>
          </w:p>
        </w:tc>
      </w:tr>
      <w:tr>
        <w:trPr>
          <w:trHeight w:val="23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Specialty (1)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78,397</w:t>
            </w:r>
          </w:p>
        </w:tc>
      </w:tr>
      <w:tr>
        <w:trPr>
          <w:trHeight w:val="223"/>
        </w:trPr>
        <w:tc>
          <w:tcPr>
            <w:tcW w:w="5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Specialty Products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371,057</w:t>
            </w:r>
          </w:p>
        </w:tc>
      </w:tr>
      <w:tr>
        <w:trPr>
          <w:trHeight w:val="21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PERCOCET®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88,199</w:t>
            </w:r>
          </w:p>
        </w:tc>
      </w:tr>
      <w:tr>
        <w:trPr>
          <w:trHeight w:val="229"/>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TESTOPEL®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40,830</w:t>
            </w:r>
          </w:p>
        </w:tc>
      </w:tr>
      <w:tr>
        <w:trPr>
          <w:trHeight w:val="230"/>
        </w:trPr>
        <w:tc>
          <w:tcPr>
            <w:tcW w:w="5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Established (2)</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129,765</w:t>
            </w:r>
          </w:p>
        </w:tc>
      </w:tr>
      <w:tr>
        <w:trPr>
          <w:trHeight w:val="223"/>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258,794</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557,276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629,851</w:t>
            </w:r>
          </w:p>
        </w:tc>
      </w:tr>
      <w:tr>
        <w:trPr>
          <w:trHeight w:val="20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Sterile Injectables: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VASOSTRICT®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572,530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384,854</w:t>
            </w:r>
          </w:p>
        </w:tc>
      </w:tr>
      <w:tr>
        <w:trPr>
          <w:trHeight w:val="229"/>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ADRENALIN®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133,468</w:t>
            </w:r>
          </w:p>
        </w:tc>
      </w:tr>
      <w:tr>
        <w:trPr>
          <w:trHeight w:val="229"/>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Ertapenem for injection</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79,619</w:t>
            </w:r>
          </w:p>
        </w:tc>
      </w:tr>
      <w:tr>
        <w:trPr>
          <w:trHeight w:val="23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APLISOL®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55,996</w:t>
            </w:r>
          </w:p>
        </w:tc>
      </w:tr>
      <w:tr>
        <w:trPr>
          <w:trHeight w:val="229"/>
        </w:trPr>
        <w:tc>
          <w:tcPr>
            <w:tcW w:w="5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Sterile Injectables (4)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124,026</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Sterile Injectables (3)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906,997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777,963</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Generic Pharmaceuticals (5)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654,322</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 Pharmaceuticals (6)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87,428</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729,426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2,142,853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2,149,564</w:t>
            </w: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are NASCOBAL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Nasal Spray and AVEED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and LIDODERM</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500" w:right="60" w:hanging="330"/>
        <w:spacing w:after="0" w:line="241" w:lineRule="auto"/>
        <w:tabs>
          <w:tab w:leader="none" w:pos="4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either the three or nine months ended September 30, 2020 and/or any product having revenues in excess of $25 million during any quarterly period in 2020 or 2019.</w:t>
      </w:r>
    </w:p>
    <w:p>
      <w:pPr>
        <w:ind w:left="480" w:hanging="310"/>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ephedrine sulfate injection and others.</w:t>
      </w:r>
    </w:p>
    <w:p>
      <w:pPr>
        <w:spacing w:after="0" w:line="1" w:lineRule="exact"/>
        <w:rPr>
          <w:rFonts w:ascii="Times New Roman" w:cs="Times New Roman" w:eastAsia="Times New Roman" w:hAnsi="Times New Roman"/>
          <w:sz w:val="14"/>
          <w:szCs w:val="14"/>
          <w:color w:val="auto"/>
        </w:rPr>
      </w:pPr>
    </w:p>
    <w:p>
      <w:pPr>
        <w:ind w:left="500" w:right="140" w:hanging="330"/>
        <w:spacing w:after="0" w:line="241" w:lineRule="auto"/>
        <w:tabs>
          <w:tab w:leader="none" w:pos="4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During the three and nine months ended September 30, 2019, colchicine tablets (the authorized generic of Takeda Pharmaceuticals U.S.A., Inc.’s (Takeda) Colcrys</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which launched in July 2018, made up 7% and 6% of consolidated total revenues, respectively. No other individual product within this segment has exceeded 5% of consolidated total revenues for the periods presented.</w:t>
      </w:r>
    </w:p>
    <w:p>
      <w:pPr>
        <w:spacing w:after="0" w:line="1" w:lineRule="exact"/>
        <w:rPr>
          <w:rFonts w:ascii="Times New Roman" w:cs="Times New Roman" w:eastAsia="Times New Roman" w:hAnsi="Times New Roman"/>
          <w:sz w:val="14"/>
          <w:szCs w:val="14"/>
          <w:color w:val="auto"/>
        </w:rPr>
      </w:pPr>
    </w:p>
    <w:p>
      <w:pPr>
        <w:ind w:left="500" w:right="800" w:hanging="330"/>
        <w:spacing w:after="0" w:line="258" w:lineRule="auto"/>
        <w:tabs>
          <w:tab w:leader="none" w:pos="49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our operating company Paladin.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Fair value guidance establishes a three-tier fair value hierarchy, which prioritizes the inputs used in measuring fair value. These tiers include:</w:t>
      </w:r>
    </w:p>
    <w:p>
      <w:pPr>
        <w:spacing w:after="0" w:line="27" w:lineRule="exact"/>
        <w:rPr>
          <w:sz w:val="20"/>
          <w:szCs w:val="20"/>
          <w:color w:val="auto"/>
        </w:rPr>
      </w:pPr>
    </w:p>
    <w:p>
      <w:pPr>
        <w:ind w:left="900" w:hanging="24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9" w:lineRule="exact"/>
        <w:rPr>
          <w:rFonts w:ascii="Times New Roman" w:cs="Times New Roman" w:eastAsia="Times New Roman" w:hAnsi="Times New Roman"/>
          <w:sz w:val="18"/>
          <w:szCs w:val="18"/>
          <w:color w:val="auto"/>
        </w:rPr>
      </w:pPr>
    </w:p>
    <w:p>
      <w:pPr>
        <w:ind w:left="900" w:right="20" w:hanging="244"/>
        <w:spacing w:after="0" w:line="250"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ind w:left="900" w:right="660" w:hanging="244"/>
        <w:spacing w:after="0" w:line="260"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financial instruments recorded in our Condensed Consolidated Balance Sheets include cash and cash equivalents, restricted cash and cash equivalents, accounts receivable, equity method investments,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short-term maturity, the carrying amounts of non-restricted and restricted cash and cash equivalents (including money market funds), accounts receivable, accounts payable and accrued expenses approximate their fair values.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current and noncurrent restricted cash and cash equivalent balances at September 30, 2020 and December 31, 2019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Line Items</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equivalents—current</w:t>
            </w:r>
          </w:p>
        </w:tc>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247,457</w:t>
            </w:r>
          </w:p>
        </w:tc>
      </w:tr>
      <w:tr>
        <w:trPr>
          <w:trHeight w:val="23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equivalents—noncurrent</w:t>
            </w:r>
          </w:p>
        </w:tc>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r>
      <w:tr>
        <w:trPr>
          <w:trHeight w:val="248"/>
        </w:trPr>
        <w:tc>
          <w:tcPr>
            <w:tcW w:w="4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restricted cash and cash equivalents</w:t>
            </w:r>
          </w:p>
        </w:tc>
        <w:tc>
          <w:tcPr>
            <w:tcW w:w="3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265,857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restricted cash and cash equivalents amounts primarily relate to litigation-related matters, including approximately $136.3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$242.8 million held in Qualified Settlement Funds (QSFs) for mesh-related matters at September 30, 2020 and December 31, 2019, respectively. See Note</w:t>
      </w:r>
    </w:p>
    <w:p>
      <w:pPr>
        <w:spacing w:after="0" w:line="9" w:lineRule="exact"/>
        <w:rPr>
          <w:sz w:val="20"/>
          <w:szCs w:val="20"/>
          <w:color w:val="auto"/>
        </w:rPr>
      </w:pPr>
    </w:p>
    <w:p>
      <w:pPr>
        <w:ind w:right="180" w:firstLine="8"/>
        <w:spacing w:after="0" w:line="260" w:lineRule="auto"/>
        <w:tabs>
          <w:tab w:leader="none" w:pos="2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 for further information about mesh-related and other litigation-related matters. Additionally, at September 30, 2020, approximately $25.0 million of restricted cash and cash equivalents related to certain insurance-related matters.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at September 30, 2020 and December 31, 2019 were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9"/>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2020 using:</w:t>
            </w:r>
          </w:p>
        </w:tc>
        <w:tc>
          <w:tcPr>
            <w:tcW w:w="1020" w:type="dxa"/>
            <w:vAlign w:val="bottom"/>
            <w:tcBorders>
              <w:bottom w:val="single" w:sz="8" w:color="auto"/>
            </w:tcBorders>
          </w:tcPr>
          <w:p>
            <w:pPr>
              <w:spacing w:after="0"/>
              <w:rPr>
                <w:sz w:val="16"/>
                <w:szCs w:val="16"/>
                <w:color w:val="auto"/>
              </w:rPr>
            </w:pPr>
          </w:p>
        </w:tc>
      </w:tr>
      <w:tr>
        <w:trPr>
          <w:trHeight w:val="188"/>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628,875</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r>
      <w:tr>
        <w:trPr>
          <w:trHeight w:val="23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Acquisition-related contingent consideration—noncurrent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28,044</w:t>
            </w:r>
          </w:p>
        </w:tc>
      </w:tr>
      <w:tr>
        <w:trPr>
          <w:trHeight w:val="306"/>
        </w:trPr>
        <w:tc>
          <w:tcPr>
            <w:tcW w:w="5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9"/>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2019 using:</w:t>
            </w:r>
          </w:p>
        </w:tc>
        <w:tc>
          <w:tcPr>
            <w:tcW w:w="1020" w:type="dxa"/>
            <w:vAlign w:val="bottom"/>
            <w:tcBorders>
              <w:bottom w:val="single" w:sz="8" w:color="auto"/>
            </w:tcBorders>
          </w:tcPr>
          <w:p>
            <w:pPr>
              <w:spacing w:after="0"/>
              <w:rPr>
                <w:sz w:val="24"/>
                <w:szCs w:val="24"/>
                <w:color w:val="auto"/>
              </w:rPr>
            </w:pPr>
          </w:p>
        </w:tc>
      </w:tr>
      <w:tr>
        <w:trPr>
          <w:trHeight w:val="187"/>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427,033</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r>
      <w:tr>
        <w:trPr>
          <w:trHeight w:val="230"/>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Acquisition-related contingent consideration—noncurrent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23,123</w:t>
            </w:r>
          </w:p>
        </w:tc>
      </w:tr>
      <w:tr>
        <w:trPr>
          <w:trHeight w:val="742"/>
        </w:trPr>
        <w:tc>
          <w:tcPr>
            <w:tcW w:w="54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At September 30, 2020 and December 31, 2019, money market funds include $30.2 million and $70.2 million, respectively, in QSFs to be disbursed to mesh-related or other product liability claimants. Amounts in QSFs are considered restricted cash equivalents. See Note 13. Commitments and Contingencies for further discussion of our product liability cases. At September 30, 2020 and December 31, 2019, the differences between the amortized cost and the fair value of our money market funds were not material, individually or in the aggregate.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Using Significant Unobservable Inputs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which is measured at fair value on a recurring basis using significant unobservable inputs (Level 3), for the three and nine months ended September 30, 2020 and 2019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116,703</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settled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(26,983)</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At September 30, 2020, the fair value measurements of the contingent consideration obligations were determined using risk-adjusted discount rates ranging from approximately 10.0% to 15.0% (weighted average rate of approximately 11.8%, weighted based on relative fair value). Changes in fair value recorded in earnings related to acquisition-related contingent consideration are included in our Condensed Consolidated Statements of Operations as Acquisition-related and integration items, net. Amounts recorded for the current and noncurrent portions of acquisition-related contingent consideration are included in Accounts payable and accrued expenses and Other liabilities, respectively, in our Condensed Consolidated Balance Sheets.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by acquisition (in thousands):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Auxilium acquisition</w:t>
      </w:r>
    </w:p>
    <w:p>
      <w:pPr>
        <w:spacing w:after="0" w:line="27" w:lineRule="exact"/>
        <w:rPr>
          <w:sz w:val="20"/>
          <w:szCs w:val="20"/>
          <w:color w:val="auto"/>
        </w:rPr>
      </w:pPr>
    </w:p>
    <w:p>
      <w:pPr>
        <w:ind w:left="20" w:right="1440"/>
        <w:spacing w:after="0" w:line="286" w:lineRule="auto"/>
        <w:rPr>
          <w:sz w:val="20"/>
          <w:szCs w:val="20"/>
          <w:color w:val="auto"/>
        </w:rPr>
      </w:pPr>
      <w:r>
        <w:rPr>
          <w:rFonts w:ascii="Times New Roman" w:cs="Times New Roman" w:eastAsia="Times New Roman" w:hAnsi="Times New Roman"/>
          <w:sz w:val="18"/>
          <w:szCs w:val="18"/>
          <w:color w:val="auto"/>
        </w:rPr>
        <w:t>Lehigh Valley Technologies, Inc. acquisitions Other</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Changes in Fair</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 Settled and</w:t>
            </w:r>
          </w:p>
        </w:tc>
        <w:tc>
          <w:tcPr>
            <w:tcW w:w="180" w:type="dxa"/>
            <w:vAlign w:val="bottom"/>
          </w:tcPr>
          <w:p>
            <w:pPr>
              <w:spacing w:after="0"/>
              <w:rPr>
                <w:sz w:val="13"/>
                <w:szCs w:val="13"/>
                <w:color w:val="auto"/>
              </w:rPr>
            </w:pPr>
          </w:p>
        </w:tc>
        <w:tc>
          <w:tcPr>
            <w:tcW w:w="118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35"/>
        </w:trPr>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Value Recorded in</w:t>
            </w:r>
          </w:p>
        </w:tc>
        <w:tc>
          <w:tcPr>
            <w:tcW w:w="14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18"/>
        </w:trPr>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37,709</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-633730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-334010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13" w:lineRule="exact"/>
        <w:rPr>
          <w:sz w:val="20"/>
          <w:szCs w:val="20"/>
          <w:color w:val="auto"/>
        </w:rPr>
      </w:pPr>
    </w:p>
    <w:p>
      <w:pPr>
        <w:sectPr>
          <w:pgSz w:w="11900" w:h="16838" w:orient="portrait"/>
          <w:cols w:equalWidth="0" w:num="2">
            <w:col w:w="4760" w:space="720"/>
            <w:col w:w="5760"/>
          </w:cols>
          <w:pgMar w:left="320" w:top="114" w:right="339" w:bottom="1440" w:gutter="0" w:footer="0" w:header="0"/>
          <w:type w:val="continuous"/>
        </w:sect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nonrecurring basis during the nine months ended September 30, 2020 were as follows (in thousands):</w:t>
      </w:r>
    </w:p>
    <w:p>
      <w:pPr>
        <w:sectPr>
          <w:pgSz w:w="11900" w:h="16838" w:orient="portrait"/>
          <w:cols w:equalWidth="0" w:num="1">
            <w:col w:w="11240"/>
          </w:cols>
          <w:pgMar w:left="320" w:top="114" w:right="339" w:bottom="1440" w:gutter="0" w:footer="0" w:header="0"/>
          <w:type w:val="continuous"/>
        </w:sectPr>
      </w:pPr>
    </w:p>
    <w:p>
      <w:pPr>
        <w:spacing w:after="0" w:line="323"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4"/>
          <w:szCs w:val="14"/>
          <w:b w:val="1"/>
          <w:bCs w:val="1"/>
          <w:color w:val="auto"/>
        </w:rPr>
        <w:t>Fair Value Measurements during the Nine Months Ended September</w:t>
      </w:r>
    </w:p>
    <w:p>
      <w:pPr>
        <w:jc w:val="center"/>
        <w:ind w:left="5520"/>
        <w:spacing w:after="0"/>
        <w:rPr>
          <w:sz w:val="20"/>
          <w:szCs w:val="20"/>
          <w:color w:val="auto"/>
        </w:rPr>
      </w:pPr>
      <w:r>
        <w:rPr>
          <w:rFonts w:ascii="Times New Roman" w:cs="Times New Roman" w:eastAsia="Times New Roman" w:hAnsi="Times New Roman"/>
          <w:sz w:val="14"/>
          <w:szCs w:val="14"/>
          <w:b w:val="1"/>
          <w:bCs w:val="1"/>
          <w:color w:val="auto"/>
        </w:rPr>
        <w:t>30, 2020 (1)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13335</wp:posOffset>
            </wp:positionV>
            <wp:extent cx="27171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7160" w:val="left"/>
          <w:tab w:leader="none" w:pos="8620" w:val="left"/>
        </w:tabs>
        <w:rPr>
          <w:sz w:val="20"/>
          <w:szCs w:val="20"/>
          <w:color w:val="auto"/>
        </w:rPr>
      </w:pPr>
      <w:r>
        <w:rPr>
          <w:rFonts w:ascii="Times New Roman" w:cs="Times New Roman" w:eastAsia="Times New Roman" w:hAnsi="Times New Roman"/>
          <w:sz w:val="14"/>
          <w:szCs w:val="14"/>
          <w:b w:val="1"/>
          <w:bCs w:val="1"/>
          <w:color w:val="auto"/>
        </w:rPr>
        <w:t>Level 1 Inputs</w:t>
      </w:r>
      <w:r>
        <w:rPr>
          <w:sz w:val="20"/>
          <w:szCs w:val="20"/>
          <w:color w:val="auto"/>
        </w:rPr>
        <w:tab/>
      </w:r>
      <w:r>
        <w:rPr>
          <w:rFonts w:ascii="Times New Roman" w:cs="Times New Roman" w:eastAsia="Times New Roman" w:hAnsi="Times New Roman"/>
          <w:sz w:val="14"/>
          <w:szCs w:val="14"/>
          <w:b w:val="1"/>
          <w:bCs w:val="1"/>
          <w:color w:val="auto"/>
        </w:rPr>
        <w:t>Level 2 Inputs</w:t>
      </w:r>
      <w:r>
        <w:rPr>
          <w:sz w:val="20"/>
          <w:szCs w:val="20"/>
          <w:color w:val="auto"/>
        </w:rPr>
        <w:tab/>
      </w:r>
      <w:r>
        <w:rPr>
          <w:rFonts w:ascii="Times New Roman" w:cs="Times New Roman" w:eastAsia="Times New Roman" w:hAnsi="Times New Roman"/>
          <w:sz w:val="14"/>
          <w:szCs w:val="14"/>
          <w:b w:val="1"/>
          <w:bCs w:val="1"/>
          <w:color w:val="auto"/>
        </w:rPr>
        <w:t>Level 3 Inputs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both"/>
        <w:ind w:right="20" w:hanging="38"/>
        <w:spacing w:after="0" w:line="228" w:lineRule="auto"/>
        <w:rPr>
          <w:sz w:val="20"/>
          <w:szCs w:val="20"/>
          <w:color w:val="auto"/>
        </w:rPr>
      </w:pPr>
      <w:r>
        <w:rPr>
          <w:rFonts w:ascii="Times New Roman" w:cs="Times New Roman" w:eastAsia="Times New Roman" w:hAnsi="Times New Roman"/>
          <w:sz w:val="14"/>
          <w:szCs w:val="14"/>
          <w:b w:val="1"/>
          <w:bCs w:val="1"/>
          <w:color w:val="auto"/>
        </w:rPr>
        <w:t>Total Expense for the Nine Months Ended September 30, 2020</w:t>
      </w:r>
    </w:p>
    <w:p>
      <w:pPr>
        <w:spacing w:after="0" w:line="1" w:lineRule="exact"/>
        <w:rPr>
          <w:sz w:val="20"/>
          <w:szCs w:val="20"/>
          <w:color w:val="auto"/>
        </w:rPr>
      </w:pPr>
    </w:p>
    <w:p>
      <w:pPr>
        <w:sectPr>
          <w:pgSz w:w="11900" w:h="16838" w:orient="portrait"/>
          <w:cols w:equalWidth="0" w:num="2">
            <w:col w:w="9740" w:space="200"/>
            <w:col w:w="130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excluding goodwill (2)</w:t>
            </w: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(65,771)</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property, plant and equipment</w:t>
            </w:r>
          </w:p>
        </w:tc>
        <w:tc>
          <w:tcPr>
            <w:tcW w:w="6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r>
      <w:tr>
        <w:trPr>
          <w:trHeight w:val="22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24,377</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(73,411)</w:t>
            </w:r>
          </w:p>
        </w:tc>
      </w:tr>
      <w:tr>
        <w:trPr>
          <w:trHeight w:val="20"/>
        </w:trPr>
        <w:tc>
          <w:tcPr>
            <w:tcW w:w="5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00" w:right="20" w:hanging="330"/>
        <w:spacing w:after="0" w:line="241" w:lineRule="auto"/>
        <w:tabs>
          <w:tab w:leader="none" w:pos="4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jc w:val="both"/>
        <w:ind w:left="500" w:right="20" w:hanging="330"/>
        <w:spacing w:after="0" w:line="249" w:lineRule="auto"/>
        <w:tabs>
          <w:tab w:leader="none" w:pos="49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fair value measurements were determined using risk-adjusted discount rates ranging from approximately 10.0% to 15.0% (weighted average rate of approximately 12.2%, weighted based on relative fair value). The Company also performed fair value measurements in connection with its goodwill impairment tests. Refer to Note 9. Goodwill and Other Intangibles for additional information on goodwill and other intangible asset impairment tests, including information about the valuation methodologies utilized.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 consist of the following at September 30, 2020 and December 31, 2019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(1)</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108,961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124,171</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 (1)</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65,392</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(1)</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138,302</w:t>
            </w:r>
          </w:p>
        </w:tc>
      </w:tr>
      <w:tr>
        <w:trPr>
          <w:trHeight w:val="223"/>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354,903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327,865</w:t>
            </w:r>
          </w:p>
        </w:tc>
      </w:tr>
      <w:tr>
        <w:trPr>
          <w:trHeight w:val="21"/>
        </w:trPr>
        <w:tc>
          <w:tcPr>
            <w:tcW w:w="8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components of inventory shown in the table above are net of allowance for obsolescence.</w:t>
      </w:r>
    </w:p>
    <w:p>
      <w:pPr>
        <w:spacing w:after="0" w:line="9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Inventory that is in excess of the amount expected to be sold within one year is classified as noncurrent inventory and is not included in the table above. At September 30, 2020 and December 31, 2019, $34.6 million and $29.0 million, respectively, of noncurrent inventory was included in Other assets in the Condensed Consolidated Balance Sheets. As of September 30, 2020 and December 31, 2019, the Company’s Condensed Consolidated Balance Sheets included approximately $39.0 million and $17.6 million, respectively, of capitalized pre-launch inventories related to products that were not yet available to be sold.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right-of-use (ROU) assets and lease liabilities at September 30, 2020 and December 31, 2019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0" w:type="dxa"/>
            <w:vAlign w:val="bottom"/>
          </w:tcPr>
          <w:p>
            <w:pPr>
              <w:spacing w:after="0"/>
              <w:rPr>
                <w:sz w:val="16"/>
                <w:szCs w:val="16"/>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Line Items</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4"/>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3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38,927</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ROU assets</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56,793</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ROU assets</w:t>
            </w:r>
          </w:p>
        </w:tc>
        <w:tc>
          <w:tcPr>
            <w:tcW w:w="3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108,493</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lease liabilities:</w:t>
            </w:r>
          </w:p>
        </w:tc>
        <w:tc>
          <w:tcPr>
            <w:tcW w:w="3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48,299</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59,062</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lease liabilities:</w:t>
            </w:r>
          </w:p>
        </w:tc>
        <w:tc>
          <w:tcPr>
            <w:tcW w:w="3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31,312</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92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4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lease costs and expenses and sublease income for the three and nine months ended September 30, 2020 and 2019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00" w:type="dxa"/>
            <w:vAlign w:val="bottom"/>
          </w:tcPr>
          <w:p>
            <w:pPr>
              <w:spacing w:after="0"/>
              <w:rPr>
                <w:sz w:val="16"/>
                <w:szCs w:val="16"/>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w:t>
            </w:r>
          </w:p>
        </w:tc>
        <w:tc>
          <w:tcPr>
            <w:tcW w:w="20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01"/>
        </w:trPr>
        <w:tc>
          <w:tcPr>
            <w:tcW w:w="2700" w:type="dxa"/>
            <w:vAlign w:val="bottom"/>
          </w:tcPr>
          <w:p>
            <w:pPr>
              <w:spacing w:after="0"/>
              <w:rPr>
                <w:sz w:val="17"/>
                <w:szCs w:val="17"/>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Operations Line Items</w:t>
            </w: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0" w:type="dxa"/>
            <w:vAlign w:val="bottom"/>
          </w:tcPr>
          <w:p>
            <w:pPr>
              <w:spacing w:after="0"/>
              <w:rPr>
                <w:sz w:val="1"/>
                <w:szCs w:val="1"/>
                <w:color w:val="auto"/>
              </w:rPr>
            </w:pPr>
          </w:p>
        </w:tc>
      </w:tr>
      <w:tr>
        <w:trPr>
          <w:trHeight w:val="229"/>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lease costs and income:</w:t>
            </w:r>
          </w:p>
        </w:tc>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lease costs (2)</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Operating lease ROU asset</w:t>
            </w:r>
          </w:p>
        </w:tc>
        <w:tc>
          <w:tcPr>
            <w:tcW w:w="28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28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00" w:right="600" w:hanging="330"/>
        <w:spacing w:after="0" w:line="258" w:lineRule="auto"/>
        <w:tabs>
          <w:tab w:leader="none" w:pos="49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Condensed Consolidated Statements of Operations based on the function that the underlying leased asset supports. The following table presents the components of such aggregate amounts for the three and nine months ended September 30, 2020 and 2019 (in thousands):</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276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0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458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8,425</w:t>
            </w:r>
          </w:p>
        </w:tc>
      </w:tr>
      <w:tr>
        <w:trPr>
          <w:trHeight w:val="189"/>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4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13,209</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13,145</w:t>
            </w:r>
          </w:p>
        </w:tc>
      </w:tr>
      <w:tr>
        <w:trPr>
          <w:trHeight w:val="18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bl>
    <w:p>
      <w:pPr>
        <w:spacing w:after="0" w:line="72" w:lineRule="exact"/>
        <w:rPr>
          <w:sz w:val="20"/>
          <w:szCs w:val="20"/>
          <w:color w:val="auto"/>
        </w:rPr>
      </w:pPr>
    </w:p>
    <w:p>
      <w:pPr>
        <w:ind w:left="500" w:right="280" w:hanging="330"/>
        <w:spacing w:after="0" w:line="282" w:lineRule="auto"/>
        <w:tabs>
          <w:tab w:leader="none" w:pos="49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certain cash flow and supplemental noncash information related to our lease liabilities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payments for operating leases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payments for finance leases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payments for finance leases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OTHER INTANGIBLES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carrying amount of our goodwill for the nine months ended September 30, 2020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Branded</w:t>
            </w:r>
          </w:p>
        </w:tc>
        <w:tc>
          <w:tcPr>
            <w:tcW w:w="1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3,595,184</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(32,786)</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of September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2,731,193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3,560,011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amounts of goodwill at September 30, 2020 and December 31, 2019 are net of the following accumulated impairments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Branded</w:t>
            </w:r>
          </w:p>
        </w:tc>
        <w:tc>
          <w:tcPr>
            <w:tcW w:w="120" w:type="dxa"/>
            <w:vAlign w:val="bottom"/>
          </w:tcPr>
          <w:p>
            <w:pPr>
              <w:spacing w:after="0"/>
              <w:rPr>
                <w:sz w:val="13"/>
                <w:szCs w:val="13"/>
                <w:color w:val="auto"/>
              </w:rPr>
            </w:pPr>
          </w:p>
        </w:tc>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3"/>
                <w:szCs w:val="13"/>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Accumulated impairment losses as of December 31,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500,417</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4,498,884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impairment losses as of September 30,</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522,184</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4,520,651</w:t>
            </w:r>
          </w:p>
        </w:tc>
        <w:tc>
          <w:tcPr>
            <w:tcW w:w="0" w:type="dxa"/>
            <w:vAlign w:val="bottom"/>
          </w:tcPr>
          <w:p>
            <w:pPr>
              <w:spacing w:after="0"/>
              <w:rPr>
                <w:sz w:val="1"/>
                <w:szCs w:val="1"/>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amount of other intangible assets for the nine months ended September 30, 2020 were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80" w:type="dxa"/>
            <w:vAlign w:val="bottom"/>
          </w:tcPr>
          <w:p>
            <w:pPr>
              <w:spacing w:after="0"/>
              <w:rPr>
                <w:sz w:val="13"/>
                <w:szCs w:val="13"/>
                <w:color w:val="auto"/>
              </w:rPr>
            </w:pPr>
          </w:p>
        </w:tc>
        <w:tc>
          <w:tcPr>
            <w:tcW w:w="116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8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240" w:type="dxa"/>
            <w:vAlign w:val="bottom"/>
          </w:tcPr>
          <w:p>
            <w:pPr>
              <w:spacing w:after="0"/>
              <w:rPr>
                <w:sz w:val="13"/>
                <w:szCs w:val="13"/>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200" w:type="dxa"/>
            <w:vAlign w:val="bottom"/>
          </w:tcPr>
          <w:p>
            <w:pPr>
              <w:spacing w:after="0"/>
              <w:rPr>
                <w:sz w:val="13"/>
                <w:szCs w:val="13"/>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89"/>
        </w:trPr>
        <w:tc>
          <w:tcPr>
            <w:tcW w:w="2600" w:type="dxa"/>
            <w:vAlign w:val="bottom"/>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In-process research and</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(90,900)</w:t>
            </w:r>
          </w:p>
        </w:tc>
        <w:tc>
          <w:tcPr>
            <w:tcW w:w="120" w:type="dxa"/>
            <w:vAlign w:val="bottom"/>
          </w:tcPr>
          <w:p>
            <w:pPr>
              <w:spacing w:after="0"/>
              <w:rPr>
                <w:sz w:val="15"/>
                <w:szCs w:val="15"/>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w:t>
            </w: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indefinite-lived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Licenses (weighted average life</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457,402</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448,702</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14 years)</w:t>
            </w: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Tradenames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Developed technology (weighted</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5,844,439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5,765,307</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 life of 11 years)</w:t>
            </w: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6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finite-lived intangibles</w:t>
            </w: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(weighted average life of 11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6,308,250</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(65,771)</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(15,428)</w:t>
            </w:r>
          </w:p>
        </w:tc>
        <w:tc>
          <w:tcPr>
            <w:tcW w:w="120" w:type="dxa"/>
            <w:vAlign w:val="bottom"/>
          </w:tcPr>
          <w:p>
            <w:pPr>
              <w:spacing w:after="0"/>
              <w:rPr>
                <w:sz w:val="15"/>
                <w:szCs w:val="15"/>
                <w:color w:val="auto"/>
              </w:rPr>
            </w:pPr>
          </w:p>
        </w:tc>
        <w:tc>
          <w:tcPr>
            <w:tcW w:w="2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6,220,418</w:t>
            </w: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years)</w:t>
            </w: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6,402,150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6,223,418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80" w:type="dxa"/>
            <w:vAlign w:val="bottom"/>
          </w:tcPr>
          <w:p>
            <w:pPr>
              <w:spacing w:after="0"/>
              <w:rPr>
                <w:sz w:val="11"/>
                <w:szCs w:val="11"/>
                <w:color w:val="auto"/>
              </w:rPr>
            </w:pPr>
          </w:p>
        </w:tc>
        <w:tc>
          <w:tcPr>
            <w:tcW w:w="1160" w:type="dxa"/>
            <w:vAlign w:val="bottom"/>
          </w:tcPr>
          <w:p>
            <w:pPr>
              <w:jc w:val="center"/>
              <w:ind w:right="73"/>
              <w:spacing w:after="0" w:line="136"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1"/>
                <w:szCs w:val="11"/>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240" w:type="dxa"/>
            <w:vAlign w:val="bottom"/>
          </w:tcPr>
          <w:p>
            <w:pPr>
              <w:spacing w:after="0"/>
              <w:rPr>
                <w:sz w:val="11"/>
                <w:szCs w:val="11"/>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440" w:type="dxa"/>
            <w:vAlign w:val="bottom"/>
            <w:gridSpan w:val="3"/>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rPr>
              <w:t>Effect of Currency</w:t>
            </w:r>
          </w:p>
        </w:tc>
        <w:tc>
          <w:tcPr>
            <w:tcW w:w="200" w:type="dxa"/>
            <w:vAlign w:val="bottom"/>
          </w:tcPr>
          <w:p>
            <w:pPr>
              <w:spacing w:after="0"/>
              <w:rPr>
                <w:sz w:val="11"/>
                <w:szCs w:val="11"/>
                <w:color w:val="auto"/>
              </w:rPr>
            </w:pPr>
          </w:p>
        </w:tc>
        <w:tc>
          <w:tcPr>
            <w:tcW w:w="1160" w:type="dxa"/>
            <w:vAlign w:val="bottom"/>
          </w:tcPr>
          <w:p>
            <w:pPr>
              <w:jc w:val="center"/>
              <w:ind w:right="113"/>
              <w:spacing w:after="0" w:line="136"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89"/>
        </w:trPr>
        <w:tc>
          <w:tcPr>
            <w:tcW w:w="2600" w:type="dxa"/>
            <w:vAlign w:val="bottom"/>
            <w:vMerge w:val="continue"/>
          </w:tcPr>
          <w:p>
            <w:pPr>
              <w:spacing w:after="0"/>
              <w:rPr>
                <w:sz w:val="16"/>
                <w:szCs w:val="16"/>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intangibles:</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(410,336)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(416,498)</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Tradenames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30"/>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(3,621,649)</w:t>
            </w:r>
          </w:p>
        </w:tc>
        <w:tc>
          <w:tcPr>
            <w:tcW w:w="0" w:type="dxa"/>
            <w:vAlign w:val="bottom"/>
          </w:tcPr>
          <w:p>
            <w:pPr>
              <w:spacing w:after="0"/>
              <w:rPr>
                <w:sz w:val="1"/>
                <w:szCs w:val="1"/>
                <w:color w:val="auto"/>
              </w:rPr>
            </w:pPr>
          </w:p>
        </w:tc>
      </w:tr>
      <w:tr>
        <w:trPr>
          <w:trHeight w:val="248"/>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intangibles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(3,830,883)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(4,044,556)</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other intangibles</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2,571,267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2,178,862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00" w:right="220" w:hanging="330"/>
        <w:spacing w:after="0" w:line="258" w:lineRule="auto"/>
        <w:tabs>
          <w:tab w:leader="none" w:pos="4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reclassification adjustments of $90.9 million from In-process research and development to Developed technology for certain assets that were placed in service during the nine months ended September 30, 2020. The remaining amounts primarily relate to the removal of certain fully amortized Developed technology intangible assets.</w:t>
      </w:r>
    </w:p>
    <w:p>
      <w:pPr>
        <w:spacing w:after="0" w:line="74"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2020 totaled $104.1 million and $325.8 million, respectively. Amortization expense for the three and nine months ended September 30, 2019 totaled $131.9 million and $417.9 million, respectively. Amortization expense is included in Cost of revenues in the Condensed Consolidated Statements of Operations. For intangible assets subject to amortization, estimated amortization expense for the five fiscal years subsequent to December 31, 2019 is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2020</w:t>
            </w:r>
          </w:p>
        </w:tc>
        <w:tc>
          <w:tcPr>
            <w:tcW w:w="7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428,828</w:t>
            </w:r>
          </w:p>
        </w:tc>
      </w:tr>
      <w:tr>
        <w:trPr>
          <w:trHeight w:val="229"/>
        </w:trPr>
        <w:tc>
          <w:tcPr>
            <w:tcW w:w="29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2021</w:t>
            </w:r>
          </w:p>
        </w:tc>
        <w:tc>
          <w:tcPr>
            <w:tcW w:w="7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394,331</w:t>
            </w:r>
          </w:p>
        </w:tc>
      </w:tr>
      <w:tr>
        <w:trPr>
          <w:trHeight w:val="230"/>
        </w:trPr>
        <w:tc>
          <w:tcPr>
            <w:tcW w:w="2960" w:type="dxa"/>
            <w:vAlign w:val="bottom"/>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2022</w:t>
            </w:r>
          </w:p>
        </w:tc>
        <w:tc>
          <w:tcPr>
            <w:tcW w:w="7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379,640</w:t>
            </w:r>
          </w:p>
        </w:tc>
      </w:tr>
      <w:tr>
        <w:trPr>
          <w:trHeight w:val="230"/>
        </w:trPr>
        <w:tc>
          <w:tcPr>
            <w:tcW w:w="296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2023</w:t>
            </w:r>
          </w:p>
        </w:tc>
        <w:tc>
          <w:tcPr>
            <w:tcW w:w="7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336,465</w:t>
            </w:r>
          </w:p>
        </w:tc>
      </w:tr>
      <w:tr>
        <w:trPr>
          <w:trHeight w:val="230"/>
        </w:trPr>
        <w:tc>
          <w:tcPr>
            <w:tcW w:w="2960" w:type="dxa"/>
            <w:vAlign w:val="bottom"/>
            <w:shd w:val="clear" w:color="auto" w:fill="CCEEFF"/>
          </w:tcPr>
          <w:p>
            <w:pPr>
              <w:jc w:val="right"/>
              <w:ind w:right="2490"/>
              <w:spacing w:after="0"/>
              <w:rPr>
                <w:sz w:val="20"/>
                <w:szCs w:val="20"/>
                <w:color w:val="auto"/>
              </w:rPr>
            </w:pPr>
            <w:r>
              <w:rPr>
                <w:rFonts w:ascii="Times New Roman" w:cs="Times New Roman" w:eastAsia="Times New Roman" w:hAnsi="Times New Roman"/>
                <w:sz w:val="18"/>
                <w:szCs w:val="18"/>
                <w:color w:val="auto"/>
                <w:w w:val="99"/>
              </w:rPr>
              <w:t>2024</w:t>
            </w:r>
          </w:p>
        </w:tc>
        <w:tc>
          <w:tcPr>
            <w:tcW w:w="7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298,198</w:t>
            </w:r>
          </w:p>
        </w:tc>
      </w:tr>
      <w:tr>
        <w:trPr>
          <w:trHeight w:val="742"/>
        </w:trPr>
        <w:tc>
          <w:tcPr>
            <w:tcW w:w="2960" w:type="dxa"/>
            <w:vAlign w:val="bottom"/>
          </w:tcPr>
          <w:p>
            <w:pPr>
              <w:spacing w:after="0"/>
              <w:rPr>
                <w:sz w:val="24"/>
                <w:szCs w:val="24"/>
                <w:color w:val="auto"/>
              </w:rPr>
            </w:pPr>
          </w:p>
        </w:tc>
        <w:tc>
          <w:tcPr>
            <w:tcW w:w="7320" w:type="dxa"/>
            <w:vAlign w:val="bottom"/>
          </w:tcPr>
          <w:p>
            <w:pPr>
              <w:jc w:val="right"/>
              <w:ind w:right="447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7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Impairments</w:t>
      </w:r>
    </w:p>
    <w:p>
      <w:pPr>
        <w:spacing w:after="0" w:line="121"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and when events or changes in circumstances indicate that the asset might be impaired. Our annual assessment is performed as of October 1.</w:t>
      </w:r>
    </w:p>
    <w:p>
      <w:pPr>
        <w:spacing w:after="0" w:line="5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5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discounted cash flow models are dependent upon our estimates of future cash flows and other factors including estimates of (i) future operating performance, including future sales, long-term growth rates, operating margins, discount rates, variations in the amount and timing of cash flows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based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Condensed Consolidated Statements of Operations.</w:t>
      </w:r>
    </w:p>
    <w:p>
      <w:pPr>
        <w:spacing w:after="0" w:line="8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2020 and 2019, the Company incurred the following goodwill and other intangible asset impairment charges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151,108</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 charges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104,660</w:t>
            </w:r>
          </w:p>
        </w:tc>
      </w:tr>
    </w:tbl>
    <w:p>
      <w:pPr>
        <w:spacing w:after="0" w:line="85"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Except as described below, pre-tax non-cash asset impairment charges related primarily to certain in-process research and development and/or developed technology intangible assets that were tested for impairment following changes in market conditions and certain other factors impacting recoverability.</w:t>
      </w:r>
    </w:p>
    <w:p>
      <w:pPr>
        <w:spacing w:after="0" w:line="68"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As a result of certain business decisions that occurred during the first quarter of 2020, we tested the goodwill of our Paladin reporting unit for impairment as of March 31, 2020. The fair value of the reporting unit was estimated using an income approach that utilized a discounted cash flow model. The discount rate utilized in this test was 9.5%. This goodwill impairment test resulted in a pre-tax non-cash goodwill impairment charge of $32.8 million during the three months ended March 31, 2020, representing the remaining carrying amount. This impairment was primarily attributable to portfolio decisions and updated market expectations during the quarter.</w:t>
      </w:r>
    </w:p>
    <w:p>
      <w:pPr>
        <w:spacing w:after="0" w:line="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a result of certain competitive events that occurred during the first quarter of 2019, we tested the goodwill of our Generic Pharmaceuticals reporting unit for impairment as of March 31, 2019. The fair value of the reporting unit was estimated using an income approach that utilized a discounted cash flow model. The discount rate utilized in this test was 10.5%. This goodwill impairment test resulted in a pre-tax non-cash goodwill impairment charge of $86.0 million during the three months ended March 31, 2019, representing the excess of this reporting unit’s carrying amount over its estimated fair value. This Generic Pharmaceuticals impairment can be primarily attributed to the impact of the competitive events referenced above and an increase in the discount rate used in the determination of fair value.</w:t>
      </w:r>
    </w:p>
    <w:p>
      <w:pPr>
        <w:spacing w:after="0" w:line="7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During the second quarter of 2019, unfavorable competitive and pricing events occurred that caused us to update certain assumptions from those used in our first-quarter 2019 Generic Pharmaceuticals goodwill impairment test. We considered these events, together with the fact that this reporting unit’s carrying amount equaled its fair value immediately subsequent to the first-quarter 2019 goodwill impairment charge, as part of our qualitative assessment of goodwill triggering events for the second quarter of 2019. As a result, we concluded that it was more likely than not that the fair value of this reporting unit was below its carrying amount as of June 30, 2019 and a goodwill impairment test was required. After performing this quantitative test, we determined that this reporting unit’s carrying amount exceeded its estimated fair value. The fair value of the reporting unit was estimated using an income approach that utilized a discounted cash flow model. The discount rate utilized in this test was 10.5%. Based on the excess of this reporting unit’s carrying amount over its estimated fair value, we recorded a pre-tax non-cash goodwill impairment charge of $65.1 million during the three months ended June 30, 2019, representing the entire remaining amount of this reporting unit’s goodwill.</w:t>
      </w:r>
    </w:p>
    <w:p>
      <w:pPr>
        <w:spacing w:after="0" w:line="80"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CONTRACT ASSETS AND LIABILITIES</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September 30, 2020,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9"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6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opening and closing balances of contract assets and contract liabilities from contracts with customers (dollars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8"/>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 (1)</w:t>
            </w: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net (2)</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Pr>
          <w:p>
            <w:pPr>
              <w:spacing w:after="0"/>
              <w:rPr>
                <w:sz w:val="20"/>
                <w:szCs w:val="20"/>
                <w:color w:val="auto"/>
              </w:rPr>
            </w:pPr>
          </w:p>
        </w:tc>
        <w:tc>
          <w:tcPr>
            <w:tcW w:w="48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1" w:lineRule="exact"/>
        <w:rPr>
          <w:sz w:val="20"/>
          <w:szCs w:val="20"/>
          <w:color w:val="auto"/>
        </w:rPr>
      </w:pPr>
    </w:p>
    <w:p>
      <w:pPr>
        <w:jc w:val="both"/>
        <w:ind w:left="500" w:right="260" w:hanging="330"/>
        <w:spacing w:after="0" w:line="241" w:lineRule="auto"/>
        <w:tabs>
          <w:tab w:leader="none" w:pos="49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2020, approximately $2.6 million of this contract asset amount is classified as current and is included in Prepaid expenses and other current assets in the Company’s Condensed Consolidated Balance Sheets. The remaining amount is classified as noncurrent and is included in Other assets. The net increase in contract assets during the nine months ended September 30, 2020 was primarily due to the Company’s estimated consideration for the sale of certain intellectual property rights.</w:t>
      </w:r>
    </w:p>
    <w:p>
      <w:pPr>
        <w:spacing w:after="0" w:line="1" w:lineRule="exact"/>
        <w:rPr>
          <w:rFonts w:ascii="Times New Roman" w:cs="Times New Roman" w:eastAsia="Times New Roman" w:hAnsi="Times New Roman"/>
          <w:sz w:val="14"/>
          <w:szCs w:val="14"/>
          <w:color w:val="auto"/>
        </w:rPr>
      </w:pPr>
    </w:p>
    <w:p>
      <w:pPr>
        <w:ind w:left="500" w:right="80" w:hanging="330"/>
        <w:spacing w:after="0" w:line="247" w:lineRule="auto"/>
        <w:tabs>
          <w:tab w:leader="none" w:pos="49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2020 and December 31, 2019, approximately $2.9 million and $1.4 million, respectively, of these contract liability amounts are classified as current and are included in Accounts payable and accrued expenses in the Company’s Condensed Consolidated Balance Sheets. The remaining amounts are classified as noncurrent and are included in Other liabilities. The increase in contract liabilities during the nine months ended September 30, 2020 was primarily due to a new agreement entered into during the nine months ended September 30, 2020, partially offset by approximately $0.4 million in revenue recognized during the period.</w:t>
      </w:r>
    </w:p>
    <w:p>
      <w:pPr>
        <w:spacing w:after="0" w:line="8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we recognized revenue of $14.0 million relating to performance obligations satisfied, or partially satisfied, in prior periods. Such revenue generally relates to changes in estimates with respect to our variable consideration.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ACCOUNTS PAYABLE AND ACCRUED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include the following at September 30, 2020 and December 31, 2019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35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101,532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and allowances</w:t>
            </w: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206,248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3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Chargebacks</w:t>
            </w: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112,860</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royalties and other distribution partner payables</w:t>
            </w:r>
          </w:p>
        </w:tc>
        <w:tc>
          <w:tcPr>
            <w:tcW w:w="3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115,816</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5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146,440</w:t>
            </w:r>
          </w:p>
        </w:tc>
        <w:tc>
          <w:tcPr>
            <w:tcW w:w="0" w:type="dxa"/>
            <w:vAlign w:val="bottom"/>
          </w:tcPr>
          <w:p>
            <w:pPr>
              <w:spacing w:after="0"/>
              <w:rPr>
                <w:sz w:val="1"/>
                <w:szCs w:val="1"/>
                <w:color w:val="auto"/>
              </w:rPr>
            </w:pPr>
          </w:p>
        </w:tc>
      </w:tr>
      <w:tr>
        <w:trPr>
          <w:trHeight w:val="223"/>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580" w:type="dxa"/>
            <w:vAlign w:val="bottom"/>
          </w:tcPr>
          <w:p>
            <w:pPr>
              <w:spacing w:after="0"/>
              <w:rPr>
                <w:sz w:val="19"/>
                <w:szCs w:val="19"/>
                <w:color w:val="auto"/>
              </w:rPr>
            </w:pPr>
          </w:p>
        </w:tc>
        <w:tc>
          <w:tcPr>
            <w:tcW w:w="4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868,404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899,949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580" w:type="dxa"/>
            <w:vAlign w:val="bottom"/>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8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DEBT</w:t>
      </w:r>
    </w:p>
    <w:p>
      <w:pPr>
        <w:spacing w:after="0" w:line="121"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total indebtedness at September 30, 2020 and December 31, 2019 (dollars in thousands):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2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00" w:type="dxa"/>
            <w:vAlign w:val="bottom"/>
          </w:tcPr>
          <w:p>
            <w:pPr>
              <w:spacing w:after="0"/>
              <w:rPr>
                <w:sz w:val="11"/>
                <w:szCs w:val="11"/>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tcPr>
          <w:p>
            <w:pPr>
              <w:spacing w:after="0"/>
              <w:rPr>
                <w:sz w:val="11"/>
                <w:szCs w:val="11"/>
                <w:color w:val="auto"/>
              </w:rPr>
            </w:pPr>
          </w:p>
        </w:tc>
        <w:tc>
          <w:tcPr>
            <w:tcW w:w="12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1"/>
                <w:szCs w:val="11"/>
                <w:color w:val="auto"/>
              </w:rPr>
            </w:pPr>
          </w:p>
        </w:tc>
        <w:tc>
          <w:tcPr>
            <w:tcW w:w="1120" w:type="dxa"/>
            <w:vAlign w:val="bottom"/>
            <w:gridSpan w:val="3"/>
          </w:tcPr>
          <w:p>
            <w:pPr>
              <w:jc w:val="right"/>
              <w:ind w:right="310"/>
              <w:spacing w:after="0" w:line="134"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tcPr>
          <w:p>
            <w:pPr>
              <w:spacing w:after="0"/>
              <w:rPr>
                <w:sz w:val="11"/>
                <w:szCs w:val="11"/>
                <w:color w:val="auto"/>
              </w:rPr>
            </w:pPr>
          </w:p>
        </w:tc>
        <w:tc>
          <w:tcPr>
            <w:tcW w:w="12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7.25%</w:t>
            </w:r>
          </w:p>
        </w:tc>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5.75%</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182,479</w:t>
            </w:r>
          </w:p>
        </w:tc>
        <w:tc>
          <w:tcPr>
            <w:tcW w:w="0" w:type="dxa"/>
            <w:vAlign w:val="bottom"/>
          </w:tcPr>
          <w:p>
            <w:pPr>
              <w:spacing w:after="0"/>
              <w:rPr>
                <w:sz w:val="1"/>
                <w:szCs w:val="1"/>
                <w:color w:val="auto"/>
              </w:rPr>
            </w:pPr>
          </w:p>
        </w:tc>
      </w:tr>
      <w:tr>
        <w:trPr>
          <w:trHeight w:val="22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Notes due 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209,018</w:t>
            </w:r>
          </w:p>
        </w:tc>
        <w:tc>
          <w:tcPr>
            <w:tcW w:w="0" w:type="dxa"/>
            <w:vAlign w:val="bottom"/>
          </w:tcPr>
          <w:p>
            <w:pPr>
              <w:spacing w:after="0"/>
              <w:rPr>
                <w:sz w:val="1"/>
                <w:szCs w:val="1"/>
                <w:color w:val="auto"/>
              </w:rPr>
            </w:pP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1,426,998</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5.875% Senior Secured Notes due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297,109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296,647</w:t>
            </w:r>
          </w:p>
        </w:tc>
        <w:tc>
          <w:tcPr>
            <w:tcW w:w="0" w:type="dxa"/>
            <w:vAlign w:val="bottom"/>
          </w:tcPr>
          <w:p>
            <w:pPr>
              <w:spacing w:after="0"/>
              <w:rPr>
                <w:sz w:val="1"/>
                <w:szCs w:val="1"/>
                <w:color w:val="auto"/>
              </w:rPr>
            </w:pP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1,185,726</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7.50%</w:t>
            </w: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2027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1,994,514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1,482,212</w:t>
            </w:r>
          </w:p>
        </w:tc>
        <w:tc>
          <w:tcPr>
            <w:tcW w:w="0" w:type="dxa"/>
            <w:vAlign w:val="bottom"/>
          </w:tcPr>
          <w:p>
            <w:pPr>
              <w:spacing w:after="0"/>
              <w:rPr>
                <w:sz w:val="1"/>
                <w:szCs w:val="1"/>
                <w:color w:val="auto"/>
              </w:rPr>
            </w:pPr>
          </w:p>
        </w:tc>
      </w:tr>
      <w:tr>
        <w:trPr>
          <w:trHeight w:val="175"/>
        </w:trPr>
        <w:tc>
          <w:tcPr>
            <w:tcW w:w="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8"/>
              </w:rPr>
              <w:t>9.50%</w:t>
            </w:r>
          </w:p>
        </w:tc>
        <w:tc>
          <w:tcPr>
            <w:tcW w:w="3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Secured Second Lien Notes due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932,175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1,251,498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3,281,385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3,329,625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3,302,675</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23"/>
        </w:trPr>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8,384,981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8,320,501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8,470,678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8,394,049</w:t>
            </w:r>
          </w:p>
        </w:tc>
        <w:tc>
          <w:tcPr>
            <w:tcW w:w="0" w:type="dxa"/>
            <w:vAlign w:val="bottom"/>
          </w:tcPr>
          <w:p>
            <w:pPr>
              <w:spacing w:after="0"/>
              <w:rPr>
                <w:sz w:val="1"/>
                <w:szCs w:val="1"/>
                <w:color w:val="auto"/>
              </w:rPr>
            </w:pPr>
          </w:p>
        </w:tc>
      </w:tr>
      <w:tr>
        <w:trPr>
          <w:trHeight w:val="223"/>
        </w:trPr>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current portion, net</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w:t>
            </w:r>
          </w:p>
        </w:tc>
        <w:tc>
          <w:tcPr>
            <w:tcW w:w="0" w:type="dxa"/>
            <w:vAlign w:val="bottom"/>
          </w:tcPr>
          <w:p>
            <w:pPr>
              <w:spacing w:after="0"/>
              <w:rPr>
                <w:sz w:val="1"/>
                <w:szCs w:val="1"/>
                <w:color w:val="auto"/>
              </w:rPr>
            </w:pPr>
          </w:p>
        </w:tc>
      </w:tr>
      <w:tr>
        <w:trPr>
          <w:trHeight w:val="22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less current portion, net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8,350,831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8,286,351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8,436,528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8,359,899</w:t>
            </w: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486"/>
        <w:spacing w:after="0" w:line="276" w:lineRule="auto"/>
        <w:rPr>
          <w:sz w:val="20"/>
          <w:szCs w:val="20"/>
          <w:color w:val="auto"/>
        </w:rPr>
      </w:pPr>
      <w:r>
        <w:rPr>
          <w:rFonts w:ascii="Times New Roman" w:cs="Times New Roman" w:eastAsia="Times New Roman" w:hAnsi="Times New Roman"/>
          <w:sz w:val="17"/>
          <w:szCs w:val="17"/>
          <w:color w:val="auto"/>
        </w:rPr>
        <w:t>The Company and its subsidiaries, with certain customary exceptions, guarantee or serve as issuers or borrowers of the debt instruments representing substantially all of the Company’s indebtedness at September 30, 2020. The obligations under (i) the 5.875% Senior Secured Notes due 2024, (ii) the</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7.50% Senior Secured Notes due 2027 and (iii) the Credit Agreement (as defined below) and related loan documents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by a perfected first priority lien (subject to certain permitted liens) on the collateral securing such instruments, which collateral represents substantially all of the assets of the issuers or borrowers and the guarantors party thereto (subject to customary exceptions). The obligations under the 9.50% Senior Secured Second Lien Notes due 2027 are secured by a second priority lien (subject to certain permitted liens) on, and on a junior basis with respect to, the collateral securing the obligations under the Credit Agreement, the 5.875% Senior Secured Notes due 2024 and the 7.50% Senior Secured Notes due 2027 and the related guarantees. Our senior unsecured notes are unsecured and effectively subordinated in right of priority to the Credit Agreement, the 5.875% Senior Secured Notes due 2024, the 7.50% Senior Secured Notes due 2027 and the 9.50% Senior Secured Second Lien Notes due 2027, in each case to the extent of the value of the collateral securing such instruments.</w:t>
      </w:r>
    </w:p>
    <w:p>
      <w:pPr>
        <w:spacing w:after="0" w:line="8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aggregate estimated fair value of the Company’s long-term debt, which was estimated using inputs based on quoted market prices for the same or similar debt issuances, was $8.1 billion and $7.4 billion at September 30, 2020 and December 31, 2019, respectively. Based on this valuation methodology, we determined these debt instruments represent Level 2 measurements within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Company and certain of its subsidiaries are party to a credit agreement (as amended from time to time, the Credit Agreement), which provides for (i) a $1,000.0 million senior secured revolving credit facility (the Revolving Credit Facility) and (ii) a senior secured term loan facility in an initial principal amount of $3,415.0 million (the Term Loan Facility and, together with the Revolving Credit Facility, the Credit Facilities). Current amounts outstanding under the Credit Facilities are set forth in the table above. After giving effect to borrowings under the Revolving Credit Facility and issued and outstanding letters of credit, approximately $696.2 million of remaining credit is available under the Revolving Credit Facility as of September 30, 2020. The Company’s outstanding debt agreements contain a number of restrictive covenants, including certain limitations on the Company’s ability to incur additional indebtedness.</w:t>
      </w:r>
    </w:p>
    <w:p>
      <w:pPr>
        <w:spacing w:after="0" w:line="81" w:lineRule="exact"/>
        <w:rPr>
          <w:sz w:val="20"/>
          <w:szCs w:val="20"/>
          <w:color w:val="auto"/>
        </w:rPr>
      </w:pPr>
    </w:p>
    <w:p>
      <w:pPr>
        <w:ind w:right="1560" w:firstLine="526"/>
        <w:spacing w:after="0" w:line="375" w:lineRule="auto"/>
        <w:rPr>
          <w:sz w:val="20"/>
          <w:szCs w:val="20"/>
          <w:color w:val="auto"/>
        </w:rPr>
      </w:pPr>
      <w:r>
        <w:rPr>
          <w:rFonts w:ascii="Times New Roman" w:cs="Times New Roman" w:eastAsia="Times New Roman" w:hAnsi="Times New Roman"/>
          <w:sz w:val="18"/>
          <w:szCs w:val="18"/>
          <w:color w:val="auto"/>
        </w:rPr>
        <w:t xml:space="preserve">At September 30, 2020 and December 31, 2019, we were in compliance with all covenants contained in the Credit Agreement. </w:t>
      </w:r>
      <w:r>
        <w:rPr>
          <w:rFonts w:ascii="Times New Roman" w:cs="Times New Roman" w:eastAsia="Times New Roman" w:hAnsi="Times New Roman"/>
          <w:sz w:val="18"/>
          <w:szCs w:val="18"/>
          <w:b w:val="1"/>
          <w:bCs w:val="1"/>
          <w:color w:val="auto"/>
        </w:rPr>
        <w:t>Senior Notes and Senior Secured Notes</w:t>
      </w:r>
    </w:p>
    <w:p>
      <w:pPr>
        <w:spacing w:after="0" w:line="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June 2020 Refinancing Transactions (as defined below) resulted in certain changes to our senior notes and senior secured notes that are further described under the heading “Debt Financing Transactions”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60" w:firstLine="486"/>
        <w:spacing w:after="0" w:line="257" w:lineRule="auto"/>
        <w:rPr>
          <w:sz w:val="20"/>
          <w:szCs w:val="20"/>
          <w:color w:val="auto"/>
        </w:rPr>
      </w:pPr>
      <w:r>
        <w:rPr>
          <w:rFonts w:ascii="Times New Roman" w:cs="Times New Roman" w:eastAsia="Times New Roman" w:hAnsi="Times New Roman"/>
          <w:sz w:val="18"/>
          <w:szCs w:val="18"/>
          <w:color w:val="auto"/>
        </w:rPr>
        <w:t>Following the June 2020 Refinancing Transactions, our various senior notes and senior secured notes mature between 2022 and 2028. The indentures governing these notes generally allow for redemption prior to maturity, in whole or in part, subject to certain restrictions and limitations described therein, in the following ways:</w:t>
      </w:r>
    </w:p>
    <w:p>
      <w:pPr>
        <w:spacing w:after="0" w:line="1" w:lineRule="exact"/>
        <w:rPr>
          <w:sz w:val="20"/>
          <w:szCs w:val="20"/>
          <w:color w:val="auto"/>
        </w:rPr>
      </w:pPr>
    </w:p>
    <w:p>
      <w:pPr>
        <w:ind w:left="900" w:right="80" w:hanging="244"/>
        <w:spacing w:after="0" w:line="250"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 date specified in each indenture (the Non-Call Period), the notes may be redeemed, in whole or in part, by paying the sum of: (i) 100% of the principal amount being redeemed, (ii) an applicable make-whole premium as described in each indenture and (iii) accrued and unpaid interest to, but excluding, the redemption date. As of September 30, 2020, the Non-Call Period has expired for each of our notes except for the 7.50% Senior Secured Notes due 2027, the 9.50% Senior Secured Second Lien Notes due 2027 and the 6.00% Senior Notes due 2028.</w:t>
      </w:r>
    </w:p>
    <w:p>
      <w:pPr>
        <w:spacing w:after="0" w:line="1" w:lineRule="exact"/>
        <w:rPr>
          <w:rFonts w:ascii="Times New Roman" w:cs="Times New Roman" w:eastAsia="Times New Roman" w:hAnsi="Times New Roman"/>
          <w:sz w:val="18"/>
          <w:szCs w:val="18"/>
          <w:color w:val="auto"/>
        </w:rPr>
      </w:pPr>
    </w:p>
    <w:p>
      <w:pPr>
        <w:ind w:left="900" w:right="100" w:hanging="244"/>
        <w:spacing w:after="0" w:line="250"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Non-Call Period specified in each indenture, the notes may be redeemed, in whole or in part, at redemption prices set forth in each indenture, plus accrued and unpaid interest to, but excluding, the redemption date. The redemption prices for each of our notes vary over time. The redemption prices pursuant to this clause range from 100.000% to 107.125% of principal at September 30, 2020; however, these redemption prices generally decrease to 100% of the principal amount of the applicable notes over time as the notes approach maturity pursuant to a step-down schedule set forth in each of the indentures.</w:t>
      </w:r>
    </w:p>
    <w:p>
      <w:pPr>
        <w:spacing w:after="0" w:line="1" w:lineRule="exact"/>
        <w:rPr>
          <w:rFonts w:ascii="Times New Roman" w:cs="Times New Roman" w:eastAsia="Times New Roman" w:hAnsi="Times New Roman"/>
          <w:sz w:val="18"/>
          <w:szCs w:val="18"/>
          <w:color w:val="auto"/>
        </w:rPr>
      </w:pPr>
    </w:p>
    <w:p>
      <w:pPr>
        <w:ind w:left="900" w:hanging="244"/>
        <w:spacing w:after="0" w:line="253"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 date specified in each indenture, the notes may be redeemed, in part (up to 35% or 40% of the principal amount outstanding as specified in each indenture), with the net cash proceeds from specified equity offerings at redemption prices set forth in each indenture, plus accrued and unpaid interest to, but excluding, the redemption date. As of September 30, 2020, this clause has expired for each of our notes except for the 7.50% Senior Secured Notes due 2027, the 9.50% Senior Secured Second Lien Notes due 2027 and the 6.00% Senior Notes due 2028, for which the specified redemption premiums are 107.500%, 109.500% and 106.000%, respectively.</w:t>
      </w:r>
    </w:p>
    <w:p>
      <w:pPr>
        <w:spacing w:after="0" w:line="7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Following the June 2020 Refinancing Transactions, the indentures governing our various senior secured notes and the 6.00% Senior Notes due 2028 contain affirmative and negative covenants that the Company believes to be customary for similar indentures. Under the senior secured notes indentures, the negative covenants, among other things, restrict the Company’s ability and the ability of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These covenants are subject to a number of exceptions and qualifications, including the fall away or revision of certain of these covenants and release of collateral in the case of the senior secured notes, upon the notes receiving investment grade credit ratings. At September 30, 2020 and December 31, 2019, we were in compliance with all covenants contained in the indentures governing our various senior notes and senior secured notes. As further described under the heading “Debt Financing Transactions” below, we have eliminated substantially all of the restrictive covenants and certain events of default in the indentures governing our senior unsecured notes, except for those in the 6.00% Senior Notes due 2028 indenture.</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other significant changes to our senior notes and senior secured notes since December 31, 2019.</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 Transactions</w:t>
      </w:r>
    </w:p>
    <w:p>
      <w:pPr>
        <w:spacing w:after="0" w:line="121" w:lineRule="exact"/>
        <w:rPr>
          <w:sz w:val="20"/>
          <w:szCs w:val="20"/>
          <w:color w:val="auto"/>
        </w:rPr>
      </w:pPr>
    </w:p>
    <w:p>
      <w:pPr>
        <w:ind w:right="60" w:firstLine="526"/>
        <w:spacing w:after="0" w:line="282" w:lineRule="auto"/>
        <w:rPr>
          <w:sz w:val="20"/>
          <w:szCs w:val="20"/>
          <w:color w:val="auto"/>
        </w:rPr>
      </w:pPr>
      <w:r>
        <w:rPr>
          <w:rFonts w:ascii="Times New Roman" w:cs="Times New Roman" w:eastAsia="Times New Roman" w:hAnsi="Times New Roman"/>
          <w:sz w:val="18"/>
          <w:szCs w:val="18"/>
          <w:color w:val="auto"/>
        </w:rPr>
        <w:t>Set forth below are certain disclosures relating to debt financing transactions that occurred during the nine months ended September 30, 2020 or the year ended December 31, 2019.</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March 2019 Refinancing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March 2019, the Company executed certain transactions (the March 2019 Refinancing Transactions) that included:</w:t>
      </w:r>
    </w:p>
    <w:p>
      <w:pPr>
        <w:spacing w:after="0" w:line="27" w:lineRule="exact"/>
        <w:rPr>
          <w:sz w:val="20"/>
          <w:szCs w:val="20"/>
          <w:color w:val="auto"/>
        </w:rPr>
      </w:pPr>
    </w:p>
    <w:p>
      <w:pPr>
        <w:ind w:left="900" w:hanging="24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an amendment (the Revolving Credit Facility Amendment) to the Credit Agreement;</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$1,500.0 million of 7.50% Senior Secured Notes due 2027;</w:t>
      </w:r>
    </w:p>
    <w:p>
      <w:pPr>
        <w:spacing w:after="0" w:line="9" w:lineRule="exact"/>
        <w:rPr>
          <w:rFonts w:ascii="Times New Roman" w:cs="Times New Roman" w:eastAsia="Times New Roman" w:hAnsi="Times New Roman"/>
          <w:sz w:val="18"/>
          <w:szCs w:val="18"/>
          <w:color w:val="auto"/>
        </w:rPr>
      </w:pPr>
    </w:p>
    <w:p>
      <w:pPr>
        <w:ind w:left="900" w:right="240" w:hanging="244"/>
        <w:spacing w:after="0" w:line="250"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$1,642.2 million aggregate principal amount ($1,624.0 million aggregate carrying amount) of certain of the Company’s senior unsecured notes for $1,500.0 million in cash, excluding accrued interest (the Notes Repurchases); and</w:t>
      </w:r>
    </w:p>
    <w:p>
      <w:pPr>
        <w:ind w:left="900" w:right="280" w:hanging="244"/>
        <w:spacing w:after="0" w:line="255"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solicitation of consents from the holders of the existing 7.25% Senior Notes due 2022 and 5.75% Senior Notes due 2022 to certain amendments to the indentures governing such notes, which eliminated substantially all of the restrictive covenants, certain events of default and other provisions contained in each such indenture.</w:t>
      </w:r>
    </w:p>
    <w:p>
      <w:pPr>
        <w:spacing w:after="0" w:line="78"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difference between the cash paid and the carrying amount of notes repurchased in the Notes Repurchases resulted in a $124.0 million gain. In connection with the March 2019 Refinancing Transactions, we also incurred costs and fees totaling $26.2 million, of which $4.2 million related to the Notes Repurchases, $19.1 million related to the 7.50% Senior Secured Notes due 2027 issuance and $2.9 million related to the Revolving Credit Facility Amendment. The costs incurred in connection with the Notes Repurchases were charged to expense in the first quarter of 2019 and recorded as a partial offset to the gain. The costs incurred in connection with the 7.50% Senior Secured Notes due 2027 issuance and the Revolving Credit Facility Amendment, together with previously deferred debt issuance costs associated with the Revolving Credit Facility, have been deferred to be amortized as interest expense over the terms of the respective instruments. The net gain resulting from the March 2019 Refinancing Transactions was included in the Gain on extinguishment of debt line item in the Condensed Consolidated Statements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June 2019 Revolving Credit Facility Borrowing</w:t>
      </w:r>
    </w:p>
    <w:p>
      <w:pPr>
        <w:spacing w:after="0" w:line="11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In June 2019, the Company borrowed $300.0 million under the Revolving Credit Facility to be used for purposes consistent with the Company’s capital allocation priorities, including for general corporate purposes.</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June 2020 Refinancing</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June 2020, the Company executed certain transactions (the June 2020 Refinancing Transactions) that included: (i) the solicitation of consents from the holders of the Old Notes (defined below) to certain amendments to the indentures governing such notes, which, pursuant to a supplemental indenture to each such indenture executed by the respective issuers and guarantors, eliminated substantially all of the restrictive covenants, certain events of default and other provisions contained in each such indenture and (ii) the exchanges (collectively, the Exchange Offers), by certain of the Company’s wholly-owned subsidiaries, of the following:</w:t>
      </w:r>
    </w:p>
    <w:p>
      <w:pPr>
        <w:spacing w:after="0" w:line="3" w:lineRule="exact"/>
        <w:rPr>
          <w:sz w:val="20"/>
          <w:szCs w:val="20"/>
          <w:color w:val="auto"/>
        </w:rPr>
      </w:pPr>
    </w:p>
    <w:p>
      <w:pPr>
        <w:ind w:left="900" w:right="260" w:hanging="244"/>
        <w:spacing w:after="0" w:line="250"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$204.3 million aggregate principal amount of outstanding 5.375% Senior Notes due 2023, issued by Endo Finance LLC (Endo Finance) and Endo Finco Inc. (Endo Finco) (the Old 5.375% 2023 Notes);</w:t>
      </w:r>
    </w:p>
    <w:p>
      <w:pPr>
        <w:ind w:left="900" w:right="200" w:hanging="244"/>
        <w:spacing w:after="0" w:line="250"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$1,383.4 million aggregate principal amount of outstanding 6.00% Senior Notes due 2023, co-issued by Endo Designated Activity Company (Endo DAC), Endo Finance and Endo Finco (the Old 6.00% 2023 Notes); and</w:t>
      </w:r>
    </w:p>
    <w:p>
      <w:pPr>
        <w:ind w:left="900" w:right="200" w:hanging="244"/>
        <w:spacing w:after="0" w:line="260"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$1,178.4 million aggregate principal amount of outstanding 6.00% Senior Notes due 2025, co-issued by Endo DAC, Endo Finance and Endo Finco (the Old 6.00% 2025 Notes, and collectively with the Old 5.375% 2023 Notes and Old 6.00% 2023 Notes, the Old Notes)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w:t>
      </w:r>
    </w:p>
    <w:p>
      <w:pPr>
        <w:spacing w:after="0" w:line="27" w:lineRule="exact"/>
        <w:rPr>
          <w:sz w:val="20"/>
          <w:szCs w:val="20"/>
          <w:color w:val="auto"/>
        </w:rPr>
      </w:pPr>
    </w:p>
    <w:p>
      <w:pPr>
        <w:ind w:left="900" w:right="220" w:hanging="244"/>
        <w:spacing w:after="0" w:line="250"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$515.5 million aggregate principal amount of additional 7.50% Senior Secured Notes due 2027 issued by Par Pharmaceutical, Inc. (PPI) (the Additional 7.50% Senior Secured Notes due 2027);</w:t>
      </w:r>
    </w:p>
    <w:p>
      <w:pPr>
        <w:ind w:left="900" w:right="80" w:hanging="244"/>
        <w:spacing w:after="0" w:line="250"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$940.6 million aggregate principal amount of new 9.50% Senior Secured Second Lien Notes due 2027 co-issued by Endo DAC, Endo Finance and Endo Finco (together with the Additional 7.50% Senior Secured Notes due 2027, the New Secured Notes);</w:t>
      </w:r>
    </w:p>
    <w:p>
      <w:pPr>
        <w:ind w:left="900" w:right="140" w:hanging="244"/>
        <w:spacing w:after="0" w:line="250"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$1,260.4 million aggregate principal amount of new 6.00% Senior Notes due 2028 co-issued by Endo DAC, Endo Finance and Endo Finco (collectively with the Additional 7.50% Senior Secured Notes due 2027 and the 9.50% Senior Secured Second Lien Notes due 2027, the New Senior Notes); and</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 million in cash.</w:t>
      </w:r>
    </w:p>
    <w:p>
      <w:pPr>
        <w:spacing w:after="0" w:line="9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New Senior Notes were issued in a private offering to “qualified institutional buyers” (as defined in Rule 144A under the Securities Act) and outside the U.S. to non-U.S. persons in compliance with Regulation S under the Securities Act.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Additional 7.50% Senior Secured Notes due 2027 are an additional issuance of our existing $1,500.0 million aggregate principal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 Senior Secured Notes due 2027 issued on March 28, 2019, which we refer to collectively as the 7.50% Senior Secured Notes due 2027. The 7.50%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due 2027 are guaranteed on a senior secured basis by the Company and its subsidiaries that also guarantee the Credit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the Guarantors). The 7.50% Senior Secured Notes due 2027 are senior secured obligations of PPI and the Guarantors and are secured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collateral that secures the Credit Agreement and the Company’s existing senior secured notes. Interest on the Additional 7.50% Senior Secured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2027 is payable semiannually in arrears on April 1 and October 1 of each year, beginning on October 1, 2020.</w:t>
      </w:r>
    </w:p>
    <w:p>
      <w:pPr>
        <w:spacing w:after="0" w:line="99" w:lineRule="exact"/>
        <w:rPr>
          <w:sz w:val="20"/>
          <w:szCs w:val="20"/>
          <w:color w:val="auto"/>
        </w:rPr>
      </w:pPr>
    </w:p>
    <w:p>
      <w:pPr>
        <w:ind w:right="700" w:firstLine="486"/>
        <w:spacing w:after="0" w:line="261" w:lineRule="auto"/>
        <w:rPr>
          <w:sz w:val="20"/>
          <w:szCs w:val="20"/>
          <w:color w:val="auto"/>
        </w:rPr>
      </w:pPr>
      <w:r>
        <w:rPr>
          <w:rFonts w:ascii="Times New Roman" w:cs="Times New Roman" w:eastAsia="Times New Roman" w:hAnsi="Times New Roman"/>
          <w:sz w:val="18"/>
          <w:szCs w:val="18"/>
          <w:color w:val="auto"/>
        </w:rPr>
        <w:t>The 7.50% Senior Secured Notes due 2027 will mature on April 1, 2027; however, the indenture governing these notes generally allows for redemption prior to maturity, in whole or in part, subject to certain restrictions and limitations described therein, in the following ways:</w:t>
      </w:r>
    </w:p>
    <w:p>
      <w:pPr>
        <w:ind w:left="900" w:right="20" w:hanging="244"/>
        <w:spacing w:after="0" w:line="250"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April 1, 2022, the 7.50% Senior Secured Notes due 2027 may be redeemed, in whole or in part, by paying the sum of: (i) 100% of the principal amount being redeemed, (ii) an applicable make-whole premium as described in the indenture and (iii) accrued and unpaid interest to, but excluding, the redemption date.</w:t>
      </w:r>
    </w:p>
    <w:p>
      <w:pPr>
        <w:spacing w:after="0" w:line="1" w:lineRule="exact"/>
        <w:rPr>
          <w:rFonts w:ascii="Times New Roman" w:cs="Times New Roman" w:eastAsia="Times New Roman" w:hAnsi="Times New Roman"/>
          <w:sz w:val="18"/>
          <w:szCs w:val="18"/>
          <w:color w:val="auto"/>
        </w:rPr>
      </w:pPr>
    </w:p>
    <w:p>
      <w:pPr>
        <w:ind w:left="900" w:right="40" w:hanging="244"/>
        <w:spacing w:after="0" w:line="250"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April 1, 2022, the 7.50% Senior Secured Notes due 2027 may be redeemed, in whole or in part, at redemption prices set forth in the indenture, plus accrued and unpaid interest to, but excluding, the redemption date. The redemption prices for the 7.50% Senior Secured Notes due 2027 vary over time pursuant to a step-down schedule set forth in the indenture, beginning at 105.625% of the principal amount redeemed and decreasing to 100% by April 1, 2025.</w:t>
      </w:r>
    </w:p>
    <w:p>
      <w:pPr>
        <w:spacing w:after="0" w:line="1" w:lineRule="exact"/>
        <w:rPr>
          <w:rFonts w:ascii="Times New Roman" w:cs="Times New Roman" w:eastAsia="Times New Roman" w:hAnsi="Times New Roman"/>
          <w:sz w:val="18"/>
          <w:szCs w:val="18"/>
          <w:color w:val="auto"/>
        </w:rPr>
      </w:pPr>
    </w:p>
    <w:p>
      <w:pPr>
        <w:ind w:left="900" w:right="100" w:hanging="244"/>
        <w:spacing w:after="0" w:line="255"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April 1, 2022, the 7.50% Senior Secured Notes due 2027 may be redeemed, in part (up to 35% of the principal amount outstanding) with the net cash proceeds from specified equity offerings at 107.500% of the principal amount redeemed, plus accrued and unpaid interest to, but excluding, the redemption date.</w:t>
      </w:r>
    </w:p>
    <w:p>
      <w:pPr>
        <w:spacing w:after="0" w:line="78"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9.50% Senior Secured Second Lien Notes due 2027 are guaranteed on a senior secured second lien basis by the Company and the Guarantors. The 9.50% Senior Secured Second Lien Notes due 2027 are senior secured second lien obligations of Endo DAC, Endo Finance, Endo Finco and the Guarantors and are secured by a second priority lien on, and on a junior basis with respect to, the same collateral that secures the Credit Agreement and the Company’s existing senior secured notes. Interest on the 9.50% Senior Secured Second Lien Notes due 2027 is payable semiannually in arrears on January 31 and July 31 of each year, beginning on January 31, 2021.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00" w:firstLine="486"/>
        <w:spacing w:after="0" w:line="261" w:lineRule="auto"/>
        <w:rPr>
          <w:sz w:val="20"/>
          <w:szCs w:val="20"/>
          <w:color w:val="auto"/>
        </w:rPr>
      </w:pPr>
      <w:r>
        <w:rPr>
          <w:rFonts w:ascii="Times New Roman" w:cs="Times New Roman" w:eastAsia="Times New Roman" w:hAnsi="Times New Roman"/>
          <w:sz w:val="18"/>
          <w:szCs w:val="18"/>
          <w:color w:val="auto"/>
        </w:rPr>
        <w:t>The 9.50% Senior Secured Second Lien Notes due 2027 will mature on July 31, 2027; however, the indenture governing these notes generally allows for redemption prior to maturity, in whole or in part, subject to certain restrictions and limitations described therein, in the following ways:</w:t>
      </w:r>
    </w:p>
    <w:p>
      <w:pPr>
        <w:ind w:left="900" w:right="140" w:hanging="244"/>
        <w:spacing w:after="0" w:line="250"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July 31, 2023, the 9.50% Senior Secured Second Lien Notes due 2027 may be redeemed, in whole or in part, by paying the sum of: (i) 100% of the principal amount being redeemed, (ii) an applicable make-whole premium as described in the indenture and (iii) accrued and unpaid interest to, but excluding, the redemption date.</w:t>
      </w:r>
    </w:p>
    <w:p>
      <w:pPr>
        <w:spacing w:after="0" w:line="1" w:lineRule="exact"/>
        <w:rPr>
          <w:rFonts w:ascii="Times New Roman" w:cs="Times New Roman" w:eastAsia="Times New Roman" w:hAnsi="Times New Roman"/>
          <w:sz w:val="18"/>
          <w:szCs w:val="18"/>
          <w:color w:val="auto"/>
        </w:rPr>
      </w:pPr>
    </w:p>
    <w:p>
      <w:pPr>
        <w:ind w:left="900" w:right="60" w:hanging="244"/>
        <w:spacing w:after="0" w:line="250"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July 31, 2023, the 9.50% Senior Secured Second Lien Notes due 2027 may be redeemed, in whole or in part, at redemption prices set forth in the indenture, plus accrued and unpaid interest to, but excluding, the redemption date. The redemption prices for the 9.50% Senior Secured Second Lien Notes due 2027 vary over time pursuant to a step-down schedule set forth in the indenture, beginning at 107.125% of the principal amount redeemed and decreasing to 100% by July 31, 2026.</w:t>
      </w:r>
    </w:p>
    <w:p>
      <w:pPr>
        <w:spacing w:after="0" w:line="1" w:lineRule="exact"/>
        <w:rPr>
          <w:rFonts w:ascii="Times New Roman" w:cs="Times New Roman" w:eastAsia="Times New Roman" w:hAnsi="Times New Roman"/>
          <w:sz w:val="18"/>
          <w:szCs w:val="18"/>
          <w:color w:val="auto"/>
        </w:rPr>
      </w:pPr>
    </w:p>
    <w:p>
      <w:pPr>
        <w:ind w:left="900" w:right="320" w:hanging="244"/>
        <w:spacing w:after="0" w:line="255"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July 31, 2023, the 9.50% Senior Secured Second Lien Notes due 2027 may be redeemed, in part (up to 40% of the principal amount outstanding) with the net cash proceeds from specified equity offerings at 109.500% of the principal amount redeemed, plus accrued and unpaid interest to, but excluding, the redemption date.</w:t>
      </w:r>
    </w:p>
    <w:p>
      <w:pPr>
        <w:spacing w:after="0" w:line="78"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The 6.00% Senior Notes due 2028 are unsecured and effectively subordinated to all of our existing and future secured indebtedness (including the obligations under the Credit Agreement, the existing secured notes and the New Secured Notes) to the extent of the value of the collateral securing such instruments. Interest on the 6.00% Senior Notes due 2028 is payable semiannually in arrears on June 30 and December 30 of each year, beginning on December 30, 2020.</w:t>
      </w:r>
    </w:p>
    <w:p>
      <w:pPr>
        <w:spacing w:after="0" w:line="7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6.00% Senior Notes due 2028 will mature on June 30, 2028; however, the indenture governing these notes generally allows for redemption prior to maturity, in whole or in part, subject to certain restrictions and limitations described therein, in the following ways:</w:t>
      </w:r>
    </w:p>
    <w:p>
      <w:pPr>
        <w:ind w:left="900" w:right="80" w:hanging="244"/>
        <w:spacing w:after="0" w:line="250"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June 30, 2023, the 6.00% Senior Notes due 2028 may be redeemed, in whole or in part, by paying the sum of: (i) 100% of the principal amount being redeemed, (ii) an applicable make-whole premium as described in the indenture and (iii) accrued and unpaid interest to, but excluding, the redemption date.</w:t>
      </w:r>
    </w:p>
    <w:p>
      <w:pPr>
        <w:spacing w:after="0" w:line="1" w:lineRule="exact"/>
        <w:rPr>
          <w:rFonts w:ascii="Times New Roman" w:cs="Times New Roman" w:eastAsia="Times New Roman" w:hAnsi="Times New Roman"/>
          <w:sz w:val="18"/>
          <w:szCs w:val="18"/>
          <w:color w:val="auto"/>
        </w:rPr>
      </w:pPr>
    </w:p>
    <w:p>
      <w:pPr>
        <w:ind w:left="900" w:right="40" w:hanging="244"/>
        <w:spacing w:after="0" w:line="250"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June 30, 2023, the 6.00% Senior Notes due 2028 may be redeemed, in whole or in part, at redemption prices set forth in the indenture, plus accrued and unpaid interest to, but excluding, the redemption date. The redemption prices for the 6.00% Senior Notes due 2028 vary over time pursuant to a step-down schedule set forth in the indenture, beginning at 104.500% of the principal amount redeemed and decreasing to 100% by June 30, 2026.</w:t>
      </w:r>
    </w:p>
    <w:p>
      <w:pPr>
        <w:spacing w:after="0" w:line="1" w:lineRule="exact"/>
        <w:rPr>
          <w:rFonts w:ascii="Times New Roman" w:cs="Times New Roman" w:eastAsia="Times New Roman" w:hAnsi="Times New Roman"/>
          <w:sz w:val="18"/>
          <w:szCs w:val="18"/>
          <w:color w:val="auto"/>
        </w:rPr>
      </w:pPr>
    </w:p>
    <w:p>
      <w:pPr>
        <w:ind w:left="900" w:right="20" w:hanging="244"/>
        <w:spacing w:after="0" w:line="255"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June 30, 2023, the 6.00% Senior Notes due 2028 may be redeemed, in part (up to 40% of the principal amount outstanding) with the net cash proceeds from specified equity offerings at 106.000% of the principal amount redeemed, plus accrued and unpaid interest to, but excluding, the redemption date.</w:t>
      </w:r>
    </w:p>
    <w:p>
      <w:pPr>
        <w:spacing w:after="0" w:line="7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June 2020 Refinancing Transactions were accounted for as debt modifications. Previously deferred and unamortized amounts associated with the Old Notes exchanged will be amortized over the respective terms of the New Senior Notes. In connection with the June 2020 Refinancing Transactions, we incurred fees to third parties of approximately $31.1 million, which were charged to expense and included in Selling, general and administrative expenses in the Condensed Consolidated Statements of Operations.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August 2020 Tender Offer</w:t>
      </w:r>
    </w:p>
    <w:p>
      <w:pPr>
        <w:spacing w:after="0" w:line="11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In August 2020, Endo Finance repurchased and retired approximately $10 million aggregate principal of 5.75% Senior Notes due 2022 pursuant to a tender offer (the August 2020 Tender Offer).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as of September 30, 2020, the maturities on our long-term debt for each of the five fiscal years subsequent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Maturities (1)(2)</w:t>
            </w:r>
          </w:p>
        </w:tc>
      </w:tr>
      <w:tr>
        <w:trPr>
          <w:trHeight w:val="228"/>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34,150</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34,150</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237,292</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96,713</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3,770,225</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00" w:right="20" w:hanging="330"/>
        <w:spacing w:after="0" w:line="241" w:lineRule="auto"/>
        <w:tabs>
          <w:tab w:leader="none" w:pos="49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amounts borrowed pursuant to the Credit Facilities will immediately mature if certain of our senior notes are not refinanced or repaid in full prior to the date that is 91 days prior to the respective stated maturity dates thereof. Accordingly, we may seek to repay or refinance certain senior notes prior to their stated maturity dates. The amounts in this maturities table do not reflect any such early repayment or refinancing; rather, they reflect stated maturity dates.</w:t>
      </w:r>
    </w:p>
    <w:p>
      <w:pPr>
        <w:spacing w:after="0" w:line="1" w:lineRule="exact"/>
        <w:rPr>
          <w:rFonts w:ascii="Times New Roman" w:cs="Times New Roman" w:eastAsia="Times New Roman" w:hAnsi="Times New Roman"/>
          <w:sz w:val="14"/>
          <w:szCs w:val="14"/>
          <w:color w:val="auto"/>
        </w:rPr>
      </w:pPr>
    </w:p>
    <w:p>
      <w:pPr>
        <w:ind w:left="500" w:right="240" w:hanging="330"/>
        <w:spacing w:after="0" w:line="258" w:lineRule="auto"/>
        <w:tabs>
          <w:tab w:leader="none" w:pos="49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notes impacted by the Exchange Offers and the August 2020 Tender Offer, amounts included in the table above represent maturities as of September 30, 2020 after giving effect to such transactions.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90" w:lineRule="exact"/>
        <w:rPr>
          <w:sz w:val="20"/>
          <w:szCs w:val="20"/>
          <w:color w:val="auto"/>
        </w:rPr>
      </w:pPr>
    </w:p>
    <w:p>
      <w:pPr>
        <w:ind w:left="480" w:hanging="310"/>
        <w:spacing w:after="0"/>
        <w:tabs>
          <w:tab w:leader="none" w:pos="4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Term Loan Facility, amounts in 2020 include both payments made through September 30, 2020 and expected payments for the remainder of 2020.</w:t>
      </w:r>
    </w:p>
    <w:p>
      <w:pPr>
        <w:spacing w:after="0" w:line="17" w:lineRule="exact"/>
        <w:rPr>
          <w:rFonts w:ascii="Times New Roman" w:cs="Times New Roman" w:eastAsia="Times New Roman" w:hAnsi="Times New Roman"/>
          <w:sz w:val="14"/>
          <w:szCs w:val="14"/>
          <w:color w:val="auto"/>
        </w:rPr>
      </w:pPr>
    </w:p>
    <w:p>
      <w:pPr>
        <w:ind w:left="500" w:right="60" w:hanging="330"/>
        <w:spacing w:after="0" w:line="258" w:lineRule="auto"/>
        <w:tabs>
          <w:tab w:leader="none" w:pos="49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Company’s borrowings under the Revolving Credit Facility that were outstanding at September 30, 2020, $22.8 million will mature in 2022, with the remainder maturing in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and Investigations</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 adverse outcome in any of these proceedings could have a material adverse effect on our business, financial condition, results of operations and cash flows. We are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8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stated coverage limits and may not be adequate to cover damages, other relief and/or costs relating to claims. In addition, there is no guarantee that insurers will pay claims in the amounts that we expect or that coverage will otherwise be available. </w:t>
      </w:r>
      <w:r>
        <w:rPr>
          <w:rFonts w:ascii="Times New Roman" w:cs="Times New Roman" w:eastAsia="Times New Roman" w:hAnsi="Times New Roman"/>
          <w:sz w:val="18"/>
          <w:szCs w:val="18"/>
          <w:color w:val="212529"/>
        </w:rPr>
        <w:t>See the risk factor “We may not have and may be unable to obtain or maintain insurance adequate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cover potential liabilities” </w:t>
      </w:r>
      <w:r>
        <w:rPr>
          <w:rFonts w:ascii="Times New Roman" w:cs="Times New Roman" w:eastAsia="Times New Roman" w:hAnsi="Times New Roman"/>
          <w:sz w:val="18"/>
          <w:szCs w:val="18"/>
          <w:color w:val="000000"/>
        </w:rPr>
        <w:t>in the Annual Report for more information.</w:t>
      </w:r>
    </w:p>
    <w:p>
      <w:pPr>
        <w:spacing w:after="0" w:line="8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2020, our accrual for loss contingencies totaled $374.8 million, the most significant components of which relate to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 While the timing of the resolution of certain of the matters accrued for as loss contingencies remains uncertain and could extend beyond 12 months, as of September 30, 2020, the entire liability accrual amount is classified in the Current portion of legal settlement accrual in the Condensed Consolidated Balance Sheets.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Vaginal Mesh Matters</w:t>
      </w:r>
    </w:p>
    <w:p>
      <w:pPr>
        <w:spacing w:after="0" w:line="11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 xml:space="preserve">Since 2008, we and certain of our subsidiaries, including American Medical Systems Holdings, Inc. (AMS) (subsequently converted to Astora Women’s Health Holding LLC and merged into Astora Women’s Health LLC and referred to herein as AMS and/or Astora), have been named as defendants in multiple lawsuits in various state and federal courts in the U.S., Canada, Australia and other countries, alleging personal injury resulting from the use of transvaginal surgical mesh products designed to treat pelvic organ prolapse (POP) and stress urinary incontinence (SUI). We have not sold such products </w:t>
      </w:r>
      <w:r>
        <w:rPr>
          <w:rFonts w:ascii="Times New Roman" w:cs="Times New Roman" w:eastAsia="Times New Roman" w:hAnsi="Times New Roman"/>
          <w:sz w:val="18"/>
          <w:szCs w:val="18"/>
          <w:color w:val="212529"/>
        </w:rPr>
        <w:t>since March 2016.</w:t>
      </w:r>
      <w:r>
        <w:rPr>
          <w:rFonts w:ascii="Times New Roman" w:cs="Times New Roman" w:eastAsia="Times New Roman" w:hAnsi="Times New Roman"/>
          <w:sz w:val="18"/>
          <w:szCs w:val="18"/>
          <w:color w:val="auto"/>
        </w:rPr>
        <w:t xml:space="preserve"> Plaintiffs claim a variety of personal injuries, including chronic pain, incontinence, inability to control bowel function and permanent deformities, and seek compensatory and punitive damages, where available.</w:t>
      </w:r>
    </w:p>
    <w:p>
      <w:pPr>
        <w:spacing w:after="0" w:line="7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Various Master Settlement Agreements (MSAs) and other agreements have resolved approximately 71,000 filed and unfiled U.S. mesh claims as of September 30, 2020. These MSAs and other agreements were entered into at various times between June 2013 and the present, were solely by way of compromise and settlement and were not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will be deposited, establish participation requirements and allow for a reduction of the total settlement payment in the event participation thresholds are not met.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spacing w:after="0" w:line="86"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In October 2019, the Ontario Superior Court of Justice approved a class action settlement covering unresolved claims by Canadian women implanted with an AMS vaginal mesh device. Astora funded the settlement in February 2020.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QSFs and mesh liability accrual balances during the nine months ended September 30, 2020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Qualified Settlement</w:t>
            </w:r>
          </w:p>
        </w:tc>
        <w:tc>
          <w:tcPr>
            <w:tcW w:w="160" w:type="dxa"/>
            <w:vAlign w:val="bottom"/>
          </w:tcPr>
          <w:p>
            <w:pPr>
              <w:spacing w:after="0"/>
              <w:rPr>
                <w:sz w:val="13"/>
                <w:szCs w:val="13"/>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Mesh Liability</w:t>
            </w:r>
          </w:p>
        </w:tc>
      </w:tr>
      <w:tr>
        <w:trPr>
          <w:trHeight w:val="189"/>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60" w:type="dxa"/>
            <w:vAlign w:val="bottom"/>
          </w:tcPr>
          <w:p>
            <w:pPr>
              <w:spacing w:after="0"/>
              <w:rPr>
                <w:sz w:val="16"/>
                <w:szCs w:val="16"/>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Accrual</w:t>
            </w:r>
          </w:p>
        </w:tc>
      </w:tr>
      <w:tr>
        <w:trPr>
          <w:trHeight w:val="223"/>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242,842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454,031</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charges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30,454</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distributions to settle disputes from Qualified Settlement Funds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(107,225)</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distributions to settle disputes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(26,559)</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351,317</w:t>
            </w: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jc w:val="both"/>
        <w:ind w:left="500" w:right="140" w:hanging="330"/>
        <w:spacing w:after="0" w:line="249" w:lineRule="auto"/>
        <w:tabs>
          <w:tab w:leader="none" w:pos="49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deposited in the QSFs may earn interest, which is generally used to pay administrative costs of the fund and is reflected in the table above as an increase to the QSF and Mesh Liability Accrual balances.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81"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54"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has made total cumulative mesh liability payments of approximately $3.6 billion, $136.3 million of which remains in the QSFs as of September 30, 2020. We currently expect to fund substantially all of the remaining payments under all previously executed settlement agreements into the QSFs during 2020 and 2021. As funds are disbursed out of the QSFs from time to time, the liability accrual will be reduced accordingly with a corresponding reduction to restricted cash and cash equivalents. In addition, we may pay cash distributions to settle disputes separate from the QSFs, which will also decrease the liability accrual and decrease cash and cash equivalents.</w:t>
      </w:r>
    </w:p>
    <w:p>
      <w:pPr>
        <w:spacing w:after="0" w:line="75"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68"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vigorously defend any unresolved claims and to explore other options as appropriate in our best interests. The earliest trial is currently scheduled for February 2021; however, the timing of trials is uncertain due to the impact of COVID-19 and other factors.</w:t>
      </w:r>
    </w:p>
    <w:p>
      <w:pPr>
        <w:spacing w:after="0" w:line="54"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54" w:lineRule="exact"/>
        <w:rPr>
          <w:sz w:val="20"/>
          <w:szCs w:val="20"/>
          <w:color w:val="auto"/>
        </w:rPr>
      </w:pPr>
    </w:p>
    <w:p>
      <w:pPr>
        <w:jc w:val="both"/>
        <w:ind w:right="240" w:firstLine="486"/>
        <w:spacing w:after="0" w:line="261" w:lineRule="auto"/>
        <w:rPr>
          <w:sz w:val="20"/>
          <w:szCs w:val="20"/>
          <w:color w:val="auto"/>
        </w:rPr>
      </w:pPr>
      <w:r>
        <w:rPr>
          <w:rFonts w:ascii="Times New Roman" w:cs="Times New Roman" w:eastAsia="Times New Roman" w:hAnsi="Times New Roman"/>
          <w:sz w:val="18"/>
          <w:szCs w:val="18"/>
          <w:color w:val="auto"/>
        </w:rPr>
        <w:t>Although the Company believes it has appropriately estimated the probable total amount of loss associated with all mesh-related matters as of the date of this report, litigation is ongoing in certain cases that have not settled,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Opioid-Related Matters</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PPI, Par Pharmaceutical Companies, Inc. (PPCI), Endo Generics Holdings, Inc. (EGHI), Vintage Pharmaceuticals, LLC, Generics Bidco I, LLC, DAVA Pharmaceuticals, LLC, Par Sterile Products, LLC (PSP LLC) and in Canada, Paladin, as well as various other manufacturers, distributors, pharmacies and/or others, asserting claims relating to defendants’ alleged sales, marketing and/or distribution practices with respect to prescription opioid medications, including certain of our products. As of October 30, 2020, filed cases in the U.S. of which we were aware include, but are not limited to, approximately 20 cases filed by or on behalf of states; approximately 2,870 cases filed by counties, cities, Native American tribes and/or other government-related persons or entities; approximately 295 cases filed by hospitals, health systems, unions, health and welfare funds or other third-party payers and approximately 175 cases filed by individuals. Certain of the cases have been filed as putative class actions. The Canadian cases include an action filed by British Columbia on behalf of a proposed class of all federal, provincial and territorial governments and agencies in Canada that paid healthcare, pharmaceutical and treatment costs related to opioids, an action filed by the City of Grand Prairie, Alberta on behalf of a proposed class of all local or municipal governments in Canada, as well as three additional putative class actions, filed in Ontario, Quebec and British Columbia, seeking relief on behalf of Canadian residents who were prescribed and/or consumed opioid medications.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00" w:firstLine="486"/>
        <w:spacing w:after="0" w:line="267" w:lineRule="auto"/>
        <w:rPr>
          <w:sz w:val="20"/>
          <w:szCs w:val="20"/>
          <w:color w:val="auto"/>
        </w:rPr>
      </w:pPr>
      <w:r>
        <w:rPr>
          <w:rFonts w:ascii="Times New Roman" w:cs="Times New Roman" w:eastAsia="Times New Roman" w:hAnsi="Times New Roman"/>
          <w:sz w:val="17"/>
          <w:szCs w:val="17"/>
          <w:color w:val="auto"/>
        </w:rPr>
        <w:t>Many of the U.S. cases have been coordinated in a federal multidistrict litigation (MDL) pending in the U.S. District Court for the Northern District of Ohio. Other cases are pending in various federal or state courts. The cases are at various stages in the litigation process. The first MDL trial, relating to the claims of two Ohio counties (Track One plaintiffs), was set for October 2019 but did not go forward after most defendants settled. EPI, EHSI, PPI and PPCI executed a settlement agreement with the Track One plaintiffs in September 2019 which provided for payments totaling $10 million and up to</w:t>
      </w:r>
    </w:p>
    <w:p>
      <w:pPr>
        <w:spacing w:after="0" w:line="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$1 million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and/or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Under the settlement agreement, the Track One plaintiffs may be entitled to additional payments in the event of a comprehensive resolution of government-related opioid claims. The settlement agreement was solely by way of compromise and settlement and was not in any way an admission of liability or fault by us or any of our subsidiaries. The earliest trial is currently scheduled for 2021; however, trials may occur earlier or later as timing remains uncertain due to the impact of COVID-19 and other factors. Most cases remain at the pleading and/or discovery stage.</w:t>
      </w:r>
    </w:p>
    <w:p>
      <w:pPr>
        <w:spacing w:after="0" w:line="9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have generally sought various remedies including, without limitation, declaratory and/or injunctive relief; compensatory, punitive and/or treble damages; restitution, disgorgement, civil penalties, abatement, attorneys’ fees, costs and/or other relief.</w:t>
      </w:r>
    </w:p>
    <w:p>
      <w:pPr>
        <w:spacing w:after="0" w:line="8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September 2019, EPI, EHSI, PPI and PPCI received subpoenas from the New York State Department of Financial Services (DFS) seeking documents and information regarding the marketing, sale and distribution of opioid medications in New York. In June 2020, DFS commenced an administrative action against the Company, EPI, EHSI, PPI and PPCI alleging violations of the New York Insurance Law and New York Financial Services Law. The statement of charges alleges that fraudulent or otherwise wrongful conduct in the marketing, sale and/or distribution of opioid medications caused false claims to be submitted to insurers and seeks civil penalties for each allegedly fraudulent prescription as well as injunctive relief. The action is currently set for hearing in January 2021.</w:t>
      </w:r>
    </w:p>
    <w:p>
      <w:pPr>
        <w:spacing w:after="0" w:line="7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the following:</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Various state attorneys general have served subpoenas and/or CIDs on EHSI and/or EPI. We are cooperating with the investigations.</w:t>
      </w:r>
    </w:p>
    <w:p>
      <w:pPr>
        <w:spacing w:after="0" w:line="117"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8"/>
          <w:szCs w:val="18"/>
          <w:color w:val="auto"/>
        </w:rPr>
        <w:t>In January 2018, EPI received a federal grand jury subpoena from the U.S. District Court for the Southern District of Florida seeking documents and information related to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other oxymorphone products and marketing of opioid medications. We are cooperating with the investigation.</w:t>
      </w:r>
    </w:p>
    <w:p>
      <w:pPr>
        <w:spacing w:after="0" w:line="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8"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January 2020, EPI and PPI executed a settlement agreement with the state of Oklahoma providing for a payment of approximately $8.75 million in resolution of potential opioid-related claims. The settlement agreement was solely by way of compromise and settlement and was not in any way an admission of liability or fault by us or any of our subsidiaries.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Ranitidine Matters</w:t>
      </w:r>
    </w:p>
    <w:p>
      <w:pPr>
        <w:spacing w:after="0" w:line="117" w:lineRule="exact"/>
        <w:rPr>
          <w:sz w:val="20"/>
          <w:szCs w:val="20"/>
          <w:color w:val="auto"/>
        </w:rPr>
      </w:pPr>
    </w:p>
    <w:p>
      <w:pPr>
        <w:ind w:right="40" w:firstLine="486"/>
        <w:spacing w:after="0" w:line="239" w:lineRule="auto"/>
        <w:rPr>
          <w:sz w:val="20"/>
          <w:szCs w:val="20"/>
          <w:color w:val="auto"/>
        </w:rPr>
      </w:pPr>
      <w:r>
        <w:rPr>
          <w:rFonts w:ascii="Times New Roman" w:cs="Times New Roman" w:eastAsia="Times New Roman" w:hAnsi="Times New Roman"/>
          <w:sz w:val="18"/>
          <w:szCs w:val="18"/>
          <w:color w:val="auto"/>
        </w:rPr>
        <w:t xml:space="preserve">In June 2020, an MDL pending in the U.S. District Court for the Southern District of Florida, </w:t>
      </w:r>
      <w:r>
        <w:rPr>
          <w:rFonts w:ascii="Times New Roman" w:cs="Times New Roman" w:eastAsia="Times New Roman" w:hAnsi="Times New Roman"/>
          <w:sz w:val="18"/>
          <w:szCs w:val="18"/>
          <w:i w:val="1"/>
          <w:iCs w:val="1"/>
          <w:color w:val="auto"/>
        </w:rPr>
        <w:t>In re Zantac (Ranitidine) Products Liability Litigation</w:t>
      </w:r>
      <w:r>
        <w:rPr>
          <w:rFonts w:ascii="Times New Roman" w:cs="Times New Roman" w:eastAsia="Times New Roman" w:hAnsi="Times New Roman"/>
          <w:sz w:val="18"/>
          <w:szCs w:val="18"/>
          <w:color w:val="auto"/>
        </w:rPr>
        <w:t>, was expanded to add PPI and numerous other manufacturers and distributors of generic ranitidine as defendants. The claims are generally based on allegations that under certain conditions the active ingredient in Zantac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generic ranitidine medications can break down to form an alleged carcinogen known as N-Nitrosodimethylamine (NDMA). PPI and its subsidiaries have not manufactured or sold ranitidine since 2016.</w:t>
      </w:r>
    </w:p>
    <w:p>
      <w:pPr>
        <w:spacing w:after="0" w:line="9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MDL includes individual plaintiffs as well as putative classes of consumers and third-party payers.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MDL court has issued various case management orders, including a scheduling order for briefing of defendants’ motions to dismiss and orders allowing certain discovery to commence.</w:t>
      </w:r>
    </w:p>
    <w:p>
      <w:pPr>
        <w:spacing w:after="0" w:line="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Generic Drug Pricing Matters</w:t>
      </w:r>
    </w:p>
    <w:p>
      <w:pPr>
        <w:spacing w:after="0" w:line="11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Since March 2016, various private plaintiffs, state attorneys general and other governmental entities have filed cases against our subsidiary PPI and/or, in some instances, the Company, Generics Bidco I, LLC, DAVA Pharmaceuticals,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There is also a proposed class action filed in the Federal Court of Canada on behalf of a proposed class of Canadian purchasers.</w:t>
      </w:r>
    </w:p>
    <w:p>
      <w:pPr>
        <w:spacing w:after="0" w:line="81"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and other claims allege broader, multiple-product conspiracies. Under these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MDL court has issued various case management and substantive orders, including orders denying certain motions to dismiss, and discovery is ongoing.</w:t>
      </w:r>
    </w:p>
    <w:p>
      <w:pPr>
        <w:spacing w:after="0" w:line="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2" w:lineRule="exact"/>
        <w:rPr>
          <w:sz w:val="20"/>
          <w:szCs w:val="20"/>
          <w:color w:val="auto"/>
        </w:rPr>
      </w:pPr>
    </w:p>
    <w:p>
      <w:pPr>
        <w:ind w:right="80" w:firstLine="486"/>
        <w:spacing w:after="0" w:line="239" w:lineRule="auto"/>
        <w:rPr>
          <w:sz w:val="20"/>
          <w:szCs w:val="20"/>
          <w:color w:val="auto"/>
        </w:rPr>
      </w:pPr>
      <w:r>
        <w:rPr>
          <w:rFonts w:ascii="Times New Roman" w:cs="Times New Roman" w:eastAsia="Times New Roman" w:hAnsi="Times New Roman"/>
          <w:sz w:val="18"/>
          <w:szCs w:val="18"/>
          <w:color w:val="auto"/>
        </w:rPr>
        <w:t>In December 2014, our subsidiary PPI received from the Antitrust Division of the U.S. Department of Justice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(digoxin) oral tablets and generic doxycycline products, and on communications with competitors and others regarding those products. We are cooperating with the investigation.</w:t>
      </w:r>
    </w:p>
    <w:p>
      <w:pPr>
        <w:spacing w:after="0" w:line="90"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6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Antitrust Matters</w:t>
      </w:r>
    </w:p>
    <w:p>
      <w:pPr>
        <w:spacing w:after="0" w:line="116" w:lineRule="exact"/>
        <w:rPr>
          <w:sz w:val="20"/>
          <w:szCs w:val="20"/>
          <w:color w:val="auto"/>
        </w:rPr>
      </w:pPr>
    </w:p>
    <w:p>
      <w:pPr>
        <w:ind w:right="160" w:firstLine="486"/>
        <w:spacing w:after="0" w:line="247" w:lineRule="auto"/>
        <w:rPr>
          <w:sz w:val="20"/>
          <w:szCs w:val="20"/>
          <w:color w:val="auto"/>
        </w:rPr>
      </w:pPr>
      <w:r>
        <w:rPr>
          <w:rFonts w:ascii="Times New Roman" w:cs="Times New Roman" w:eastAsia="Times New Roman" w:hAnsi="Times New Roman"/>
          <w:sz w:val="18"/>
          <w:szCs w:val="18"/>
          <w:color w:val="auto"/>
        </w:rPr>
        <w:t>Beginning in November 2013, multiple alleged purchasers of LIDODERM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sued our subsidiary EPI and other pharmaceutical companies alleging violations of antitrust law arising out of the defendants’ settlement of certain patent infringement litigation. The various complaints asserted claims under Sections 1 and 2 of the Sherman Act, state antitrust and consumer protection statutes and/or state common law and sought damages, treble damages, disgorgement of profits, restitution, injunctive relief and attorneys’ fees. These cases were consolidated and/or coordinated in a federal MDL in the U.S. District Court for the Northern District of California. The last cases remaining in the MDL were dismissed with prejudice in September 2018, when the court approved EPI’s settlements with direct and indirect purchaser classes. Those settlement agreements provided for aggregate payments of approximately $100 million. Of this total, EPI paid approximately $60 million in 2018, $30 million in the first quarter of 2019 and $10 million in the first quarter of 2020. In September 2019, Blue Cross Blue Shield of Michigan and Blue Care Network of Michigan filed a complaint against EPI and other pharmaceutical companies in the Third Judicial Circuit Court, Wayne County, Michigan, asserting claims substantially similar to those asserted in the MDL. In October 2019, certain defendants removed the case to federal court; in April 2020, the case was remanded back to state court. In June 2020, defendants filed a motion for summary disposition, which was granted in part and denied in part in October 2020.</w:t>
      </w:r>
    </w:p>
    <w:p>
      <w:pPr>
        <w:spacing w:after="0" w:line="82" w:lineRule="exact"/>
        <w:rPr>
          <w:sz w:val="20"/>
          <w:szCs w:val="20"/>
          <w:color w:val="auto"/>
        </w:rPr>
      </w:pPr>
    </w:p>
    <w:p>
      <w:pPr>
        <w:ind w:right="20" w:firstLine="486"/>
        <w:spacing w:after="0" w:line="238" w:lineRule="auto"/>
        <w:rPr>
          <w:sz w:val="20"/>
          <w:szCs w:val="20"/>
          <w:color w:val="auto"/>
        </w:rPr>
      </w:pPr>
      <w:r>
        <w:rPr>
          <w:rFonts w:ascii="Times New Roman" w:cs="Times New Roman" w:eastAsia="Times New Roman" w:hAnsi="Times New Roman"/>
          <w:sz w:val="18"/>
          <w:szCs w:val="18"/>
          <w:color w:val="auto"/>
        </w:rPr>
        <w:t>Beginning in June 2014, multiple alleged purchasers of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sued our subsidiaries EHSI and EPI and other pharmaceutical companies including Impax Laboratories, LLC (formerly Impax Laboratories, Inc. and referred to herein as Impax) and Penwest Pharmaceuticals Co., which our subsidiary EPI had acquired, alleging violations of antitrust law arising out of an agreement reached by EPI and Impax to settle certain patent infringement litigation and EPI’s introduction of reformulated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Some cases were filed on behalf of putative classes of direct and indirect purchasers, while others were filed on behalf of individual retailers or health care benefit plans. The cases have been consolidated and/or coordinated for pretrial proceedings in a federal MDL pending in the U.S. District Court for the Northern District of Illinois. The various complaints assert claims under Sections 1 and 2 of the Sherman Act, state antitrust and consumer protection statutes and/or state common law. Plaintiffs generally seek damages, treble damages, disgorgement of profits, restitution, injunctive relief and attorneys’ fees. In March 2019, direct and indirect purchaser plaintiffs filed motions for class certification, which remain pending. In April 2020, defendants filed motions for summary judgment, which remain pending.</w:t>
      </w:r>
    </w:p>
    <w:p>
      <w:pPr>
        <w:spacing w:after="0" w:line="94"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Beginning in February 2009, the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1.62%. In July 2018, the court denied certain plaintiffs’ motion for certification of a direct purchaser class. In November 2019, PPI and PPCI entered into settlement agreements with all but one of the remaining plaintiffs in the MDL. The settlement agreements were solely by way of compromise and settlement and were not in any way an admission of liability or fault. Separately, in August 2019, several alleged direct purchasers filed suit in the U.S. District Court for the Eastern District of Pennsylvania asserting claims substantially similar to those asserted in the MDL, as well as additional claims against other defendants relating to other alleged conduct. In January 2020, the U.S. District Court for the Eastern District of Pennsylvania denied defendants’ motion to transfer venue to the Northern District of Georgia.</w:t>
      </w:r>
    </w:p>
    <w:p>
      <w:pPr>
        <w:spacing w:after="0" w:line="99" w:lineRule="exact"/>
        <w:rPr>
          <w:sz w:val="20"/>
          <w:szCs w:val="20"/>
          <w:color w:val="auto"/>
        </w:rPr>
      </w:pPr>
    </w:p>
    <w:p>
      <w:pPr>
        <w:ind w:right="100" w:firstLine="486"/>
        <w:spacing w:after="0" w:line="247" w:lineRule="auto"/>
        <w:rPr>
          <w:sz w:val="20"/>
          <w:szCs w:val="20"/>
          <w:color w:val="auto"/>
        </w:rPr>
      </w:pPr>
      <w:r>
        <w:rPr>
          <w:rFonts w:ascii="Times New Roman" w:cs="Times New Roman" w:eastAsia="Times New Roman" w:hAnsi="Times New Roman"/>
          <w:sz w:val="18"/>
          <w:szCs w:val="18"/>
          <w:color w:val="auto"/>
        </w:rPr>
        <w:t>Beginning in February 2018, several alleged indirect purchasers filed proposed class actions against our subsidiary PPI and other pharmaceutical companies alleging violations of antitrust law arising out of the settlement of certain patent litigation concerning the generic version of Zetia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(ezetimibe). The various complaints asserted claims under Sections 1 and 2 of the Sherman Act, state antitrust and consumer protection statutes and/or state common law and sought injunctive relief, damages, treble damages, attorneys’ fees and costs. In June 2018, these and other related cases, including proposed direct purchaser class actions in which PPI was not named as a defendant, were consolidated and/or coordinated for pretrial proceedings in a federal MDL in the U.S. District Court for the Eastern District of Virginia. In September 2018, the indirect purchaser plaintiffs dismissed their claims against PPI without prejudice. In June and July 2019, the MDL court granted the direct purchaser plaintiffs and certain retailer plaintiffs leave to file amended complaints adding PPI as a defendant. In July 2019, PPI entered into settlement agreements with both the direct purchaser plaintiffs and the retailer plaintiffs. In September 2020, United Health Care Services, Inc. (UHC) filed a separate complaint against various defendants, including PPI; this complaint was also transferred to the MDL for pretrial proceedings. In October 2020, PPI entered into a settlement agreement with UHC. The direct purchaser settlement was subject to court approval, which was granted in March 2020. The various settlement agreements were solely by way of compromise and settlement, were not in any way an admission of liability or fault and involved no monetary payment.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44" w:lineRule="auto"/>
        <w:rPr>
          <w:sz w:val="20"/>
          <w:szCs w:val="20"/>
          <w:color w:val="auto"/>
        </w:rPr>
      </w:pPr>
      <w:r>
        <w:rPr>
          <w:rFonts w:ascii="Times New Roman" w:cs="Times New Roman" w:eastAsia="Times New Roman" w:hAnsi="Times New Roman"/>
          <w:sz w:val="18"/>
          <w:szCs w:val="18"/>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which was granted in August 2019. The cases are currently in discovery.</w:t>
      </w:r>
    </w:p>
    <w:p>
      <w:pPr>
        <w:spacing w:after="0" w:line="89" w:lineRule="exact"/>
        <w:rPr>
          <w:sz w:val="20"/>
          <w:szCs w:val="20"/>
          <w:color w:val="auto"/>
        </w:rPr>
      </w:pPr>
    </w:p>
    <w:p>
      <w:pPr>
        <w:ind w:right="40" w:firstLine="486"/>
        <w:spacing w:after="0" w:line="246" w:lineRule="auto"/>
        <w:rPr>
          <w:sz w:val="20"/>
          <w:szCs w:val="20"/>
          <w:color w:val="auto"/>
        </w:rPr>
      </w:pPr>
      <w:r>
        <w:rPr>
          <w:rFonts w:ascii="Times New Roman" w:cs="Times New Roman" w:eastAsia="Times New Roman" w:hAnsi="Times New Roman"/>
          <w:sz w:val="18"/>
          <w:szCs w:val="18"/>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(extended 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 In August 2020, the Southern District of New York granted the motion to transfer without ruling on the motions to dismiss. The cases are now pending in the District of Delaware.</w:t>
      </w:r>
    </w:p>
    <w:p>
      <w:pPr>
        <w:spacing w:after="0" w:line="87" w:lineRule="exact"/>
        <w:rPr>
          <w:sz w:val="20"/>
          <w:szCs w:val="20"/>
          <w:color w:val="auto"/>
        </w:rPr>
      </w:pPr>
    </w:p>
    <w:p>
      <w:pPr>
        <w:ind w:right="20" w:firstLine="486"/>
        <w:spacing w:after="0" w:line="239" w:lineRule="auto"/>
        <w:rPr>
          <w:sz w:val="20"/>
          <w:szCs w:val="20"/>
          <w:color w:val="auto"/>
        </w:rPr>
      </w:pPr>
      <w:r>
        <w:rPr>
          <w:rFonts w:ascii="Times New Roman" w:cs="Times New Roman" w:eastAsia="Times New Roman" w:hAnsi="Times New Roman"/>
          <w:sz w:val="18"/>
          <w:szCs w:val="18"/>
          <w:color w:val="auto"/>
        </w:rPr>
        <w:t>Beginning in June 2020, several alleged indirect purchasers filed proposed class actions against Jazz Pharmaceuticals and other pharmaceutical companies, including PPI, alleging violations of state and federal antitrust laws in connection with the settlement of certain patent litigations concerning generic versions of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oxybate). Certain complaints were filed in the U.S. District Court for the Northern District of Illinois; others were filed in the U.S. District Court for the Northern District of California or the U.S. District Court for the Southern District of New York. The various complaints allege that Jazz entered into a series of “reverse-payment” settlements, including with PPI, to delay generic competition for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July 2020, certain plaintiffs who had filed in the Northern District of Illinois voluntarily dismissed their cases and re-filed them in the Northern District of California. In August 2020, a plaintiff petitioned the Judicial Panel on Multidistrict Litigation (the JPML) to consolidate all related actions in the Southern District of New York. In October 2020, the actions filed in the Northern District of California were stayed pending a decision by the JPML.</w:t>
      </w:r>
    </w:p>
    <w:p>
      <w:pPr>
        <w:spacing w:after="0" w:line="9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2" w:lineRule="exact"/>
        <w:rPr>
          <w:sz w:val="20"/>
          <w:szCs w:val="20"/>
          <w:color w:val="auto"/>
        </w:rPr>
      </w:pPr>
    </w:p>
    <w:p>
      <w:pPr>
        <w:ind w:right="140" w:firstLine="486"/>
        <w:spacing w:after="0" w:line="242" w:lineRule="auto"/>
        <w:rPr>
          <w:sz w:val="20"/>
          <w:szCs w:val="20"/>
          <w:color w:val="auto"/>
        </w:rPr>
      </w:pPr>
      <w:r>
        <w:rPr>
          <w:rFonts w:ascii="Times New Roman" w:cs="Times New Roman" w:eastAsia="Times New Roman" w:hAnsi="Times New Roman"/>
          <w:sz w:val="18"/>
          <w:szCs w:val="18"/>
          <w:color w:val="auto"/>
        </w:rPr>
        <w:t>In February 2015, EGHI and affiliates received a CID from the Office of the Attorney General for the state of Alaska seeking documents and information regarding EGHI’s settlement of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patent litigation as well as documents produced in the aforementioned litigation filed by the FTC. Also in February 2015, EHSI received a CID from Alaska’s Office of the Attorney General seeking production of certain documents and information concerning agreements with Actavis and Impax settling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patent litigation. We are cooperating with the investigations.</w:t>
      </w:r>
    </w:p>
    <w:p>
      <w:pPr>
        <w:spacing w:after="0" w:line="21"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In July 2019, EPI received a CID from the FTC seeking documents and information regarding oxymorphone ER and EPI’s settlement of a contract dispute with Impax (now Amneal) in August 2017. We are cooperating with the investigation.</w:t>
      </w:r>
    </w:p>
    <w:p>
      <w:pPr>
        <w:spacing w:after="0" w:line="54"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1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In February 2017, a putative class action entitled </w:t>
      </w:r>
      <w:r>
        <w:rPr>
          <w:rFonts w:ascii="Times New Roman" w:cs="Times New Roman" w:eastAsia="Times New Roman" w:hAnsi="Times New Roman"/>
          <w:sz w:val="18"/>
          <w:szCs w:val="18"/>
          <w:i w:val="1"/>
          <w:iCs w:val="1"/>
          <w:color w:val="auto"/>
        </w:rPr>
        <w:t>Public Employees’ Retirement System of Mississippi v. Endo International plc</w:t>
      </w:r>
      <w:r>
        <w:rPr>
          <w:rFonts w:ascii="Times New Roman" w:cs="Times New Roman" w:eastAsia="Times New Roman" w:hAnsi="Times New Roman"/>
          <w:sz w:val="18"/>
          <w:szCs w:val="18"/>
          <w:color w:val="auto"/>
        </w:rPr>
        <w:t xml:space="preserve"> was filed in the Court of Common Pleas of Chester County, Pennsylvania by an institutional purchaser of shares in our June 2, 2015 public offering. The complaint alleged violations of Sections 11, 12(a)(2) and 15 of the Securities Act of 1933 against us, certain of our current and former directors and officers, and the underwriters who participated in the offering, based on certain disclosures about Endo’s generics business. In June 2019, the parties entered into a settlement providing for, among other things, a $50 million payment to the investor class in exchange for a release of their claims. In December 2019, the court denied a petition to intervene filed by the lead plaintiff in the </w:t>
      </w:r>
      <w:r>
        <w:rPr>
          <w:rFonts w:ascii="Times New Roman" w:cs="Times New Roman" w:eastAsia="Times New Roman" w:hAnsi="Times New Roman"/>
          <w:sz w:val="18"/>
          <w:szCs w:val="18"/>
          <w:i w:val="1"/>
          <w:iCs w:val="1"/>
          <w:color w:val="auto"/>
        </w:rPr>
        <w:t>Pelletier</w:t>
      </w:r>
      <w:r>
        <w:rPr>
          <w:rFonts w:ascii="Times New Roman" w:cs="Times New Roman" w:eastAsia="Times New Roman" w:hAnsi="Times New Roman"/>
          <w:sz w:val="18"/>
          <w:szCs w:val="18"/>
          <w:color w:val="auto"/>
        </w:rPr>
        <w:t xml:space="preserve"> litigation described below, and granted final approval of the settlement. In December 2019, the putative intervenor appealed the denial of its petition to intervene and the final approval order to Pennsylvania Superior Court. That appeal remains pending. As a result of the settlement, during the first quarter of 2019, the Company recorded an increase of approximately $50 million to its accrual for loss contingencies. As the Company’s insurers agreed to fund the settlement, the Company also recorded a corresponding insurance receivable of approximately $50 million during the first quarter of 2019, which was recorded as Prepaid expenses and other current assets in the Condensed Consolidated Balance Sheets. The Company’s insurers funded the settlement during the third quarter of 2019, resulting in corresponding decreases to the Company’s accrual for loss contingencies and insurance receivable.</w:t>
      </w:r>
    </w:p>
    <w:p>
      <w:pPr>
        <w:spacing w:after="0" w:line="82" w:lineRule="exact"/>
        <w:rPr>
          <w:sz w:val="20"/>
          <w:szCs w:val="20"/>
          <w:color w:val="auto"/>
        </w:rPr>
      </w:pPr>
    </w:p>
    <w:p>
      <w:pPr>
        <w:ind w:right="20" w:firstLine="486"/>
        <w:spacing w:after="0" w:line="246" w:lineRule="auto"/>
        <w:rPr>
          <w:sz w:val="20"/>
          <w:szCs w:val="20"/>
          <w:color w:val="auto"/>
        </w:rPr>
      </w:pPr>
      <w:r>
        <w:rPr>
          <w:rFonts w:ascii="Times New Roman" w:cs="Times New Roman" w:eastAsia="Times New Roman" w:hAnsi="Times New Roman"/>
          <w:sz w:val="18"/>
          <w:szCs w:val="18"/>
          <w:color w:val="auto"/>
        </w:rPr>
        <w:t xml:space="preserve">In April 2017, a putative class action entitled </w:t>
      </w:r>
      <w:r>
        <w:rPr>
          <w:rFonts w:ascii="Times New Roman" w:cs="Times New Roman" w:eastAsia="Times New Roman" w:hAnsi="Times New Roman"/>
          <w:sz w:val="18"/>
          <w:szCs w:val="18"/>
          <w:i w:val="1"/>
          <w:iCs w:val="1"/>
          <w:color w:val="auto"/>
        </w:rPr>
        <w:t>Phaedra A. Makris v. Endo International plc, Rajiv Kanishka Liyanaarchchie de Silva and Suketu 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Upadhyay </w:t>
      </w:r>
      <w:r>
        <w:rPr>
          <w:rFonts w:ascii="Times New Roman" w:cs="Times New Roman" w:eastAsia="Times New Roman" w:hAnsi="Times New Roman"/>
          <w:sz w:val="18"/>
          <w:szCs w:val="18"/>
          <w:color w:val="auto"/>
        </w:rPr>
        <w:t>was filed in the Superior Court of Justice in Ontario, Canada by an individual shareholder on behalf of herself and similarly-situated Canadian-based investors who purchased Endo’s securities between January 11 and May 5, 2016. The statement of claim sought class certification, declaratory relief, damages, interest and costs based on alleged violations of the Ontario Securities Act arising out of alleged negligent misrepresentations concerning the Company’s revenues, profit margins and earnings per share; its receipt of a subpoena from the state of Connecticut regarding doxycycline hyclate, amitriptyline hydrochloride, doxazosin mesylate, methotrexate sodium and oxybutynin chloride; and the erosion of the Company’s U.S. generic pharmaceuticals business. In January 2019, plaintiff amended her statement of claim to add a claim on behalf of herself and similarly-situated Canadian investors who purchased Endo’s securities between January 11, 2016 and June 8, 2017, based on our decision to voluntarily remove reformulated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from the market. In June 2020, the parties entered into a settlement agreement resolving the case. The court approved the settlement in October 2020. The amount of the settlement is not material to the Company and has been funded by the Company’s insurers.</w:t>
      </w:r>
    </w:p>
    <w:p>
      <w:pPr>
        <w:spacing w:after="0" w:line="8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November 2017, a putative class action entitled </w:t>
      </w:r>
      <w:r>
        <w:rPr>
          <w:rFonts w:ascii="Times New Roman" w:cs="Times New Roman" w:eastAsia="Times New Roman" w:hAnsi="Times New Roman"/>
          <w:sz w:val="18"/>
          <w:szCs w:val="18"/>
          <w:i w:val="1"/>
          <w:iCs w:val="1"/>
          <w:color w:val="auto"/>
        </w:rPr>
        <w:t>Pelletier v. Endo International plc, Rajiv Kanishka Liyanaarchchie De Silva, Suketu P. Upadhyay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Paul V. Campanelli </w:t>
      </w:r>
      <w:r>
        <w:rPr>
          <w:rFonts w:ascii="Times New Roman" w:cs="Times New Roman" w:eastAsia="Times New Roman" w:hAnsi="Times New Roman"/>
          <w:sz w:val="18"/>
          <w:szCs w:val="18"/>
          <w:color w:val="auto"/>
        </w:rPr>
        <w:t>was filed in the U.S. District Court for the Eastern District of Pennsylvania by an individual shareholder on behalf of himself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similarly situated shareholders. The lawsuit alleges violations of Section 10(b) and 20(a) of the Exchange Act and Rule 10b-5 promulgated thereunder relating to the pricing of various generic pharmaceutical products. In June 2018, the court appointed Park Employees’ and Retirement Board Employees’ Annuity Benefit Fund of Chicago lead plaintiff in the action. In September 2018, the defendants filed a motion to dismiss, which the court granted in part and denied in part in February 2020. In particular, the court granted the motion and dismissed the claims with prejudice insofar as they were based on an alleged price-fixing conspiracy; the court otherwise denied the motion to dismiss, allowing other aspects of lead plaintiff’s claims to proceed. In June 2020, the lead plaintiff moved for class certification; that motion remains pending.</w:t>
      </w:r>
    </w:p>
    <w:p>
      <w:pPr>
        <w:spacing w:after="0" w:line="7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June 2020, a putative class action entitled </w:t>
      </w:r>
      <w:r>
        <w:rPr>
          <w:rFonts w:ascii="Times New Roman" w:cs="Times New Roman" w:eastAsia="Times New Roman" w:hAnsi="Times New Roman"/>
          <w:sz w:val="18"/>
          <w:szCs w:val="18"/>
          <w:i w:val="1"/>
          <w:iCs w:val="1"/>
          <w:color w:val="auto"/>
        </w:rPr>
        <w:t>Benoit Albiges v. Endo International plc, Paul V. Campanelli, Blaise Coleman, and Mark T. Bradley</w:t>
      </w:r>
      <w:r>
        <w:rPr>
          <w:rFonts w:ascii="Times New Roman" w:cs="Times New Roman" w:eastAsia="Times New Roman" w:hAnsi="Times New Roman"/>
          <w:sz w:val="18"/>
          <w:szCs w:val="18"/>
          <w:color w:val="auto"/>
        </w:rPr>
        <w:t xml:space="preserve"> was filed in the U.S. District Court for the District of New Jersey by an individual shareholder on behalf of himself and all similarly situated shareholders. The lawsuit alleges violations of Section 10(b) and 20(a) of the Exchange Act and Rule 10b-5 promulgated thereunder, relating to the marketing and sale of opioid medications and the New York Department of Financial Services’ administrative action against the Company, EPI, EHSI, PPI and PPCI. In September 2020, the court appointed Curtis Laakso lead plaintiff in the action.</w:t>
      </w:r>
    </w:p>
    <w:p>
      <w:pPr>
        <w:spacing w:after="0" w:line="7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Related Matters</w:t>
      </w:r>
    </w:p>
    <w:p>
      <w:pPr>
        <w:spacing w:after="0" w:line="63" w:lineRule="exact"/>
        <w:rPr>
          <w:sz w:val="20"/>
          <w:szCs w:val="20"/>
          <w:color w:val="auto"/>
        </w:rPr>
      </w:pPr>
    </w:p>
    <w:p>
      <w:pPr>
        <w:ind w:right="160" w:firstLine="486"/>
        <w:spacing w:after="0" w:line="245" w:lineRule="auto"/>
        <w:rPr>
          <w:sz w:val="20"/>
          <w:szCs w:val="20"/>
          <w:color w:val="auto"/>
        </w:rPr>
      </w:pPr>
      <w:r>
        <w:rPr>
          <w:rFonts w:ascii="Times New Roman" w:cs="Times New Roman" w:eastAsia="Times New Roman" w:hAnsi="Times New Roman"/>
          <w:sz w:val="18"/>
          <w:szCs w:val="18"/>
          <w:color w:val="auto"/>
        </w:rPr>
        <w:t>In July 2016, Fresenius Kabi USA, LLC (Fresenius) sued our subsidiaries PPCI and PSP LLC in the U.S. District Court for the District of New Jersey alleging an anticompetitive scheme to exclude competition for PPCI’s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vasopressin-based cardiopulmonary drug. In particular, Fresenius alleged violations of Sections 1 and 2 of the Sherman Antitrust Act, as well as state antitrust and common law, based on assertions that our subsidiaries entered into exclusive supply agreements with one or more active pharmaceutical ingredient (API) manufacturers and that, as a result, Fresenius could not obtain vasopressin API in order to file an Abbreviated New Drug Application (ANDA) to obtain U.S. Food and Drug Administration (FDA) approval for its own vasopressin product. Fresenius sought actual, treble and punitive damages, attorneys’ fees and costs and injunctive relief. In February 2020, the court granted our subsidiaries’ motion for summary judgment on all claims and denied Fresenius’s cross-motion for partial summary judgment. Fresenius has appealed to the U.S. Court of Appeals for the Third Circuit; the appeal remains pending.</w:t>
      </w:r>
    </w:p>
    <w:p>
      <w:pPr>
        <w:spacing w:after="0" w:line="87" w:lineRule="exact"/>
        <w:rPr>
          <w:sz w:val="20"/>
          <w:szCs w:val="20"/>
          <w:color w:val="auto"/>
        </w:rPr>
      </w:pPr>
    </w:p>
    <w:p>
      <w:pPr>
        <w:ind w:firstLine="486"/>
        <w:spacing w:after="0" w:line="248" w:lineRule="auto"/>
        <w:rPr>
          <w:sz w:val="20"/>
          <w:szCs w:val="20"/>
          <w:color w:val="auto"/>
        </w:rPr>
      </w:pPr>
      <w:r>
        <w:rPr>
          <w:rFonts w:ascii="Times New Roman" w:cs="Times New Roman" w:eastAsia="Times New Roman" w:hAnsi="Times New Roman"/>
          <w:sz w:val="18"/>
          <w:szCs w:val="18"/>
          <w:color w:val="auto"/>
        </w:rPr>
        <w:t>In August 2017, our subsidiaries PPI and PSP LLC filed a complaint for actual, exemplary and punitive damages, injunctive relief and other relief against QuVa Pharma, Inc. (QuVa), Stuart Hinchen, Peter Jenkins and Mike Rutkowski in the U.S. District Court for the District of New Jersey. The complaint alleges misappropriation in violation of the federal Defend Trade Secrets Act, New Jersey’s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November 2017, we filed a motion for preliminary injunction seeking various forms of relief. In March 2018, the court granted in part our motion for preliminary injunction and enjoined QuVa from marketing and releasing its planned vasopressin product through the conclusion of trial. We subsequently deposited a bond to the court’s interest-bearing account to secure the preliminary injunction. In May 2018, defendants filed a notice of appeal to the Third Circuit Court of Appeals indicating intent to appeal the court’s preliminary injunction. In February 2019, the defendants filed counterclaims for defamation, tortious interference with contract, tortious interference with prospective business relations and witness interference. The counterclaims seek actual, exemplary and punitive damages and other relief. In March 2019, we filed a motion to dismiss all of the defendants’ counterclaims. In April 2019, the Third Circuit Court of Appeals affirmed the court’s preliminary injunction but remanded for additional fact-finding concerning the duration of the preliminary injunction and, if needed, consideration of the additional trade secrets raised in our motion for preliminary injunction but not addressed by the preliminary injunction order. In September 2019, following the decision in </w:t>
      </w:r>
      <w:r>
        <w:rPr>
          <w:rFonts w:ascii="Times New Roman" w:cs="Times New Roman" w:eastAsia="Times New Roman" w:hAnsi="Times New Roman"/>
          <w:sz w:val="18"/>
          <w:szCs w:val="18"/>
          <w:i w:val="1"/>
          <w:iCs w:val="1"/>
          <w:color w:val="auto"/>
        </w:rPr>
        <w:t>Athenex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Azar</w:t>
      </w:r>
      <w:r>
        <w:rPr>
          <w:rFonts w:ascii="Times New Roman" w:cs="Times New Roman" w:eastAsia="Times New Roman" w:hAnsi="Times New Roman"/>
          <w:sz w:val="18"/>
          <w:szCs w:val="18"/>
          <w:color w:val="auto"/>
        </w:rPr>
        <w:t>, No. 19-cv-00603, 2019 WL 3501811 (D.D.C. Aug. 1, 2019), which upheld the FDA’s determination that there is no clinical need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outsourcing facilities to compound drugs using bulk vasopressin, the parties submitted a proposed consent order to the district court agreeing to a lifting of the preliminary injunction against QuVa but reserving PPI and PSP LLC’s right to seek return or reduction of the bond. In January 2020, the court granted our motion to dismiss the defendants’ counterclaims and ordered the preliminary injunction lifted while the bond remains in place pending an adjudication on the merits. In March 2020, we filed a motion for partial summary judgment on the merits of PPI and PSP LLC’s breach of contract claims. That motion was denied in October 2020.</w:t>
      </w:r>
    </w:p>
    <w:p>
      <w:pPr>
        <w:spacing w:after="0" w:line="89" w:lineRule="exact"/>
        <w:rPr>
          <w:sz w:val="20"/>
          <w:szCs w:val="20"/>
          <w:color w:val="auto"/>
        </w:rPr>
      </w:pPr>
    </w:p>
    <w:p>
      <w:pPr>
        <w:ind w:right="20" w:firstLine="486"/>
        <w:spacing w:after="0" w:line="246" w:lineRule="auto"/>
        <w:rPr>
          <w:sz w:val="20"/>
          <w:szCs w:val="20"/>
          <w:color w:val="auto"/>
        </w:rPr>
      </w:pPr>
      <w:r>
        <w:rPr>
          <w:rFonts w:ascii="Times New Roman" w:cs="Times New Roman" w:eastAsia="Times New Roman" w:hAnsi="Times New Roman"/>
          <w:sz w:val="18"/>
          <w:szCs w:val="18"/>
          <w:color w:val="auto"/>
        </w:rPr>
        <w:t>Beginning in April 2018, PSP LLC and PPI received notice letters from Eagle Pharmaceuticals, Inc., Sandoz, Inc., Amphastar Pharmaceuticals, Inc., Amneal Pharmaceuticals LLC, American Regent, Fresenius, Dr. Reddy’s Laboratories, Inc. and Aurobindo Pharma Limited advising of the filing by such companies of ANDAs/New Drug Applications (NDAs) for generic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(vasopressin IV solution (infusion)) 20 units/ml and/or 200 units/10 ml. Beginning in May 2018, PSP LLC, PPI and Endo Par Innovation Company, LLC filed lawsuits against Eagle Pharmaceuticals, Inc., Sandoz, Inc., Amphastar Pharmaceuticals, Inc., Amneal Pharmaceuticals LLC, American Regent and Fresenius in the U.S. District Court for the District of Delaware or New Jersey within the 45-day deadline to invoke a 30-month stay of FDA approval pursuant to the Hatch-Waxman legislative scheme. In May 2020 we reached a settlement with American Regent. In June 2020 we reached a settlement with Sandoz. In August 2020, we reached a settlement with Amphastar Pharmaceuticals and in September 2020, we reached a settlement with Fresenius. As a result of settling the Sandoz case, all remaining cases are pending in the U.S. District Court for the District of Delaware. The remaining cases against Eagle Pharmaceuticals, Inc. and Amneal Pharmaceuticals LLC have been consolidated and trial is presently scheduled for January 2021; however, a trial may occur earlier or later as timing remains uncertain due to the impact of COVID-19 and other factors.</w:t>
      </w:r>
    </w:p>
    <w:p>
      <w:pPr>
        <w:spacing w:after="0" w:line="91" w:lineRule="exact"/>
        <w:rPr>
          <w:sz w:val="20"/>
          <w:szCs w:val="20"/>
          <w:color w:val="auto"/>
        </w:rPr>
      </w:pPr>
    </w:p>
    <w:p>
      <w:pPr>
        <w:jc w:val="both"/>
        <w:ind w:right="260" w:firstLine="486"/>
        <w:spacing w:after="0" w:line="258" w:lineRule="auto"/>
        <w:rPr>
          <w:sz w:val="20"/>
          <w:szCs w:val="20"/>
          <w:color w:val="auto"/>
        </w:rPr>
      </w:pPr>
      <w:r>
        <w:rPr>
          <w:rFonts w:ascii="Times New Roman" w:cs="Times New Roman" w:eastAsia="Times New Roman" w:hAnsi="Times New Roman"/>
          <w:sz w:val="18"/>
          <w:szCs w:val="18"/>
          <w:color w:val="auto"/>
        </w:rPr>
        <w:t>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Proceedings and Investigations</w:t>
      </w:r>
    </w:p>
    <w:p>
      <w:pPr>
        <w:spacing w:after="0" w:line="119" w:lineRule="exact"/>
        <w:rPr>
          <w:sz w:val="20"/>
          <w:szCs w:val="20"/>
          <w:color w:val="auto"/>
        </w:rPr>
      </w:pPr>
    </w:p>
    <w:p>
      <w:pPr>
        <w:ind w:right="440" w:firstLine="486"/>
        <w:spacing w:after="0" w:line="261" w:lineRule="auto"/>
        <w:rPr>
          <w:sz w:val="20"/>
          <w:szCs w:val="20"/>
          <w:color w:val="auto"/>
        </w:rPr>
      </w:pPr>
      <w:r>
        <w:rPr>
          <w:rFonts w:ascii="Times New Roman" w:cs="Times New Roman" w:eastAsia="Times New Roman" w:hAnsi="Times New Roman"/>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OTHER COMPREHENSIVE INCOME (LOSS)</w:t>
      </w:r>
    </w:p>
    <w:p>
      <w:pPr>
        <w:spacing w:after="0" w:line="121" w:lineRule="exact"/>
        <w:rPr>
          <w:sz w:val="20"/>
          <w:szCs w:val="20"/>
          <w:color w:val="auto"/>
        </w:rPr>
      </w:pPr>
    </w:p>
    <w:p>
      <w:pPr>
        <w:ind w:right="660" w:firstLine="486"/>
        <w:spacing w:after="0" w:line="289" w:lineRule="auto"/>
        <w:rPr>
          <w:sz w:val="20"/>
          <w:szCs w:val="20"/>
          <w:color w:val="auto"/>
        </w:rPr>
      </w:pPr>
      <w:r>
        <w:rPr>
          <w:rFonts w:ascii="Times New Roman" w:cs="Times New Roman" w:eastAsia="Times New Roman" w:hAnsi="Times New Roman"/>
          <w:sz w:val="17"/>
          <w:szCs w:val="17"/>
          <w:color w:val="auto"/>
        </w:rPr>
        <w:t>During the three and nine months ended September 30, 2020 and 2019, there were no tax effects allocated to any component of Other comprehensive income (loss) and there were no reclassifications out of Accumulated other comprehensive loss. Substantially all of the Company’s Accumulated other comprehensive loss balances at September 30, 2020 and December 31, 2019 consist of Foreign currency translation loss.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SHAREHOLDERS' DEFICIT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presents a reconciliation of the beginning and ending balances in Total shareholders' deficit for the three and nine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(in thousands):</w:t>
      </w:r>
    </w:p>
    <w:p>
      <w:pPr>
        <w:spacing w:after="0" w:line="111" w:lineRule="exact"/>
        <w:rPr>
          <w:sz w:val="20"/>
          <w:szCs w:val="20"/>
          <w:color w:val="auto"/>
        </w:rPr>
      </w:pPr>
    </w:p>
    <w:p>
      <w:pPr>
        <w:jc w:val="right"/>
        <w:ind w:right="80"/>
        <w:spacing w:after="0"/>
        <w:tabs>
          <w:tab w:leader="none" w:pos="6560" w:val="left"/>
          <w:tab w:leader="none" w:pos="5540" w:val="left"/>
          <w:tab w:leader="none" w:pos="2640" w:val="left"/>
          <w:tab w:leader="none" w:pos="1180" w:val="left"/>
        </w:tabs>
        <w:rPr>
          <w:sz w:val="20"/>
          <w:szCs w:val="20"/>
          <w:color w:val="auto"/>
        </w:rPr>
      </w:pPr>
      <w:r>
        <w:rPr>
          <w:rFonts w:ascii="Times New Roman" w:cs="Times New Roman" w:eastAsia="Times New Roman" w:hAnsi="Times New Roman"/>
          <w:sz w:val="14"/>
          <w:szCs w:val="14"/>
          <w:b w:val="1"/>
          <w:bCs w:val="1"/>
          <w:color w:val="auto"/>
        </w:rPr>
        <w:t>Euro Deferred</w:t>
      </w:r>
      <w:r>
        <w:rPr>
          <w:sz w:val="20"/>
          <w:szCs w:val="20"/>
          <w:color w:val="auto"/>
        </w:rPr>
        <w:tab/>
      </w:r>
      <w:r>
        <w:rPr>
          <w:rFonts w:ascii="Times New Roman" w:cs="Times New Roman" w:eastAsia="Times New Roman" w:hAnsi="Times New Roman"/>
          <w:sz w:val="14"/>
          <w:szCs w:val="14"/>
          <w:b w:val="1"/>
          <w:bCs w:val="1"/>
          <w:color w:val="auto"/>
        </w:rPr>
        <w:t>Ordinary</w:t>
      </w:r>
      <w:r>
        <w:rPr>
          <w:sz w:val="20"/>
          <w:szCs w:val="20"/>
          <w:color w:val="auto"/>
        </w:rPr>
        <w:tab/>
      </w:r>
      <w:r>
        <w:rPr>
          <w:rFonts w:ascii="Times New Roman" w:cs="Times New Roman" w:eastAsia="Times New Roman" w:hAnsi="Times New Roman"/>
          <w:sz w:val="14"/>
          <w:szCs w:val="14"/>
          <w:b w:val="1"/>
          <w:bCs w:val="1"/>
          <w:color w:val="auto"/>
        </w:rPr>
        <w:t>Additional Paid-in</w:t>
      </w:r>
      <w:r>
        <w:rPr>
          <w:sz w:val="20"/>
          <w:szCs w:val="20"/>
          <w:color w:val="auto"/>
        </w:rPr>
        <w:tab/>
      </w:r>
      <w:r>
        <w:rPr>
          <w:rFonts w:ascii="Times New Roman" w:cs="Times New Roman" w:eastAsia="Times New Roman" w:hAnsi="Times New Roman"/>
          <w:sz w:val="14"/>
          <w:szCs w:val="14"/>
          <w:b w:val="1"/>
          <w:bCs w:val="1"/>
          <w:color w:val="auto"/>
        </w:rPr>
        <w:t>Accumulated Other</w:t>
      </w:r>
      <w:r>
        <w:rPr>
          <w:sz w:val="20"/>
          <w:szCs w:val="20"/>
          <w:color w:val="auto"/>
        </w:rPr>
        <w:tab/>
      </w:r>
      <w:r>
        <w:rPr>
          <w:rFonts w:ascii="Times New Roman" w:cs="Times New Roman" w:eastAsia="Times New Roman" w:hAnsi="Times New Roman"/>
          <w:sz w:val="14"/>
          <w:szCs w:val="14"/>
          <w:b w:val="1"/>
          <w:bCs w:val="1"/>
          <w:color w:val="auto"/>
        </w:rPr>
        <w:t>Total Shareholders'</w:t>
      </w:r>
    </w:p>
    <w:p>
      <w:pPr>
        <w:ind w:left="3520"/>
        <w:spacing w:after="0"/>
        <w:tabs>
          <w:tab w:leader="none" w:pos="4640" w:val="left"/>
          <w:tab w:leader="none" w:pos="5920" w:val="left"/>
          <w:tab w:leader="none" w:pos="6980" w:val="left"/>
          <w:tab w:leader="none" w:pos="8440" w:val="left"/>
          <w:tab w:leader="none" w:pos="1034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Capital</w:t>
      </w:r>
      <w:r>
        <w:rPr>
          <w:sz w:val="20"/>
          <w:szCs w:val="20"/>
          <w:color w:val="auto"/>
        </w:rPr>
        <w:tab/>
      </w:r>
      <w:r>
        <w:rPr>
          <w:rFonts w:ascii="Times New Roman" w:cs="Times New Roman" w:eastAsia="Times New Roman" w:hAnsi="Times New Roman"/>
          <w:sz w:val="14"/>
          <w:szCs w:val="14"/>
          <w:b w:val="1"/>
          <w:bCs w:val="1"/>
          <w:color w:val="auto"/>
        </w:rPr>
        <w:t>Accumulated Deficit</w:t>
        <w:tab/>
        <w:t>Comprehensive Loss</w:t>
      </w:r>
      <w:r>
        <w:rPr>
          <w:sz w:val="20"/>
          <w:szCs w:val="20"/>
          <w:color w:val="auto"/>
        </w:rPr>
        <w:tab/>
      </w:r>
      <w:r>
        <w:rPr>
          <w:rFonts w:ascii="Times New Roman" w:cs="Times New Roman" w:eastAsia="Times New Roman" w:hAnsi="Times New Roman"/>
          <w:sz w:val="14"/>
          <w:szCs w:val="14"/>
          <w:b w:val="1"/>
          <w:bCs w:val="1"/>
          <w:color w:val="auto"/>
        </w:rPr>
        <w:t>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Compensation related to share-based</w:t>
            </w:r>
          </w:p>
        </w:tc>
        <w:tc>
          <w:tcPr>
            <w:tcW w:w="46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awards</w:t>
            </w:r>
          </w:p>
        </w:tc>
        <w:tc>
          <w:tcPr>
            <w:tcW w:w="4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for restricted shares</w:t>
            </w:r>
          </w:p>
        </w:tc>
        <w:tc>
          <w:tcPr>
            <w:tcW w:w="4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2020</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Compensation related to share-based</w:t>
            </w:r>
          </w:p>
        </w:tc>
        <w:tc>
          <w:tcPr>
            <w:tcW w:w="46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awards</w:t>
            </w:r>
          </w:p>
        </w:tc>
        <w:tc>
          <w:tcPr>
            <w:tcW w:w="4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for restricted shares</w:t>
            </w:r>
          </w:p>
        </w:tc>
        <w:tc>
          <w:tcPr>
            <w:tcW w:w="4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2020</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Compensation related to share-based</w:t>
            </w:r>
          </w:p>
        </w:tc>
        <w:tc>
          <w:tcPr>
            <w:tcW w:w="46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awards</w:t>
            </w:r>
          </w:p>
        </w:tc>
        <w:tc>
          <w:tcPr>
            <w:tcW w:w="46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Tax withholding for restricted shares</w:t>
            </w:r>
          </w:p>
        </w:tc>
        <w:tc>
          <w:tcPr>
            <w:tcW w:w="46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2020</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-2887980</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-1482090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8,904,692</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(9,552,214)</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(219,090)</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(866,544)</w:t>
            </w:r>
          </w:p>
        </w:tc>
      </w:tr>
      <w:tr>
        <w:trPr>
          <w:trHeight w:val="229"/>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129,930</w:t>
            </w:r>
          </w:p>
        </w:tc>
      </w:tr>
      <w:tr>
        <w:trPr>
          <w:trHeight w:val="234"/>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(14,437)</w:t>
            </w:r>
          </w:p>
        </w:tc>
      </w:tr>
      <w:tr>
        <w:trPr>
          <w:trHeight w:val="40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17,645</w:t>
            </w:r>
          </w:p>
        </w:tc>
        <w:tc>
          <w:tcPr>
            <w:tcW w:w="3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w:t>
            </w:r>
          </w:p>
        </w:tc>
      </w:tr>
      <w:tr>
        <w:trPr>
          <w:trHeight w:val="229"/>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(4,398)</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r>
      <w:tr>
        <w:trPr>
          <w:trHeight w:val="234"/>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8,917,927</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(9,422,284)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(233,527)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(737,817)</w:t>
            </w:r>
          </w:p>
        </w:tc>
      </w:tr>
      <w:tr>
        <w:trPr>
          <w:trHeight w:val="218"/>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w:t>
            </w:r>
          </w:p>
        </w:tc>
      </w:tr>
      <w:tr>
        <w:trPr>
          <w:trHeight w:val="234"/>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r>
      <w:tr>
        <w:trPr>
          <w:trHeight w:val="40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9,222</w:t>
            </w:r>
          </w:p>
        </w:tc>
        <w:tc>
          <w:tcPr>
            <w:tcW w:w="3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w:t>
            </w:r>
          </w:p>
        </w:tc>
      </w:tr>
      <w:tr>
        <w:trPr>
          <w:trHeight w:val="229"/>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(2,467)</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r>
      <w:tr>
        <w:trPr>
          <w:trHeight w:val="234"/>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8,924,694</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(9,411,726)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(227,903)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(714,867)</w:t>
            </w:r>
          </w:p>
        </w:tc>
      </w:tr>
      <w:tr>
        <w:trPr>
          <w:trHeight w:val="218"/>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(75,887)</w:t>
            </w:r>
          </w:p>
        </w:tc>
      </w:tr>
      <w:tr>
        <w:trPr>
          <w:trHeight w:val="234"/>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r>
      <w:tr>
        <w:trPr>
          <w:trHeight w:val="400"/>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6,585</w:t>
            </w:r>
          </w:p>
        </w:tc>
        <w:tc>
          <w:tcPr>
            <w:tcW w:w="3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w:t>
            </w:r>
          </w:p>
        </w:tc>
      </w:tr>
      <w:tr>
        <w:trPr>
          <w:trHeight w:val="230"/>
        </w:trPr>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(1,070)</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r>
      <w:tr>
        <w:trPr>
          <w:trHeight w:val="234"/>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8,930,209</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(9,487,613)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(225,148)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(782,482)</w:t>
            </w:r>
          </w:p>
        </w:tc>
      </w:tr>
      <w:tr>
        <w:trPr>
          <w:trHeight w:val="20"/>
        </w:trPr>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-7620</wp:posOffset>
            </wp:positionV>
            <wp:extent cx="8572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-1036320</wp:posOffset>
            </wp:positionV>
            <wp:extent cx="8572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-2039620</wp:posOffset>
            </wp:positionV>
            <wp:extent cx="8572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440"/>
            <w:col w:w="5180"/>
          </w:cols>
          <w:pgMar w:left="320" w:top="114" w:right="33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5" w:name="page36"/>
    <w:bookmarkEnd w:id="35"/>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in Total shareholders' deficit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Euro Deferred</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60" w:type="dxa"/>
            <w:vAlign w:val="bottom"/>
            <w:gridSpan w:val="3"/>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320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DECEMBER 31, 2018,</w:t>
            </w: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PRIOR TO THE ADOPTION OF ASC</w:t>
            </w:r>
          </w:p>
        </w:tc>
        <w:tc>
          <w:tcPr>
            <w:tcW w:w="22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8,855,810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(9,124,932)</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(229,229)</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(498,283)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842, LEASES</w:t>
            </w: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adopting ASC 842, Leases</w:t>
            </w:r>
          </w:p>
        </w:tc>
        <w:tc>
          <w:tcPr>
            <w:tcW w:w="2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2019</w:t>
            </w: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8,855,810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(9,129,578)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(502,929)</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(18,573)</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share-based</w:t>
            </w:r>
          </w:p>
        </w:tc>
        <w:tc>
          <w:tcPr>
            <w:tcW w:w="220" w:type="dxa"/>
            <w:vAlign w:val="bottom"/>
          </w:tcPr>
          <w:p>
            <w:pPr>
              <w:spacing w:after="0"/>
              <w:rPr>
                <w:sz w:val="15"/>
                <w:szCs w:val="15"/>
                <w:color w:val="auto"/>
              </w:rPr>
            </w:pPr>
          </w:p>
        </w:tc>
        <w:tc>
          <w:tcPr>
            <w:tcW w:w="9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w:t>
            </w: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 for restricted shares</w:t>
            </w:r>
          </w:p>
        </w:tc>
        <w:tc>
          <w:tcPr>
            <w:tcW w:w="2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MARCH 31, 2019</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8,878,133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(9,148,151)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(224,499)</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(494,450)</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share-based</w:t>
            </w: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w:t>
            </w:r>
          </w:p>
        </w:tc>
        <w:tc>
          <w:tcPr>
            <w:tcW w:w="2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 for restricted shares</w:t>
            </w:r>
          </w:p>
        </w:tc>
        <w:tc>
          <w:tcPr>
            <w:tcW w:w="2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JUNE 30, 2019</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8,883,720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(9,254,156)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(220,104)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(590,472)</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(79,415)</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175"/>
        </w:trPr>
        <w:tc>
          <w:tcPr>
            <w:tcW w:w="3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share-based</w:t>
            </w:r>
          </w:p>
        </w:tc>
        <w:tc>
          <w:tcPr>
            <w:tcW w:w="2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w:t>
            </w:r>
          </w:p>
        </w:tc>
        <w:tc>
          <w:tcPr>
            <w:tcW w:w="2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withholding for restricted shares</w:t>
            </w:r>
          </w:p>
        </w:tc>
        <w:tc>
          <w:tcPr>
            <w:tcW w:w="2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2019</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8,894,646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(9,333,571)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(222,619)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(661,477)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recognized share-based compensation expense of $6.6 million and $11.6 million during the three months ended September 30, 2020 and 2019, respectively, and $33.5 million and $48.9 million during the nine months ended September 30, 2020 and 2019, respectively. As of September 30, 2020, the total remaining unrecognized compensation cost related to non-vested share-based compensation awards amounted to $30.7 million.</w:t>
      </w:r>
    </w:p>
    <w:p>
      <w:pPr>
        <w:spacing w:after="0" w:line="68"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2020, the weighted average remaining requisite service period for non-vested stock options was 0.4 years and for non-vested restricted stock units was 1.5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(INCOME) EXPENSE,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Other (income) expense, net for the three and nine months ended September 30, 2020 and 2019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sale of business and other assets (1)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net (2)</w:t>
            </w:r>
          </w:p>
        </w:tc>
        <w:tc>
          <w:tcPr>
            <w:tcW w:w="200" w:type="dxa"/>
            <w:vAlign w:val="bottom"/>
          </w:tcPr>
          <w:p>
            <w:pPr>
              <w:spacing w:after="0"/>
              <w:rPr>
                <w:sz w:val="19"/>
                <w:szCs w:val="19"/>
                <w:color w:val="auto"/>
              </w:rPr>
            </w:pPr>
          </w:p>
        </w:tc>
        <w:tc>
          <w:tcPr>
            <w:tcW w:w="116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8"/>
              </w:rPr>
              <w:t>1,332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from our investments in the equity of other companies (3)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 (4)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16,627</w:t>
            </w:r>
          </w:p>
        </w:tc>
      </w:tr>
      <w:tr>
        <w:trPr>
          <w:trHeight w:val="248"/>
        </w:trPr>
        <w:tc>
          <w:tcPr>
            <w:tcW w:w="5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the sales of certain intellectual property rights.</w:t>
      </w:r>
    </w:p>
    <w:p>
      <w:pPr>
        <w:spacing w:after="0" w:line="1"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remeasurement of the Company’s foreign currency denominated assets and liabilities.</w:t>
      </w:r>
    </w:p>
    <w:p>
      <w:pPr>
        <w:spacing w:after="0" w:line="1"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income statement impacts of our investments in the equity of other companies, including investments accounted for under the equity method.</w:t>
      </w:r>
    </w:p>
    <w:p>
      <w:pPr>
        <w:spacing w:after="0" w:line="1" w:lineRule="exact"/>
        <w:rPr>
          <w:rFonts w:ascii="Times New Roman" w:cs="Times New Roman" w:eastAsia="Times New Roman" w:hAnsi="Times New Roman"/>
          <w:sz w:val="14"/>
          <w:szCs w:val="14"/>
          <w:color w:val="auto"/>
        </w:rPr>
      </w:pPr>
    </w:p>
    <w:p>
      <w:pPr>
        <w:ind w:left="500" w:right="60" w:hanging="330"/>
        <w:spacing w:after="0" w:line="258" w:lineRule="auto"/>
        <w:tabs>
          <w:tab w:leader="none" w:pos="4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during the three and nine months ended September 30, 2019 primarily relate to $17.5 million of contract termination costs incurred as a result of certain product discontinuation activities in our International Pharmaceuticals segment.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12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displays our Loss from continuing operations before income tax, Income tax expense (benefit) and Effective tax rate for the three and nine months ended September 30, 2020 and 2019 (dollars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0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(64,800)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(24,070)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(18,299)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(120,363)</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17,361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(124,516)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31,732</w:t>
            </w:r>
          </w:p>
        </w:tc>
      </w:tr>
      <w:tr>
        <w:trPr>
          <w:trHeight w:val="230"/>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680.5 %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(26.4)%</w:t>
            </w:r>
          </w:p>
        </w:tc>
      </w:tr>
    </w:tbl>
    <w:p>
      <w:pPr>
        <w:spacing w:after="0" w:line="90"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change in Income tax expense (benefit) for the three months ended September 30, 2020 primarily relates to changes in the geographic mix of pre-tax earnings.</w:t>
      </w:r>
    </w:p>
    <w:p>
      <w:pPr>
        <w:spacing w:after="0" w:line="54"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change in Income tax expense (benefit) for the nine months ended September 30, 2020 primarily relates to the 2020 discrete tax benefit arising from the Coronavirus Aid, Relief, and Economic Security Act (CARES Act), as discussed below, and changes in the geographic mix of pre-tax earnings.</w:t>
      </w:r>
    </w:p>
    <w:p>
      <w:pPr>
        <w:spacing w:after="0" w:line="5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have valuation allowances established against our deferred tax assets in most jurisdictions in which we operate, with the exception of Canada and India.</w:t>
      </w:r>
    </w:p>
    <w:p>
      <w:pPr>
        <w:spacing w:after="0" w:line="54"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On March 27, 2020, the CARES Act was enacted by the U.S. government in response to the COVID-19 pandemic. The CARES Act, among other things, permits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During the nine months ended September 30, 2020, the Company recorded a discrete tax benefit in continuing operations of $129.0 million as a result of the change in the NOL carryback period.</w:t>
      </w:r>
    </w:p>
    <w:p>
      <w:pPr>
        <w:spacing w:after="0" w:line="7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On June 3, 2020, in connection with the Internal Revenue Service's (IRS)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IRS’s examination of the 2015 Return, we understand that the IRS intends to issue a Technical Advice Memorandum (TAM) regarding the portion of our 2015 NOL relating to our worthless stock deduction that we believe qualifies as a specified product liability loss. Based on our discussions with the IRS, we expect the views expressed in the TAM to be contrary to the positions taken on our 2015 Return. If the IRS’s position is in whole or in part sustained, we could be required to repay a portion of the $760 million tax refund we disclosed in our 2016 Annual Report on Form 10-K, exclusive of interest. This result could have a material adverse effect on our business, financial condition, results of operations and cash flows. We disagree with the IRS’s expected position in the TAM and, if necessary, intend to contest any proposed adjustment. Although the timing of the outcome of this matter is uncertain, it is possible any final resolution of the matter could take a number of years.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NET (LOSS) INCOME PER SHARE</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numerator and denominator of basic and diluted net (loss) income per share for the three and nine months ended September 30, 2020 and 2019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(152,095)</w:t>
            </w: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(51,898)</w:t>
            </w:r>
          </w:p>
        </w:tc>
      </w:tr>
      <w:tr>
        <w:trPr>
          <w:trHeight w:val="22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64,601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(203,993)</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basic per share data—weighted average shares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225,804</w:t>
            </w:r>
          </w:p>
        </w:tc>
      </w:tr>
      <w:tr>
        <w:trPr>
          <w:trHeight w:val="229"/>
        </w:trPr>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ordinary share equivalents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diluted per share data—weighted average shares</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230,040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226,598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233,379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225,804</w:t>
            </w: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6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dilutive effect of ordinary share equivalents is measured using the treasury stock method. Stock options and awards that have been issued but for which a grant date has not yet been established are not considered in the calculation of basic or diluted weighted average shares.</w:t>
      </w:r>
    </w:p>
    <w:p>
      <w:pPr>
        <w:spacing w:after="0" w:line="5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All potentially dilutive items were excluded from the diluted share calculation for the three months ended September 30, 2020 because their effect would have been anti-dilutive as the Company was in a loss position. For the nine months ended September 30, 2020, aggregate stock options and stock awards of 7.1 million and 6.4 million, respectively, were excluded from the diluted share calculation because their effect would have been anti-dilutive. All potentially dilutive items were excluded from the diluted share calculation for the three and nine months ended September 30, 2019 because their effect would have been anti-dilutive as the Company was in a loss position.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to Acquire BioSpecifics Technologies Corp.</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On October 19, 2020, the Company entered into an Agreement and Plan of Merger (the Merger Agreement) with Beta Acquisition Corp., a Delaware corporation and wholly-owned indirect subsidiary of the Company (Purchaser) and BioSpecifics Technologies Corp., a Delaware corporation and a commercial-stage biopharmaceutical company (BioSpecifics). Pursuant to the Merger Agreement, and on the terms and subject to the conditions thereof, Purchaser commenced a tender offer (the Offer) on November 2, 2020 to acquire all of BioSpecifics’ issued and outstanding shares of common stock (BioSpecifics Shares) at a purchase price of $88.50 per BioSpecifics Share (Offer Price), net to the holder thereof in cash, subject to reduction for any applicable withholding taxes and without interest.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Following the consummation of the Offer and subject to the satisfaction or waiver of certain conditions set forth in the Merger Agreement, Purchaser will merge with and into BioSpecifics, with BioSpecifics surviving as a wholly owned subsidiary of the Company, pursuant to Section 251(h) of the General Corporation Law of the State of Delaware without a vote of BioSpecifics’ stockholders (Merger). At the effective time of the Merger (Effective Time), and without any action on the part of the holders of BioSpecifics Shares, each BioSpecifics Share, other than any BioSpecifics Shares (i) owned at the commencement of the Offer and immediately prior to the Effective Time by the Company, Purchaser or BioSpecifics or any direct or indirect wholly-owned subsidiary thereof, (ii) irrevocably accepted for purchase pursuant to the Offer or (iii) owned by BioSpecifics stockholders who are entitled to demand and have properly and validly demanded their appraisal rights under Delaware law, will be automatically converted into the right to receive an amount in cash equal to the Offer Price, subject to reduction for any applicable withholding taxes and without interest.</w:t>
      </w:r>
    </w:p>
    <w:p>
      <w:pPr>
        <w:spacing w:after="0" w:line="84" w:lineRule="exact"/>
        <w:rPr>
          <w:sz w:val="20"/>
          <w:szCs w:val="20"/>
          <w:color w:val="auto"/>
        </w:rPr>
      </w:pPr>
    </w:p>
    <w:p>
      <w:pPr>
        <w:ind w:right="40" w:firstLine="486"/>
        <w:spacing w:after="0" w:line="239" w:lineRule="auto"/>
        <w:rPr>
          <w:sz w:val="20"/>
          <w:szCs w:val="20"/>
          <w:color w:val="auto"/>
        </w:rPr>
      </w:pPr>
      <w:r>
        <w:rPr>
          <w:rFonts w:ascii="Times New Roman" w:cs="Times New Roman" w:eastAsia="Times New Roman" w:hAnsi="Times New Roman"/>
          <w:sz w:val="18"/>
          <w:szCs w:val="18"/>
          <w:color w:val="auto"/>
        </w:rPr>
        <w:t>The Company has had a strategic relationship with BioSpecifics since 2004. Under the terms of the relationship, BioSpecifics receives a royalty stream from the Company related to the Company’s collagenase-based therapies, which currently include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currently marketed by the Company for the treatment of Dupuytren’s contracture and Peyronie’s disease, and Qwo™ (collagenase clostridium histolyticum-aaes), the first FDA-approved injectable treatment for cellulite, which is expected to be launched in spring 2021.</w:t>
      </w:r>
    </w:p>
    <w:p>
      <w:pPr>
        <w:spacing w:after="0" w:line="90"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Merger Agreement, the Marital Trust U/W/O Edwin H. Wegman Dated 8-10-06 (Stockholder) entered into a support agreement with the Company and Purchaser (Support Agreement). The Support Agreement generally requires that the Stockholder validly tender all of its shares after commencement of the Offer and to vote against any action, agreement or transaction involving BioSpecifics that can impede, interfere with or prevent the consummation of the transaction. The Stockholder beneficially owned, in the aggregate, 935,073 BioSpecifics Shares, which represented approximately 12.7% of BioSpecifics’ total outstanding shares based on 7,344,955 outstanding shares as of October 28, 2020.</w:t>
      </w:r>
    </w:p>
    <w:p>
      <w:pPr>
        <w:spacing w:after="0" w:line="7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in late 2020, subject to customary closing conditions, and the Company expects to fund the transaction with cash on hand. The estimated value of the transaction is approximately $540 million (net of approximately $120 million in estimated cash, cash equivalents and investments acquired) at the anticipated time of deal closure.</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81"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references throughout to “Endo,” the “Company,” “we,” “our” or “us” refer to Endo International plc and its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quarterly results have fluctuated in the past and may continue to fluctuate. These fluctuations are primarily due to (1) the timing of new product launches, (2) purchasing patterns of our customers, (3) market acceptance of our products, (4) the impact of competitive products and products we recently acquired, (5) pricing of our products, (6) the timing of mergers, acquisitions, divestitures and other related activity, (7) other actions taken by the Company which may impact the availability of our products and (8) more recently, the impact of COVID-19. These fluctuations are also attributable to charges incurred for compensation related to share-based payments, amortization of intangible assets, asset impairment charges, charges related to litigation, restructuring charges and certain upfront, milestone and other payments made or accrued pursuant to acquisition or licensing agreements. The following are examples of recent developments that could result in fluctuations in our quarterly results:</w:t>
      </w:r>
    </w:p>
    <w:p>
      <w:pPr>
        <w:spacing w:after="0" w:line="3" w:lineRule="exact"/>
        <w:rPr>
          <w:sz w:val="20"/>
          <w:szCs w:val="20"/>
          <w:color w:val="auto"/>
        </w:rPr>
      </w:pPr>
    </w:p>
    <w:p>
      <w:pPr>
        <w:ind w:left="900" w:right="40" w:hanging="244"/>
        <w:spacing w:after="0" w:line="250"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COVID-19 was reported to have surfaced in Wuhan, China. In March 2020, the World Health Organization declared the COVID-19 outbreak a global pandemic. Many countries and localities announced aggressive actions to reduce the spread of the disease, including limiting non-essential gatherings of people, suspending all non-essential travel, ordering certain businesses and government agencies to cease non-essential operations at physical locations and issuing shelter-in-place orders (subject to limited exceptions). Since then, developments have evolved rapidly and are likely to continue to do so. While there has been some loosening of restrictions, an increase in diagnosed cases may lead to the reinstatement of various restrictions.</w:t>
      </w:r>
    </w:p>
    <w:p>
      <w:pPr>
        <w:spacing w:after="0" w:line="2" w:lineRule="exact"/>
        <w:rPr>
          <w:rFonts w:ascii="Times New Roman" w:cs="Times New Roman" w:eastAsia="Times New Roman" w:hAnsi="Times New Roman"/>
          <w:sz w:val="18"/>
          <w:szCs w:val="18"/>
          <w:color w:val="auto"/>
        </w:rPr>
      </w:pPr>
    </w:p>
    <w:p>
      <w:pPr>
        <w:ind w:left="900" w:hanging="244"/>
        <w:spacing w:after="0" w:line="255"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6, 2020, we announced that we had received FDA approval of QWO for the treatment of moderate to severe cellulite in the buttocks of adult women. As further described below, the anticipated launch of QWO is in spring 2021. We have incurred and expect to continue to incur costs associated with the planned commercial launch of QWO.</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900" w:right="240" w:hanging="244"/>
        <w:spacing w:after="0" w:line="241" w:lineRule="auto"/>
        <w:tabs>
          <w:tab w:leader="none" w:pos="8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19, 2020, we announced we had agreed to acquire all of the outstanding shares of BioSpecifics in a transaction valued at approximately $540 million (net of approximately $120 million in estimated cash acquired) at the anticipated time of deal closure, which is expected to occur in late 2020. BioSpecifics currently receives a royalty stream from us related to our collagenase-based therapies, which currently include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QWO. We expect to incur certain expenses, including transaction costs, associated with the completion of this transaction.</w:t>
      </w:r>
    </w:p>
    <w:p>
      <w:pPr>
        <w:spacing w:after="0" w:line="1" w:lineRule="exact"/>
        <w:rPr>
          <w:rFonts w:ascii="Times New Roman" w:cs="Times New Roman" w:eastAsia="Times New Roman" w:hAnsi="Times New Roman"/>
          <w:sz w:val="18"/>
          <w:szCs w:val="18"/>
          <w:color w:val="auto"/>
        </w:rPr>
      </w:pPr>
    </w:p>
    <w:p>
      <w:pPr>
        <w:ind w:left="900" w:right="120" w:hanging="244"/>
        <w:spacing w:after="0" w:line="253" w:lineRule="auto"/>
        <w:tabs>
          <w:tab w:leader="none" w:pos="8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5, 2020, we announced the initiation of several strategic actions, collectively referred to as the 2020 Restructuring Initiative, to further optimize the Company’s operations and increase overall efficiency. We have recorded and expect to record certain charges to complete these activities in anticipation of realizing annualized cost savings. For further discussion of this initiative, including a discussion of related charges and expected future charges, refer to Note 4. Restructuring of the Condensed Consolidated Financial Statements included in Part I, Item 1.</w:t>
      </w:r>
    </w:p>
    <w:p>
      <w:pPr>
        <w:spacing w:after="0" w:line="7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impact on our results of COVID-19 and related changes in economic conditions, including changes to consumer spending resulting from the rapid rise in local and national unemployment rates, are highly uncertain and, in many instances, outside of our control. The duration and severity of the direct and indirect effects of COVID-19 are evolving rapidly and in ways that are difficult to anticipate. There are numerous uncertainties related to the COVID-19 pandemic that have impacted our ability to forecast our future operations. The extent to which COVID-19 will affect our business, financial position and operating results in the future cannot be predicted with certainty; however, any such impact could be material. In addition, because COVID-19 did not begin to affect our financial results until late in the first quarter of 2020, its impact on our consolidated results and the results of our business segments to date may not be directly comparable to any historical period and are not necessarily indicative of its impact on our results for the remainder of 2020 or any subsequent periods. COVID-19 could also increase the degree to which our quarterly results, including the results of our business segments, fluctuate in the future. Refer to “Risk Factors” in Part II, Item 1A of this report for further details.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Update and Other Key Trends</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are closely monitoring the impact of COVID-19 on all aspects of our business, the pharmaceutical industry and the economy as a whole, including how it has and will continue to impact our workforce, our customers and the patients they serve, our manufacturing and supply chain operations, our research and development (R&amp;D) programs and regulatory approval processes and our liquidity and access to capital. In addition to our existing business continuity plans, our executive leadership team has developed and implemented a range of proactive measures to address the risks, uncertainties and operational challenges associated with COVID-19. We continue to closely monitor the rapidly evolving situation and implement plans intended to limit the impact of COVID-19 on our business so that we can continue to produce the critical care medicines that hospitals and healthcare providers need to treat patients, including those with COVID-19. Actions we have taken to date and expected key trends are further described below.</w:t>
      </w:r>
    </w:p>
    <w:p>
      <w:pPr>
        <w:spacing w:after="0" w:line="7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Workforce. </w:t>
      </w:r>
      <w:r>
        <w:rPr>
          <w:rFonts w:ascii="Times New Roman" w:cs="Times New Roman" w:eastAsia="Times New Roman" w:hAnsi="Times New Roman"/>
          <w:sz w:val="18"/>
          <w:szCs w:val="18"/>
          <w:color w:val="auto"/>
        </w:rPr>
        <w:t>We have taken, and will continue to take, proactive measures to provide for the well-being of our workforce around the globe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continuing to safely produce products upon which patients and their healthcare providers rely. We have implemented alternative working practices and work-from-home requirements for appropriate employees, inclusive of our executive leadership team, and are continuing to pay full wages to our workforce. We have limited international and domestic travel, increased our already-thorough cleaning protocols throughout our facilities and prohibited non-essential visitors from our sites. We have also implemented temperature screenings, health questionnaires, social distancing, modified schedules, shift rotation and other similar policies at our manufacturing facilities. We launched a hybrid approach selling model as of June 1, 2020 for our field employees, which allows virtual and/or live engagement with healthcare providers and other customers. Certain of these measures have resulted in increased costs and, as further described below, resulted in the prioritization of certain products in our production plans.</w:t>
      </w:r>
    </w:p>
    <w:p>
      <w:pPr>
        <w:spacing w:after="0" w:line="77" w:lineRule="exact"/>
        <w:rPr>
          <w:sz w:val="20"/>
          <w:szCs w:val="20"/>
          <w:color w:val="auto"/>
        </w:rPr>
      </w:pPr>
    </w:p>
    <w:p>
      <w:pPr>
        <w:ind w:firstLine="486"/>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Customers and the Patients They Serve. </w:t>
      </w:r>
      <w:r>
        <w:rPr>
          <w:rFonts w:ascii="Times New Roman" w:cs="Times New Roman" w:eastAsia="Times New Roman" w:hAnsi="Times New Roman"/>
          <w:sz w:val="18"/>
          <w:szCs w:val="18"/>
          <w:color w:val="auto"/>
        </w:rPr>
        <w:t>We have experienced, and expect to continue to experience, changes in customer demand as the COVID-19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pandemic continues to evolve, which are difficult to predict. Beginning in late first-quarter 2020 and into early second-quarter 2020, we experienced an increase in sales volumes for some of our critical care products, including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These higher volumes resulted from significant channel inventory stocking of these products in anticipation of treating certain patients infected with COVID-19. This increase in sales volume was followed by significant inventory destocking for the remainder of the second quarter of 2020. Sales volumes returned toward pre-COVID-19 levels during the third quarter of 2020. Additionally, beginning during the last two weeks of the first quarter of 2020 and continuing into the second quarter of 2020, certain of our products that are physician administered,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began experiencing significantly decreased sales volumes due to reduced physician office activity and patient office visits compared to prior year because of the COVID-19 pandemic. During the second and third quarters of 2020, sales volumes began to recover toward pre-COVID-19 levels as certain physician offices reopened. A resurgence in the cases of COVID-19 and new lockdowns could further impact future demand for these products.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Manufacturing and Supply Chain Operations. </w:t>
      </w:r>
      <w:r>
        <w:rPr>
          <w:rFonts w:ascii="Times New Roman" w:cs="Times New Roman" w:eastAsia="Times New Roman" w:hAnsi="Times New Roman"/>
          <w:sz w:val="18"/>
          <w:szCs w:val="18"/>
          <w:color w:val="auto"/>
        </w:rPr>
        <w:t>As of the date of this report, our business has not experienced any material supply issues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COVID-19 and our manufacturing facilities across the globe have continued to operate. We have taken, and plan to continue to take, commercially practical measures to keep these facilities open as they are critical to our ability to reliably supply required critical care and medically necessary products. These measures, including the implementation of temperature screenings, health questionnaires, social distancing, modified schedules, shift rotation and other similar policies at our manufacturing facilities, as well as changes in our workforce availability have impacted our manufacturing and supply chain productivity at certain of our facilities and resulted in the prioritization of certain products, such as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our production plans to provide for their continued availability during and after the pandemic. We believe that our diversified manufacturing footprint, which includes a combination of Endo owned and leased facilities located in the U.S. and India, supply agreements and strong business relationships with numerous contract manufacturing organizations throughout the world, including in the U.S., Canada, Europe and India, and our proven ability to be a preferred partner of choice to large pharmaceutical companies seeking authorized generic distributors for their branded products, is a critical factor to mitigate significant risks related to manufacturing and supply chain disruption. This footprint, overseen by our global quality and supply chain teams in Ireland, combined with a skilled management team with significant experience in manufacturing and supply chain operations, has enabled us to respond quickly and effectively to the evolving COVID-19 pandemic to date.</w:t>
      </w:r>
    </w:p>
    <w:p>
      <w:pPr>
        <w:spacing w:after="0" w:line="88"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Clinical and Development Programs. </w:t>
      </w:r>
      <w:r>
        <w:rPr>
          <w:rFonts w:ascii="Times New Roman" w:cs="Times New Roman" w:eastAsia="Times New Roman" w:hAnsi="Times New Roman"/>
          <w:sz w:val="18"/>
          <w:szCs w:val="18"/>
          <w:color w:val="auto"/>
        </w:rPr>
        <w:t>We have a number of ongoing clinical trials. We are committed to the safety of our patients, employees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others involved in these trials. We are monitoring COVID-19 closely and continue to partner with the FDA on our ongoing clinical trials, regulatory applications and other R&amp;D activities. Based on an assessment of our R&amp;D programs, including our clinical trials, we have developed a plan and timeline for each study in order to enhance communication with patients, sites and vendors. To date, the impacts of COVID-19 have resulted in modest delays and could continue to cause delays to certain of our clinical trials and product development and commercialization programs, including obtaining adequate patient enrollment, receiving regulatory approvals and successfully bringing product candidates to market. Additionally, as a result of COVID-19 and its impact on medical aesthetics physician office closures and consumer spending, we have moved the anticipated product launch of QWO to spring 2021.</w:t>
      </w:r>
    </w:p>
    <w:p>
      <w:pPr>
        <w:spacing w:after="0" w:line="7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Key Trends. </w:t>
      </w:r>
      <w:r>
        <w:rPr>
          <w:rFonts w:ascii="Times New Roman" w:cs="Times New Roman" w:eastAsia="Times New Roman" w:hAnsi="Times New Roman"/>
          <w:sz w:val="18"/>
          <w:szCs w:val="18"/>
          <w:color w:val="auto"/>
        </w:rPr>
        <w:t>Since the first quarter of 2020, we, and our industry as a whole, have been impacted by COVID-19 and may experience a greater impact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going forward. The most significant trends we face as a result of the COVID-19 pandemic include: (i) decreases in demand for certain of our physician administered products due to physician office closures and a decline in patients electing to be treated because of the COVID-19 pandemic, (ii) potential temporary decreases to the supply of certain of our products due to modified production schedules to safely maintain operations in response to COVID-19 and other factors including, without limitation, workforce availability, (iii) potential idle capacity charges based on implementation of certain of the policies described above at our manufacturing facilities and (iv) potential delays in our ability to launch some new products due to production prioritization and economic conditions and other factors outside of our control. For further information regarding the impact of COVID-19 on the Company, please refer to “Risk Factors” in Part II, Item 1A of this report.</w:t>
      </w:r>
    </w:p>
    <w:p>
      <w:pPr>
        <w:spacing w:after="0" w:line="81"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Our estimated revenue trends for the full year 2020 compared to the full year 2019 are set forth below. These estimated revenue trends reflect the current expectations of our management team based on information currently available to them. Our estimates are subject to significant risks and uncertainties that could cause our actual results to differ materially from those indicated below, including our assumptions about the duration and severity of COVID-19 and the impact of any related governmental, business or other actions, any of which could cause the impact of COVID-19 to be more significant than our current expectations.</w:t>
      </w:r>
    </w:p>
    <w:p>
      <w:pPr>
        <w:spacing w:after="0" w:line="3" w:lineRule="exact"/>
        <w:rPr>
          <w:sz w:val="20"/>
          <w:szCs w:val="20"/>
          <w:color w:val="auto"/>
        </w:rPr>
      </w:pPr>
    </w:p>
    <w:p>
      <w:pPr>
        <w:ind w:left="900" w:right="280" w:hanging="244"/>
        <w:spacing w:after="0" w:line="226" w:lineRule="auto"/>
        <w:tabs>
          <w:tab w:leader="none" w:pos="895"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the full year 2020, we expect revenues from our Sterile Injectables segment to be above 2019, primarily driven by increased sales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Beginning in late first-quarter 2020 and into early second-quarter 2020, we experienced an increase in sales volumes for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compared to pre-COVID-19 levels resulting from significant channel inventory stocking of this product in anticipation of treating vasodilatory shock in patients infected with COVID-19. This increase in sales volume was followed by significant inventory destocking for the remainder of the second quarter of 2020. Sales volumes returned toward pre-COVID-19 levels during the third quarter of 2020, which we expect to continue for the remainder of 2020. Additionally, we expect the anticipated full-year 2020 increase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be partially offset by decreases in certain other Sterile Injectables, primarily due to competitive pressures not related to COVID-19.</w:t>
      </w:r>
    </w:p>
    <w:p>
      <w:pPr>
        <w:spacing w:after="0" w:line="6" w:lineRule="exact"/>
        <w:rPr>
          <w:rFonts w:ascii="Times New Roman" w:cs="Times New Roman" w:eastAsia="Times New Roman" w:hAnsi="Times New Roman"/>
          <w:sz w:val="18"/>
          <w:szCs w:val="18"/>
          <w:b w:val="1"/>
          <w:bCs w:val="1"/>
          <w:i w:val="1"/>
          <w:iCs w:val="1"/>
          <w:color w:val="auto"/>
        </w:rPr>
      </w:pPr>
    </w:p>
    <w:p>
      <w:pPr>
        <w:ind w:left="900" w:right="180" w:hanging="244"/>
        <w:spacing w:after="0" w:line="232" w:lineRule="auto"/>
        <w:tabs>
          <w:tab w:leader="none" w:pos="895"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the full year 2020, we expect a decline in revenues from the Specialty Products portfolio of our Branded Pharmaceuticals segment as compared to 2019. Beginning during the last two weeks of the first quarter of 2020 and continuing into the second quarter of 2020, certain of our products that are physician administered,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began experiencing significantly decreased sales volumes as compared to pre-COVID-19 levels due to physician office closures and a decline in patients electing to be treated because of the COVID-19 pandemic. During the second and third quarters of 2020, sales volumes began to recover toward pre-COVID-19 levels as certain physician offices reopened. We expect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sales volumes to continue to recover in the fourth quarter of 2020 if and to the extent physician and patient activities continue to return toward pre-COVID-19 levels.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left="900" w:right="220" w:hanging="244"/>
        <w:spacing w:after="0" w:line="257" w:lineRule="auto"/>
        <w:tabs>
          <w:tab w:leader="none" w:pos="8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2020, we expect a decline in revenues from our Generic Pharmaceuticals segment as compared to 2019, driven primarily by continued competitive pressures on certain commoditized generic products. We expect these declines to be partially offset by sales resulting from certain 2019 and 2020 product launches.</w:t>
      </w:r>
    </w:p>
    <w:p>
      <w:pPr>
        <w:spacing w:after="0" w:line="1" w:lineRule="exact"/>
        <w:rPr>
          <w:rFonts w:ascii="Times New Roman" w:cs="Times New Roman" w:eastAsia="Times New Roman" w:hAnsi="Times New Roman"/>
          <w:sz w:val="18"/>
          <w:szCs w:val="18"/>
          <w:color w:val="auto"/>
        </w:rPr>
      </w:pPr>
    </w:p>
    <w:p>
      <w:pPr>
        <w:ind w:left="900" w:right="80" w:hanging="244"/>
        <w:spacing w:after="0" w:line="260" w:lineRule="auto"/>
        <w:tabs>
          <w:tab w:leader="none" w:pos="8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full year 2020, we expect declines in revenues from the Established Products portfolio of our Branded Pharmaceuticals segment and the International Pharmaceuticals segment as compared to 2019, primarily driven by competitive pressures impacting these product portfolios.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Review</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displays our revenue, gross margin, gross margin percentage and other pre-tax expense or income for the three and nine months ended September 30, 2020 and 2019 (dollars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60" w:type="dxa"/>
            <w:vAlign w:val="bottom"/>
          </w:tcPr>
          <w:p>
            <w:pPr>
              <w:spacing w:after="0"/>
              <w:rPr>
                <w:sz w:val="16"/>
                <w:szCs w:val="16"/>
                <w:color w:val="auto"/>
              </w:rPr>
            </w:pPr>
          </w:p>
        </w:tc>
        <w:tc>
          <w:tcPr>
            <w:tcW w:w="272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1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27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634,860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729,426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2,142,853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2,149,564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348,077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389,165</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1,072,972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1,169,282</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286,783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340,261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1,069,881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980,282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Gross margin percentage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46.6 %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49.9 %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45.6 %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182,259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168,329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522,285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471,749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36,519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94,165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96,353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Litigation-related and other</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(14,414)</w:t>
            </w: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(23,938)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contingencies, net</w:t>
            </w: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4,766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106,197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258,652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Acquisition-related and integration</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16,025</w:t>
            </w:r>
          </w:p>
        </w:tc>
        <w:tc>
          <w:tcPr>
            <w:tcW w:w="1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17,100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(26,983)</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items, net</w:t>
            </w: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136,903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397,689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404,387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(119,828)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16,203</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gridSpan w:val="2"/>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(25,318)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20,408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6"/>
        </w:trPr>
        <w:tc>
          <w:tcPr>
            <w:tcW w:w="270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Loss from continuing operations</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(64,800)</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(24,070)</w:t>
            </w:r>
          </w:p>
        </w:tc>
        <w:tc>
          <w:tcPr>
            <w:tcW w:w="10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(18,299)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(120,363)</w:t>
            </w:r>
          </w:p>
        </w:tc>
        <w:tc>
          <w:tcPr>
            <w:tcW w:w="1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before income tax</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CCEEFF"/>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93"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revenues, net. </w:t>
      </w:r>
      <w:r>
        <w:rPr>
          <w:rFonts w:ascii="Times New Roman" w:cs="Times New Roman" w:eastAsia="Times New Roman" w:hAnsi="Times New Roman"/>
          <w:sz w:val="18"/>
          <w:szCs w:val="18"/>
          <w:color w:val="auto"/>
        </w:rPr>
        <w:t>The decrease in revenue for the three months ended September 30, 2020 was primarily due to decreased revenues from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Generic Pharmaceuticals, Sterile Injectables and International Pharmaceuticals segments, partially offset by increased revenues from the Specialty Products portfolio of our Branded Pharmaceuticals segment. The decrease in revenue for the nine months ended September 30, 2020 was primarily driven by decreased revenues from our Branded Pharmaceuticals, Generic Pharmaceuticals and International Pharmaceuticals segments, partially offset by increased revenues from our Sterile Injectables segment. Our revenues are further disaggregated and described below under the heading “Business Segment Results Review.”</w:t>
      </w:r>
    </w:p>
    <w:p>
      <w:pPr>
        <w:spacing w:after="0" w:line="74" w:lineRule="exact"/>
        <w:rPr>
          <w:sz w:val="20"/>
          <w:szCs w:val="20"/>
          <w:color w:val="auto"/>
        </w:rPr>
      </w:pPr>
    </w:p>
    <w:p>
      <w:pPr>
        <w:ind w:right="8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percentage. </w:t>
      </w:r>
      <w:r>
        <w:rPr>
          <w:rFonts w:ascii="Times New Roman" w:cs="Times New Roman" w:eastAsia="Times New Roman" w:hAnsi="Times New Roman"/>
          <w:sz w:val="18"/>
          <w:szCs w:val="18"/>
          <w:color w:val="auto"/>
        </w:rPr>
        <w:t>During the three and nine months ended September 30, 2020 and 2019, we incurred certain charges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impact the comparability of total Cost of revenues, including those related to amortization expense and continuity and separation benefits and other cost reduction initiatives. The following table summarizes such amounts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417,949</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Continuity and separation benefits and other cost reduction initiatives (2)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00" w:right="100" w:hanging="330"/>
        <w:spacing w:after="0" w:line="241"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decreases during the three and nine months ended September 30, 2020 were primarily driven by asset impairment charges and decreases in the rate of amortization expense for certain assets.</w:t>
      </w:r>
    </w:p>
    <w:p>
      <w:pPr>
        <w:spacing w:after="0" w:line="1" w:lineRule="exact"/>
        <w:rPr>
          <w:rFonts w:ascii="Times New Roman" w:cs="Times New Roman" w:eastAsia="Times New Roman" w:hAnsi="Times New Roman"/>
          <w:sz w:val="14"/>
          <w:szCs w:val="14"/>
          <w:color w:val="auto"/>
        </w:rPr>
      </w:pPr>
    </w:p>
    <w:p>
      <w:pPr>
        <w:ind w:left="500" w:right="220" w:hanging="330"/>
        <w:spacing w:after="0" w:line="249"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certain accelerated depreciation charges and employee separation, continuity and other benefit-related costs. For further discussion of our restructuring initiatives, including a discussion of related charges and expected future charges, refer to Note 4. Restructuring of the Condensed Consolidated Financial Statements included in Part I, Item 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for the three months ended September 30, 2020 was primarily due to decreased amortization expense and decreased revenues, partially offset by increased costs related to continuity and separation benefits and other cost reduction initiatives. The decrease in Cost of revenues for the nine months ended September 30, 2020 was primarily due to decreased amortization expense and favorable changes in product mix as described below, partially offset by increased expenses related to continuity and separation benefits and other cost reduction initiatives.</w:t>
      </w:r>
    </w:p>
    <w:p>
      <w:pPr>
        <w:spacing w:after="0" w:line="72" w:lineRule="exact"/>
        <w:rPr>
          <w:sz w:val="20"/>
          <w:szCs w:val="20"/>
          <w:color w:val="auto"/>
        </w:rPr>
      </w:pPr>
    </w:p>
    <w:p>
      <w:pPr>
        <w:ind w:right="40" w:firstLine="486"/>
        <w:spacing w:after="0" w:line="243" w:lineRule="auto"/>
        <w:rPr>
          <w:sz w:val="20"/>
          <w:szCs w:val="20"/>
          <w:color w:val="auto"/>
        </w:rPr>
      </w:pPr>
      <w:r>
        <w:rPr>
          <w:rFonts w:ascii="Times New Roman" w:cs="Times New Roman" w:eastAsia="Times New Roman" w:hAnsi="Times New Roman"/>
          <w:sz w:val="18"/>
          <w:szCs w:val="18"/>
          <w:color w:val="auto"/>
        </w:rPr>
        <w:t>Gross margin percentage decreased for the three months ended September 30, 2020 as a result of increased costs related to continuity and separation benefits and other cost reduction initiatives, partially offset by decreased amortization expense. Gross margin percentage increased for the nine months ended September 30, 2020 as a result of decreased amortization expense and favorable changes in product mix, partially offset by increased expenses related to continuity and separation benefits and other cost reduction initiatives. The favorable change in product mix for the nine months ended September 30, 2020 primarily resulted from increased revenues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partially offset by increased revenues of certain lower margin authorized generic products.</w:t>
      </w:r>
    </w:p>
    <w:p>
      <w:pPr>
        <w:spacing w:after="0" w:line="84" w:lineRule="exact"/>
        <w:rPr>
          <w:sz w:val="20"/>
          <w:szCs w:val="20"/>
          <w:color w:val="auto"/>
        </w:rPr>
      </w:pPr>
    </w:p>
    <w:p>
      <w:pPr>
        <w:ind w:right="2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The increase for the three months ended September 30, 2020 was primarily due to costs associated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2020 Restructuring Initiative and increased costs associated with preparing for our planned spring 2021 commercial launch of QWO, partially offset by a third-quarter 2019 premium associated with an extended reporting period endorsement on an expiring insurance program that did not reoccur during the three months ended September 30, 2020.</w:t>
      </w:r>
    </w:p>
    <w:p>
      <w:pPr>
        <w:spacing w:after="0" w:line="7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increase for the nine months ended September 30, 2020 was primarily due to costs of $31.1 million associated with the June 2020 Refinancing Transactions, costs associated with the 2020 Restructuring Initiative, a higher branded prescription drug fee, increased long-term incentive compensation costs and increased costs associated with preparing for our planned commercial launch of QWO, partially offset by a third-quarter 2019 premium associated with an extended reporting period endorsement on an expiring insurance program that did not reoccur during the nine months ended September 30, 2020 as well as reduced legal costs associated with certain matters.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further discussion of the 2020 Restructuring Initiative, including a discussion of related charges and expected future charges, refer to Note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of the Condensed Consolidated Financial Statements included in Part I, Item 1.</w:t>
      </w:r>
    </w:p>
    <w:p>
      <w:pPr>
        <w:spacing w:after="0" w:line="99" w:lineRule="exact"/>
        <w:rPr>
          <w:sz w:val="20"/>
          <w:szCs w:val="20"/>
          <w:color w:val="auto"/>
        </w:rPr>
      </w:pPr>
    </w:p>
    <w:p>
      <w:pPr>
        <w:ind w:right="220" w:firstLine="486"/>
        <w:spacing w:after="0" w:line="272" w:lineRule="auto"/>
        <w:rPr>
          <w:sz w:val="20"/>
          <w:szCs w:val="20"/>
          <w:color w:val="auto"/>
        </w:rPr>
      </w:pPr>
      <w:r>
        <w:rPr>
          <w:rFonts w:ascii="Times New Roman" w:cs="Times New Roman" w:eastAsia="Times New Roman" w:hAnsi="Times New Roman"/>
          <w:sz w:val="18"/>
          <w:szCs w:val="18"/>
          <w:color w:val="auto"/>
        </w:rPr>
        <w:t>We expect costs associated with preparing for and executing on our planned commercial launch of QWO to continue to increase. Additionally, we expect costs associated with our continued investment and promotional efforts behind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increase.</w:t>
      </w:r>
    </w:p>
    <w:p>
      <w:pPr>
        <w:spacing w:after="0" w:line="2" w:lineRule="exact"/>
        <w:rPr>
          <w:sz w:val="20"/>
          <w:szCs w:val="20"/>
          <w:color w:val="auto"/>
        </w:rPr>
      </w:pPr>
    </w:p>
    <w:p>
      <w:pPr>
        <w:ind w:right="6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R&amp;D expenses. </w:t>
      </w:r>
      <w:r>
        <w:rPr>
          <w:rFonts w:ascii="Times New Roman" w:cs="Times New Roman" w:eastAsia="Times New Roman" w:hAnsi="Times New Roman"/>
          <w:sz w:val="18"/>
          <w:szCs w:val="18"/>
          <w:color w:val="auto"/>
        </w:rPr>
        <w:t>The amount of R&amp;D expense we record in any period varies depending on the nature and stage of development of our R&amp;D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and can also vary in periods in which we incur significant upfront or milestone charges related to agreements with third parties.</w:t>
      </w:r>
    </w:p>
    <w:p>
      <w:pPr>
        <w:spacing w:after="0" w:line="51" w:lineRule="exact"/>
        <w:rPr>
          <w:sz w:val="20"/>
          <w:szCs w:val="20"/>
          <w:color w:val="auto"/>
        </w:rPr>
      </w:pPr>
    </w:p>
    <w:p>
      <w:pPr>
        <w:ind w:right="40" w:firstLine="486"/>
        <w:spacing w:after="0" w:line="236" w:lineRule="auto"/>
        <w:rPr>
          <w:sz w:val="20"/>
          <w:szCs w:val="20"/>
          <w:color w:val="auto"/>
        </w:rPr>
      </w:pPr>
      <w:r>
        <w:rPr>
          <w:rFonts w:ascii="Times New Roman" w:cs="Times New Roman" w:eastAsia="Times New Roman" w:hAnsi="Times New Roman"/>
          <w:sz w:val="18"/>
          <w:szCs w:val="18"/>
          <w:color w:val="auto"/>
        </w:rPr>
        <w:t>In recent years, our R&amp;D efforts have focused primarily on developing a balanced, diversified portfolio of innovative and clinically differentiated product candidates. We have been progressing and expect to continue to progress our cellulite treatment development programs for QWO, which was approved by the FDA for the treatment of moderate to severe cellulite in the buttocks of adult women in July 2020. In early 2020, we announced that we had initiated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programs for the treatment of plantar fibromatosis and adhesive capsulitis, which are continuing to progress. We also expect to continue to focus investments in our Sterile Injectables segment, potentially including license and commercialization agreements such as our Nevakar, Inc. agreement. In addition, we are conducting an open-label Phase 1 pharmacokinetic (PK) study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healthy volunteers, studying plasma clearance with TT genotype versus AA/AT genotype. As these and certain other programs progress, it is possible that our R&amp;D expenses could increase.</w:t>
      </w:r>
    </w:p>
    <w:p>
      <w:pPr>
        <w:spacing w:after="0" w:line="95"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decreases in R&amp;D expense for the three and nine months ended September 30, 2020 were driven by decreased costs associated with certain post-marketing R&amp;D commitments, partially offset by increased costs associated with our Sterile Injectables segment and costs associated with the 2020 Restructuring Initiative. For further discussion of the 2020 Restructuring Initiative, including a discussion of related charges and expected future charges, refer to Note 4. Restructuring of the Condensed Consolidated Financial Statements included in Part I, Item 1.</w:t>
      </w:r>
    </w:p>
    <w:p>
      <w:pPr>
        <w:spacing w:after="0" w:line="68" w:lineRule="exact"/>
        <w:rPr>
          <w:sz w:val="20"/>
          <w:szCs w:val="20"/>
          <w:color w:val="auto"/>
        </w:rPr>
      </w:pPr>
    </w:p>
    <w:p>
      <w:pPr>
        <w:ind w:right="2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Litigation-related and other contingencies, net. </w:t>
      </w:r>
      <w:r>
        <w:rPr>
          <w:rFonts w:ascii="Times New Roman" w:cs="Times New Roman" w:eastAsia="Times New Roman" w:hAnsi="Times New Roman"/>
          <w:sz w:val="18"/>
          <w:szCs w:val="18"/>
          <w:color w:val="auto"/>
        </w:rPr>
        <w:t>Included within Litigation-related and other contingencies, net are changes to our accruals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litigation-related settlement charges and certain settlement proceeds related to suits filed by our subsidiaries. Our material legal proceedings and other contingent matters are described in more detail in Note 13. Commitments and Contingencies of the Condensed Consolidated Financial Statements included in Part I, Item 1. As further described therein, adjustments to the corresponding liability accruals may be required in the future. This could have a material adverse effect on our business, financial condition, results of operations and cash flows.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3" w:name="page44"/>
    <w:bookmarkEnd w:id="43"/>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 impairment charges. </w:t>
      </w:r>
      <w:r>
        <w:rPr>
          <w:rFonts w:ascii="Times New Roman" w:cs="Times New Roman" w:eastAsia="Times New Roman" w:hAnsi="Times New Roman"/>
          <w:sz w:val="18"/>
          <w:szCs w:val="18"/>
          <w:color w:val="auto"/>
        </w:rPr>
        <w:t>The following table presents the components of our total Asset impairment charges for the three and nine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9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151,108</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 charges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104,660</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impairment charges</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impairment charges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6,392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4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 impairment charges</w:t>
            </w:r>
          </w:p>
        </w:tc>
        <w:tc>
          <w:tcPr>
            <w:tcW w:w="86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factors leading to our material goodwill and intangible asset impairment tests, as well as the results of these tests, are further described in Note</w:t>
      </w:r>
    </w:p>
    <w:p>
      <w:pPr>
        <w:spacing w:after="0" w:line="27" w:lineRule="exact"/>
        <w:rPr>
          <w:sz w:val="20"/>
          <w:szCs w:val="20"/>
          <w:color w:val="auto"/>
        </w:rPr>
      </w:pPr>
    </w:p>
    <w:p>
      <w:pPr>
        <w:ind w:right="480" w:firstLine="8"/>
        <w:spacing w:after="0" w:line="260" w:lineRule="auto"/>
        <w:tabs>
          <w:tab w:leader="none" w:pos="1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Intangibles of the Condensed Consolidated Financial Statements included in Part I, Item 1. A discussion of critical accounting estimates made in connection with certain of our impairment tests is included below under the caption “CRITICAL ACCOUNTING ESTIMATES.”</w:t>
      </w:r>
    </w:p>
    <w:p>
      <w:pPr>
        <w:spacing w:after="0" w:line="69" w:lineRule="exact"/>
        <w:rPr>
          <w:sz w:val="20"/>
          <w:szCs w:val="20"/>
          <w:color w:val="auto"/>
        </w:rPr>
      </w:pPr>
    </w:p>
    <w:p>
      <w:pPr>
        <w:ind w:right="24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and integration items, net. </w:t>
      </w:r>
      <w:r>
        <w:rPr>
          <w:rFonts w:ascii="Times New Roman" w:cs="Times New Roman" w:eastAsia="Times New Roman" w:hAnsi="Times New Roman"/>
          <w:sz w:val="18"/>
          <w:szCs w:val="18"/>
          <w:color w:val="auto"/>
        </w:rPr>
        <w:t>Acquisition-related and integration items, net for the three and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and 2019 primarily consist of the net (benefit) expense from 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6. Fair Value Measurements of the Condensed Consolidated Financial Statements included in Part I, Item 1 for further discussion of our acquisition-related contingent consideration.</w:t>
      </w:r>
    </w:p>
    <w:p>
      <w:pPr>
        <w:spacing w:after="0" w:line="74" w:lineRule="exact"/>
        <w:rPr>
          <w:sz w:val="20"/>
          <w:szCs w:val="20"/>
          <w:color w:val="auto"/>
        </w:rPr>
      </w:pPr>
    </w:p>
    <w:p>
      <w:pPr>
        <w:ind w:right="1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components of Interest expense, net for the three and nine months ended September 30, 2020 and 2019 are as follows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419,962</w:t>
            </w:r>
          </w:p>
        </w:tc>
      </w:tr>
      <w:tr>
        <w:trPr>
          <w:trHeight w:val="23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(15,575)</w:t>
            </w:r>
          </w:p>
        </w:tc>
      </w:tr>
      <w:tr>
        <w:trPr>
          <w:trHeight w:val="248"/>
        </w:trPr>
        <w:tc>
          <w:tcPr>
            <w:tcW w:w="5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404,387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September 30, 2020 was primarily attributable to decreases to the London Interbank Offered Rate (LIBOR) that impacted our variable-rate debt and the reduction to the amount of our indebtedness associated with the June 2020 Refinancing Transactions, partially offset by the increase to the weighted average interest rate applicable to our notes following the June 2020 Refinancing Transactions. The decrease in interest expense for the nine months ended September 30, 2020 was primarily attributable to decreases to LIBOR that impacted our variable-rate debt and the reductions to the amount of our indebtedness associated with the March 2019 Refinancing Transactions and June 2020 Refinancing Transactions, partially offset by the increases to the weighted average interest rate applicable to our notes following the March 2019 Refinancing Transactions and June 2020 Refinancing Transactions, as well as interest expense associated with our June 2019 Revolving Credit Facility draw of $300.0 million. Refer to Note 12. Debt of the Condensed Consolidated Financial Statements included in Part I, Item 1 for further discussion of these transactions. Changes in interest rates could increase our interest expense in the future, which could have a material adverse effect on our business, financial condition, results of operations and cash flows.</w:t>
      </w:r>
    </w:p>
    <w:p>
      <w:pPr>
        <w:spacing w:after="0" w:line="8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Interest income varies primarily based on the amounts of our interest-bearing investments, such as money market funds, as well as changes in the corresponding interest rates.</w:t>
      </w:r>
    </w:p>
    <w:p>
      <w:pPr>
        <w:spacing w:after="0" w:line="50" w:lineRule="exact"/>
        <w:rPr>
          <w:sz w:val="20"/>
          <w:szCs w:val="20"/>
          <w:color w:val="auto"/>
        </w:rPr>
      </w:pPr>
    </w:p>
    <w:p>
      <w:pPr>
        <w:ind w:right="9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extinguishment of debt. </w:t>
      </w:r>
      <w:r>
        <w:rPr>
          <w:rFonts w:ascii="Times New Roman" w:cs="Times New Roman" w:eastAsia="Times New Roman" w:hAnsi="Times New Roman"/>
          <w:sz w:val="18"/>
          <w:szCs w:val="18"/>
          <w:color w:val="auto"/>
        </w:rPr>
        <w:t>The amount during the nine months ended September 30, 2019 relates to the March 2019 Refinancing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Refer to Note 12. Debt of the Condensed Consolidated Financial Statements included in Part I, Item 1 for further discussion.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The components of Other (income) expense, net for the three and nine months ended September 30, 2020 and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on sale of business and other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net</w:t>
            </w:r>
          </w:p>
        </w:tc>
        <w:tc>
          <w:tcPr>
            <w:tcW w:w="200" w:type="dxa"/>
            <w:vAlign w:val="bottom"/>
          </w:tcPr>
          <w:p>
            <w:pPr>
              <w:spacing w:after="0"/>
              <w:rPr>
                <w:sz w:val="19"/>
                <w:szCs w:val="19"/>
                <w:color w:val="auto"/>
              </w:rPr>
            </w:pPr>
          </w:p>
        </w:tc>
        <w:tc>
          <w:tcPr>
            <w:tcW w:w="116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8"/>
              </w:rPr>
              <w:t>1,332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from our investments in the equity of other companies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16,627</w:t>
            </w:r>
          </w:p>
        </w:tc>
      </w:tr>
      <w:tr>
        <w:trPr>
          <w:trHeight w:val="248"/>
        </w:trPr>
        <w:tc>
          <w:tcPr>
            <w:tcW w:w="5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components of Other (income) expense, net, refer to Note 16. Other (Income) Expense, Net of the Condensed Consolidated Financial Statements included in Part I, Item 1 of this report.</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r>
        <w:rPr>
          <w:rFonts w:ascii="Times New Roman" w:cs="Times New Roman" w:eastAsia="Times New Roman" w:hAnsi="Times New Roman"/>
          <w:sz w:val="18"/>
          <w:szCs w:val="18"/>
          <w:color w:val="auto"/>
        </w:rPr>
        <w:t>. The following table displays our Loss from continuing operations before income tax, Income tax expense (benefit)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Effective tax rate for the three and nine months ended September 30, 2020 and 2019 (dollars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0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(64,800)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(24,070)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(18,299)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(120,363)</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17,361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(124,516)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31,732</w:t>
            </w:r>
          </w:p>
        </w:tc>
      </w:tr>
      <w:tr>
        <w:trPr>
          <w:trHeight w:val="229"/>
        </w:trPr>
        <w:tc>
          <w:tcPr>
            <w:tcW w:w="5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680.5 %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(26.4)%</w:t>
            </w:r>
          </w:p>
        </w:tc>
      </w:tr>
    </w:tbl>
    <w:p>
      <w:pPr>
        <w:spacing w:after="0" w:line="9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68"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change in Income tax expense (benefit) for the three months ended September 30, 2020 primarily relates to changes in the geographic mix of pre-tax earnings.</w:t>
      </w:r>
    </w:p>
    <w:p>
      <w:pPr>
        <w:spacing w:after="0" w:line="54"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change in Income tax expense (benefit) for the nine months ended September 30, 2020 primarily relates to the 2020 discrete tax benefit arising from the CARES Act and changes in the geographic mix of pre-tax earnings.</w:t>
      </w:r>
    </w:p>
    <w:p>
      <w:pPr>
        <w:spacing w:after="0" w:line="5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We have valuation allowances established against our deferred tax assets in most jurisdictions in which we operate, with the exception of Canada and India. Accordingly, it would be unlikely for future pre-tax losses to create a tax benefit that would be more likely than not to be realized. Although the Company has valuation allowances established against deferred tax assets in most major jurisdictions as of September 30, 2020, it is possible that there could be material reversals, particularly if certain proposed law changes were to be enacted.</w:t>
      </w:r>
    </w:p>
    <w:p>
      <w:pPr>
        <w:spacing w:after="0" w:line="72"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worthless stock deduction directly attributable to product liability losses. For additional information, including a discussion of related recent developments and their potential impact on us, refer to Note 17. Income Taxes of the Condensed Consolidated Financial Statements included in Part I, Item 1.</w:t>
      </w:r>
    </w:p>
    <w:p>
      <w:pPr>
        <w:spacing w:after="0" w:line="75"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including the Canada Revenue Agency,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An adverse outcome of these tax examinations could have a material adverse effect on our business, financial condition, results of operations and cash flows.</w:t>
      </w:r>
    </w:p>
    <w:p>
      <w:pPr>
        <w:spacing w:after="0" w:line="79"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income taxes, including information about the impact of the CARES Act, see Note 17. Income Taxes of the Condensed Consolidated Financial Statements included in Part I, Item 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net of tax. </w:t>
      </w:r>
      <w:r>
        <w:rPr>
          <w:rFonts w:ascii="Times New Roman" w:cs="Times New Roman" w:eastAsia="Times New Roman" w:hAnsi="Times New Roman"/>
          <w:sz w:val="18"/>
          <w:szCs w:val="18"/>
          <w:color w:val="auto"/>
        </w:rPr>
        <w:t>The operating results of the Company’s Astora business, which the Board resolved to wind-down in 2016,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as Discontinued operations, net of tax in the Condensed Consolidated Statements of Operations for all periods presented. The following table provides the operating results of Astora Discontinued operations, net of tax, for the three and nine months ended September 30, 2020 and 2019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54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30,400</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(51,898)</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(51,898)</w:t>
            </w:r>
          </w:p>
        </w:tc>
      </w:tr>
    </w:tbl>
    <w:p>
      <w:pPr>
        <w:spacing w:after="0" w:line="8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Amounts included in the Litigation-related and other contingencies, net line of the table above are for mesh-related litigation. The remaining pre-tax amounts during the three and nine months ended September 30, 2020 and 2019 were primarily related to mesh-related legal defense costs and certain other items. For additional discussion of mesh-related matters, refer to Note 13. Commitments and Contingencies of the Condensed Consolidated Financial Statements included in Part I, Item 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Results Review</w:t>
      </w:r>
    </w:p>
    <w:p>
      <w:pPr>
        <w:spacing w:after="0" w:line="121"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Refer to Note 5. Segment Results of the Condensed Consolidated Financial Statements included in Part I, Item 1 of this report for further details regarding our reportable segments and Segment adjusted income (loss) from continuing operations before income tax (the measure we use to evaluate segment performance), as well as reconciliations of Total consolidated loss from continuing operations before income tax, which is determined in accordance with U.S. GAAP, to our Total segment adjusted income (loss) from continuing operations before income tax.</w:t>
      </w:r>
    </w:p>
    <w:p>
      <w:pPr>
        <w:spacing w:after="0" w:line="72"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We refer to Segment adjusted income (loss) from continuing operations before income tax, a financial measure not defined by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Segment adjusted income (loss) from continuing operations before income tax may be useful to investors as we are aware that certain of our significant shareholders utilize Segment adjusted income (loss) from continuing operations before income tax to evaluate our financial performance. Finally, Segment adjusted income (loss) from continuing operations before income tax is utilized in the calculation of other financial measures not determined in accordance with U.S. GAAP that are used by the Compensation Committee of the Company’s Board in assessing the performance and compensation of substantially all of our employees, including our executive officers. Effective January 1, 2020, the Company revised its definition of Segment adjusted income (loss) from continuing operations before income tax to exclude certain legal costs in order to reflect changes in how the CODM reviews segment performance. Refer to Note 5. Segment Results of the Condensed Consolidated Financial Statements included in Part I, Item 1 of this report for further details regarding this revision.</w:t>
      </w:r>
    </w:p>
    <w:p>
      <w:pPr>
        <w:spacing w:after="0" w:line="82" w:lineRule="exact"/>
        <w:rPr>
          <w:sz w:val="20"/>
          <w:szCs w:val="20"/>
          <w:color w:val="auto"/>
        </w:rPr>
      </w:pPr>
    </w:p>
    <w:p>
      <w:pPr>
        <w:ind w:right="120" w:firstLine="486"/>
        <w:spacing w:after="0" w:line="271" w:lineRule="auto"/>
        <w:rPr>
          <w:sz w:val="20"/>
          <w:szCs w:val="20"/>
          <w:color w:val="auto"/>
        </w:rPr>
      </w:pPr>
      <w:r>
        <w:rPr>
          <w:rFonts w:ascii="Times New Roman" w:cs="Times New Roman" w:eastAsia="Times New Roman" w:hAnsi="Times New Roman"/>
          <w:sz w:val="17"/>
          <w:szCs w:val="17"/>
          <w:color w:val="auto"/>
        </w:rPr>
        <w:t>There are limitations to using financial measures such as Segment adjusted income (loss) from continuing operations before income tax. Other companies in our industry may define Segment adjusted income (loss) from continuing operations before income tax differently than we do. As a result, it may be difficult to use Segment adjusted income (loss) from continuing operations before income tax or similarly named adjusted financial measures that other companies may use to compare the performance of those companies to our performance. Because of these limitations, Segment adjusted income (loss)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in Note 5. Segment Results of the Condensed Consolidated Financial Statements included in Part I, Item 1 of this report, reconciliations of Total consolidated loss from continuing operations before income tax, which is determined in accordance with U.S. GAAP, to our Total segment adjusted income (loss) from continuing operations before income tax.</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2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w:t>
      </w:r>
      <w:r>
        <w:rPr>
          <w:rFonts w:ascii="Times New Roman" w:cs="Times New Roman" w:eastAsia="Times New Roman" w:hAnsi="Times New Roman"/>
          <w:sz w:val="18"/>
          <w:szCs w:val="18"/>
          <w:color w:val="auto"/>
        </w:rPr>
        <w:t>The following table displays our revenue by reportable segment for the three and nine months ended September 30, 2020 and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(dollars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256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8"/>
        </w:trPr>
        <w:tc>
          <w:tcPr>
            <w:tcW w:w="29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217,313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629,851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906,997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777,963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218,012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654,322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87,428</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net revenues from external</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634,860</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729,426</w:t>
            </w:r>
          </w:p>
        </w:tc>
        <w:tc>
          <w:tcPr>
            <w:tcW w:w="13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2,142,853</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2,149,564</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customers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95" w:lineRule="exact"/>
        <w:rPr>
          <w:sz w:val="20"/>
          <w:szCs w:val="20"/>
          <w:color w:val="auto"/>
        </w:rPr>
      </w:pPr>
    </w:p>
    <w:p>
      <w:pPr>
        <w:ind w:right="6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Branded Pharmaceuticals</w:t>
      </w:r>
      <w:r>
        <w:rPr>
          <w:rFonts w:ascii="Times New Roman" w:cs="Times New Roman" w:eastAsia="Times New Roman" w:hAnsi="Times New Roman"/>
          <w:sz w:val="18"/>
          <w:szCs w:val="18"/>
          <w:color w:val="auto"/>
        </w:rPr>
        <w:t>. The following table displays the significant components of our Branded Pharmaceuticals revenues from external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for the three and nine months ended September 30, 2020 and 2019 (dollars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254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8"/>
        </w:trPr>
        <w:tc>
          <w:tcPr>
            <w:tcW w:w="29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 vs. 2019</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XIAFLEX®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226,118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SUPPRELIN® LA</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Specialty (1)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78,397</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Specialty Products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131,998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PERCOCET®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TESTOPEL®</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2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Established (2)</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85,315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258,794</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217,313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629,851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ind w:left="480" w:hanging="310"/>
        <w:spacing w:after="0" w:line="207" w:lineRule="auto"/>
        <w:tabs>
          <w:tab w:leader="none" w:pos="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are NASCOBAL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Nasal Spray and AVEED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ind w:left="480" w:hanging="310"/>
        <w:spacing w:after="0" w:line="187" w:lineRule="auto"/>
        <w:tabs>
          <w:tab w:leader="none" w:pos="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LIDODERM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ind w:left="500" w:right="60" w:hanging="330"/>
        <w:spacing w:after="0" w:line="258" w:lineRule="auto"/>
        <w:tabs>
          <w:tab w:leader="none" w:pos="49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either the three or nine months ended September 30, 2020 and/or any product having revenues in excess of $25 million during any quarterly period in 2020 or 2019.</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Specialty Products</w:t>
      </w:r>
    </w:p>
    <w:p>
      <w:pPr>
        <w:spacing w:after="0" w:line="116" w:lineRule="exact"/>
        <w:rPr>
          <w:sz w:val="20"/>
          <w:szCs w:val="20"/>
          <w:color w:val="auto"/>
        </w:rPr>
      </w:pPr>
    </w:p>
    <w:p>
      <w:pPr>
        <w:ind w:right="260" w:firstLine="486"/>
        <w:spacing w:after="0" w:line="227" w:lineRule="auto"/>
        <w:rPr>
          <w:sz w:val="20"/>
          <w:szCs w:val="20"/>
          <w:color w:val="auto"/>
        </w:rPr>
      </w:pPr>
      <w:r>
        <w:rPr>
          <w:rFonts w:ascii="Times New Roman" w:cs="Times New Roman" w:eastAsia="Times New Roman" w:hAnsi="Times New Roman"/>
          <w:sz w:val="18"/>
          <w:szCs w:val="18"/>
          <w:color w:val="auto"/>
        </w:rPr>
        <w:t>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and certain of our Other Specialty Products are physician administered products. Beginning during the last two weeks of the first quarter of 2020 and continuing into the second quarter of 2020, certain of our products that are physician administered,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began experiencing significantly decreased sales volumes due to reduced physician office activity and patient office visits compared to prior year because of the COVID-19 pandemic. During the second and third quarters of 2020, sales volumes began to recover toward pre-COVID-19 levels as certain physician offices reopened. However, for the nine months ended September 30, 2020, overall sales volumes for these products decreased, resulting in decreased revenues. The decrease in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nine months ended September 30, 2020 was partially offset by price.</w:t>
      </w:r>
    </w:p>
    <w:p>
      <w:pPr>
        <w:spacing w:after="0" w:line="86" w:lineRule="exact"/>
        <w:rPr>
          <w:sz w:val="20"/>
          <w:szCs w:val="20"/>
          <w:color w:val="auto"/>
        </w:rPr>
      </w:pPr>
    </w:p>
    <w:p>
      <w:pPr>
        <w:ind w:right="160" w:firstLine="486"/>
        <w:spacing w:after="0" w:line="218" w:lineRule="auto"/>
        <w:rPr>
          <w:sz w:val="20"/>
          <w:szCs w:val="20"/>
          <w:color w:val="auto"/>
        </w:rPr>
      </w:pPr>
      <w:r>
        <w:rPr>
          <w:rFonts w:ascii="Times New Roman" w:cs="Times New Roman" w:eastAsia="Times New Roman" w:hAnsi="Times New Roman"/>
          <w:sz w:val="18"/>
          <w:szCs w:val="18"/>
          <w:color w:val="auto"/>
        </w:rPr>
        <w:t>The increase in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September 30, 2020 compared to the prior year period was primarily driven by price. The increase in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revenues for the three months ended September 30, 2020 compared to the prior year period was primarily driven by volume.</w:t>
      </w:r>
    </w:p>
    <w:p>
      <w:pPr>
        <w:spacing w:after="0" w:line="88" w:lineRule="exact"/>
        <w:rPr>
          <w:sz w:val="20"/>
          <w:szCs w:val="20"/>
          <w:color w:val="auto"/>
        </w:rPr>
      </w:pPr>
    </w:p>
    <w:p>
      <w:pPr>
        <w:ind w:firstLine="486"/>
        <w:spacing w:after="0" w:line="230" w:lineRule="auto"/>
        <w:rPr>
          <w:sz w:val="20"/>
          <w:szCs w:val="20"/>
          <w:color w:val="auto"/>
        </w:rPr>
      </w:pPr>
      <w:r>
        <w:rPr>
          <w:rFonts w:ascii="Times New Roman" w:cs="Times New Roman" w:eastAsia="Times New Roman" w:hAnsi="Times New Roman"/>
          <w:sz w:val="18"/>
          <w:szCs w:val="18"/>
          <w:color w:val="auto"/>
        </w:rPr>
        <w:t>We expect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sales volumes to continue to recover in the fourth quarter of 2020 if and to the extent physician and patient activities continue to return toward pre-COVID-19 levels.</w:t>
      </w:r>
    </w:p>
    <w:p>
      <w:pPr>
        <w:spacing w:after="0" w:line="92"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decrease in Other Specialty Products for the three months ended September 30, 2020 was primarily driven by decreased price and volume. The decrease in Other Specialty Products for the nine months ended September 30, 2020 was primarily driven by decreased volume.</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Established Products</w:t>
      </w:r>
    </w:p>
    <w:p>
      <w:pPr>
        <w:spacing w:after="0" w:line="116" w:lineRule="exact"/>
        <w:rPr>
          <w:sz w:val="20"/>
          <w:szCs w:val="20"/>
          <w:color w:val="auto"/>
        </w:rPr>
      </w:pPr>
    </w:p>
    <w:p>
      <w:pPr>
        <w:ind w:right="160" w:firstLine="486"/>
        <w:spacing w:after="0" w:line="230" w:lineRule="auto"/>
        <w:rPr>
          <w:sz w:val="20"/>
          <w:szCs w:val="20"/>
          <w:color w:val="auto"/>
        </w:rPr>
      </w:pPr>
      <w:r>
        <w:rPr>
          <w:rFonts w:ascii="Times New Roman" w:cs="Times New Roman" w:eastAsia="Times New Roman" w:hAnsi="Times New Roman"/>
          <w:sz w:val="18"/>
          <w:szCs w:val="18"/>
          <w:color w:val="auto"/>
        </w:rPr>
        <w:t>The decreases in 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and nine months ended September 30, 2020 were primarily attributable to volume decreases, partially offset by price increases.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00" w:firstLine="486"/>
        <w:spacing w:after="0" w:line="218" w:lineRule="auto"/>
        <w:rPr>
          <w:sz w:val="20"/>
          <w:szCs w:val="20"/>
          <w:color w:val="auto"/>
        </w:rPr>
      </w:pPr>
      <w:r>
        <w:rPr>
          <w:rFonts w:ascii="Times New Roman" w:cs="Times New Roman" w:eastAsia="Times New Roman" w:hAnsi="Times New Roman"/>
          <w:sz w:val="18"/>
          <w:szCs w:val="18"/>
          <w:color w:val="auto"/>
        </w:rPr>
        <w:t>The increase in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September 30, 2020 was primarily attributable to increased sales following the third-quarter 2020 resolution of a temporary supply disruption. The decrease in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nine months ended September 30, 2020 was primarily attributable to a temporary supply disruption, which was subsequently resolved in the third quarter of 2020.</w:t>
      </w:r>
    </w:p>
    <w:p>
      <w:pPr>
        <w:spacing w:after="0" w:line="91"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The decreases in Other Established Products revenues for the three and nine months ended September 30, 2020 were primarily attributable to volume decreases as a result of ongoing competitive pressures.</w:t>
      </w:r>
    </w:p>
    <w:p>
      <w:pPr>
        <w:spacing w:after="0" w:line="52" w:lineRule="exact"/>
        <w:rPr>
          <w:sz w:val="20"/>
          <w:szCs w:val="20"/>
          <w:color w:val="auto"/>
        </w:rPr>
      </w:pPr>
    </w:p>
    <w:p>
      <w:pPr>
        <w:ind w:right="1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Sterile Injectables. </w:t>
      </w:r>
      <w:r>
        <w:rPr>
          <w:rFonts w:ascii="Times New Roman" w:cs="Times New Roman" w:eastAsia="Times New Roman" w:hAnsi="Times New Roman"/>
          <w:sz w:val="18"/>
          <w:szCs w:val="18"/>
          <w:color w:val="auto"/>
        </w:rPr>
        <w:t>The following table displays the significant components of our Sterile Injectables revenues from external customers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nine months ended September 30, 2020 and 2019 (dollars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254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8"/>
        </w:trPr>
        <w:tc>
          <w:tcPr>
            <w:tcW w:w="29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2020 vs. 2019</w:t>
            </w:r>
          </w:p>
        </w:tc>
      </w:tr>
      <w:tr>
        <w:trPr>
          <w:trHeight w:val="223"/>
        </w:trPr>
        <w:tc>
          <w:tcPr>
            <w:tcW w:w="2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VASOSTRICT</w:t>
            </w:r>
            <w:r>
              <w:rPr>
                <w:rFonts w:ascii="Times New Roman" w:cs="Times New Roman" w:eastAsia="Times New Roman" w:hAnsi="Times New Roman"/>
                <w:sz w:val="23"/>
                <w:szCs w:val="23"/>
                <w:color w:val="auto"/>
                <w:vertAlign w:val="superscript"/>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384,854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2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ADRENALIN</w:t>
            </w:r>
            <w:r>
              <w:rPr>
                <w:rFonts w:ascii="Times New Roman" w:cs="Times New Roman" w:eastAsia="Times New Roman" w:hAnsi="Times New Roman"/>
                <w:sz w:val="23"/>
                <w:szCs w:val="23"/>
                <w:color w:val="auto"/>
                <w:vertAlign w:val="superscript"/>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Ertapenem for injection</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2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APLISOL</w:t>
            </w:r>
            <w:r>
              <w:rPr>
                <w:rFonts w:ascii="Times New Roman" w:cs="Times New Roman" w:eastAsia="Times New Roman" w:hAnsi="Times New Roman"/>
                <w:sz w:val="23"/>
                <w:szCs w:val="23"/>
                <w:color w:val="auto"/>
                <w:vertAlign w:val="superscript"/>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Sterile Injectables (1)</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3"/>
        </w:trPr>
        <w:tc>
          <w:tcPr>
            <w:tcW w:w="2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Sterile Injectables (2)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906,997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777,963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1"/>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ephedrine sulfate injection and others.</w:t>
      </w:r>
    </w:p>
    <w:p>
      <w:pPr>
        <w:spacing w:after="0" w:line="1" w:lineRule="exact"/>
        <w:rPr>
          <w:rFonts w:ascii="Times New Roman" w:cs="Times New Roman" w:eastAsia="Times New Roman" w:hAnsi="Times New Roman"/>
          <w:sz w:val="14"/>
          <w:szCs w:val="14"/>
          <w:color w:val="auto"/>
        </w:rPr>
      </w:pPr>
    </w:p>
    <w:p>
      <w:pPr>
        <w:ind w:left="500" w:right="20" w:hanging="330"/>
        <w:spacing w:after="0" w:line="258"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within the Sterile Injectables segment for either the three or nine months ended September 30, 2020 and/or any product having revenues in excess of $25 million during any quarterly period in 2020 or 2019.</w:t>
      </w:r>
    </w:p>
    <w:p>
      <w:pPr>
        <w:spacing w:after="0" w:line="74" w:lineRule="exact"/>
        <w:rPr>
          <w:sz w:val="20"/>
          <w:szCs w:val="20"/>
          <w:color w:val="auto"/>
        </w:rPr>
      </w:pPr>
    </w:p>
    <w:p>
      <w:pPr>
        <w:ind w:right="120" w:firstLine="486"/>
        <w:spacing w:after="0" w:line="229" w:lineRule="auto"/>
        <w:rPr>
          <w:sz w:val="20"/>
          <w:szCs w:val="20"/>
          <w:color w:val="auto"/>
        </w:rPr>
      </w:pPr>
      <w:r>
        <w:rPr>
          <w:rFonts w:ascii="Times New Roman" w:cs="Times New Roman" w:eastAsia="Times New Roman" w:hAnsi="Times New Roman"/>
          <w:sz w:val="18"/>
          <w:szCs w:val="18"/>
          <w:color w:val="auto"/>
        </w:rPr>
        <w:t>The increases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and nine months ended September 30, 2020 were primarily attributable to a combination of increased volume resulting from the impacts of COVID-19 described above, as well as price.</w:t>
      </w:r>
    </w:p>
    <w:p>
      <w:pPr>
        <w:spacing w:after="0" w:line="90" w:lineRule="exact"/>
        <w:rPr>
          <w:sz w:val="20"/>
          <w:szCs w:val="20"/>
          <w:color w:val="auto"/>
        </w:rPr>
      </w:pPr>
    </w:p>
    <w:p>
      <w:pPr>
        <w:ind w:firstLine="486"/>
        <w:spacing w:after="0" w:line="215" w:lineRule="auto"/>
        <w:rPr>
          <w:sz w:val="20"/>
          <w:szCs w:val="20"/>
          <w:color w:val="auto"/>
        </w:rPr>
      </w:pPr>
      <w:r>
        <w:rPr>
          <w:rFonts w:ascii="Times New Roman" w:cs="Times New Roman" w:eastAsia="Times New Roman" w:hAnsi="Times New Roman"/>
          <w:sz w:val="18"/>
          <w:szCs w:val="18"/>
          <w:color w:val="auto"/>
        </w:rPr>
        <w:t>As of September 30, 2020, we have 14 patents covering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listed in the Orange Book, including with respect to presentations that have not yet been commercialized, and additional patents pending with the U.S. Patent and Trademark Office. The FDA requires any applicant seeking FDA approval for vasopressin prior to patent expiry and relying on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 the reference-listed drug to notify us of its filing before the FDA will issue an approval. As further discussed in Note 13. Commitments and Contingencies of the Condensed Consolidated Financial Statements included in Part I, Item 1 under the heading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Related Matters,” we have received notice letters from certain other pharmaceutical companies advising of the filing by such companies of ANDAs for generic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have taken and plan to continue to take actions in our best interest to protect our rights with respect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introduction of any competing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could result in reductions to our market share and could have a material adverse effect on our business, financial condition, results of operations and cash flows.</w:t>
      </w:r>
    </w:p>
    <w:p>
      <w:pPr>
        <w:spacing w:after="0" w:line="95" w:lineRule="exact"/>
        <w:rPr>
          <w:sz w:val="20"/>
          <w:szCs w:val="20"/>
          <w:color w:val="auto"/>
        </w:rPr>
      </w:pPr>
    </w:p>
    <w:p>
      <w:pPr>
        <w:ind w:right="140" w:firstLine="486"/>
        <w:spacing w:after="0" w:line="217" w:lineRule="auto"/>
        <w:rPr>
          <w:sz w:val="20"/>
          <w:szCs w:val="20"/>
          <w:color w:val="auto"/>
        </w:rPr>
      </w:pPr>
      <w:r>
        <w:rPr>
          <w:rFonts w:ascii="Times New Roman" w:cs="Times New Roman" w:eastAsia="Times New Roman" w:hAnsi="Times New Roman"/>
          <w:sz w:val="18"/>
          <w:szCs w:val="18"/>
          <w:color w:val="auto"/>
        </w:rPr>
        <w:t>The decreases in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and nine months ended September 30, 2020 were primarily driven by the impact of a competitive entry. The introduction of one or more additional competing versions of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could result in further reductions to our market share and could have a material adverse effect on our business, financial condition, results of operations and cash flows.</w:t>
      </w:r>
    </w:p>
    <w:p>
      <w:pPr>
        <w:spacing w:after="0" w:line="91" w:lineRule="exact"/>
        <w:rPr>
          <w:sz w:val="20"/>
          <w:szCs w:val="20"/>
          <w:color w:val="auto"/>
        </w:rPr>
      </w:pPr>
    </w:p>
    <w:p>
      <w:pPr>
        <w:ind w:right="20" w:firstLine="486"/>
        <w:spacing w:after="0" w:line="229" w:lineRule="auto"/>
        <w:rPr>
          <w:sz w:val="20"/>
          <w:szCs w:val="20"/>
          <w:color w:val="auto"/>
        </w:rPr>
      </w:pPr>
      <w:r>
        <w:rPr>
          <w:rFonts w:ascii="Times New Roman" w:cs="Times New Roman" w:eastAsia="Times New Roman" w:hAnsi="Times New Roman"/>
          <w:sz w:val="18"/>
          <w:szCs w:val="18"/>
          <w:color w:val="auto"/>
        </w:rPr>
        <w:t>The decreases in revenues of ertapenem for injection (the authorized generic of Merck’s Invanz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the three and nine months ended September 30, 2020 were primarily attributable to decreased volume and price as a result of increased competition.</w:t>
      </w:r>
    </w:p>
    <w:p>
      <w:pPr>
        <w:spacing w:after="0" w:line="90" w:lineRule="exact"/>
        <w:rPr>
          <w:sz w:val="20"/>
          <w:szCs w:val="20"/>
          <w:color w:val="auto"/>
        </w:rPr>
      </w:pPr>
    </w:p>
    <w:p>
      <w:pPr>
        <w:ind w:right="140" w:firstLine="486"/>
        <w:spacing w:after="0" w:line="217" w:lineRule="auto"/>
        <w:rPr>
          <w:sz w:val="20"/>
          <w:szCs w:val="20"/>
          <w:color w:val="auto"/>
        </w:rPr>
      </w:pPr>
      <w:r>
        <w:rPr>
          <w:rFonts w:ascii="Times New Roman" w:cs="Times New Roman" w:eastAsia="Times New Roman" w:hAnsi="Times New Roman"/>
          <w:sz w:val="18"/>
          <w:szCs w:val="18"/>
          <w:color w:val="auto"/>
        </w:rPr>
        <w:t>The decreases in APLISOL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and nine months ended September 30, 2020 were driven in part by decreased volumes resulting from competition. Additionally, during the third quarter of 2019, APLISOL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benefited from wholesalers restocking after a temporary supply shortage. This benefit did not reoccur during the three and nine months ended September 30, 2020.</w:t>
      </w:r>
    </w:p>
    <w:p>
      <w:pPr>
        <w:spacing w:after="0" w:line="9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The decrease in Other Sterile Injectables revenues for the three months ended September 30, 2020 was primarily driven by decreased prices, partially offset by increased volumes across multiple products within the product portfolio. The increase in Other Sterile Injectables revenues for the nine months ended September 30, 2020 was primarily driven by increased volumes, partially offset by decreased prices across multiple products within the product portfolio.</w:t>
      </w:r>
    </w:p>
    <w:p>
      <w:pPr>
        <w:spacing w:after="0" w:line="70" w:lineRule="exact"/>
        <w:rPr>
          <w:sz w:val="20"/>
          <w:szCs w:val="20"/>
          <w:color w:val="auto"/>
        </w:rPr>
      </w:pPr>
    </w:p>
    <w:p>
      <w:pPr>
        <w:ind w:right="580" w:firstLine="486"/>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decreases in Generic Pharmaceuticals revenues for the three and nine months ended September 30, 2020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decreased sales of colchicine tablets (the authorized generic of Takeda’s Colcrys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resulting from competition, as well as competitive pressures on certain other generic products, partially offset by increased revenues from certain recent product launches.</w:t>
      </w:r>
    </w:p>
    <w:p>
      <w:pPr>
        <w:spacing w:after="0" w:line="89" w:lineRule="exact"/>
        <w:rPr>
          <w:sz w:val="20"/>
          <w:szCs w:val="20"/>
          <w:color w:val="auto"/>
        </w:rPr>
      </w:pPr>
    </w:p>
    <w:p>
      <w:pPr>
        <w:ind w:right="2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International Pharmaceuticals</w:t>
      </w:r>
      <w:r>
        <w:rPr>
          <w:rFonts w:ascii="Times New Roman" w:cs="Times New Roman" w:eastAsia="Times New Roman" w:hAnsi="Times New Roman"/>
          <w:sz w:val="18"/>
          <w:szCs w:val="18"/>
          <w:color w:val="auto"/>
        </w:rPr>
        <w:t>. The decreases in International Pharmaceuticals revenues for the three and nine months ended September 30,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primarily attributable to competitive pressures in certain international markets and the impact of certain product discontinuation activities.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18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adjusted income (loss) from continuing operations before income tax. </w:t>
      </w:r>
      <w:r>
        <w:rPr>
          <w:rFonts w:ascii="Times New Roman" w:cs="Times New Roman" w:eastAsia="Times New Roman" w:hAnsi="Times New Roman"/>
          <w:sz w:val="18"/>
          <w:szCs w:val="18"/>
          <w:color w:val="auto"/>
        </w:rPr>
        <w:t>The following table displays our Segment adjusted income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continuing operations before income tax by reportable segment for the three and nine months ended September 30, 2020 and 2019 (dollars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8"/>
        </w:trPr>
        <w:tc>
          <w:tcPr>
            <w:tcW w:w="29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2020 vs. 2019</w:t>
            </w: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302,682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190,498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566,345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9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Branded Pharmaceuticals. </w:t>
      </w:r>
      <w:r>
        <w:rPr>
          <w:rFonts w:ascii="Times New Roman" w:cs="Times New Roman" w:eastAsia="Times New Roman" w:hAnsi="Times New Roman"/>
          <w:sz w:val="18"/>
          <w:szCs w:val="18"/>
          <w:color w:val="auto"/>
        </w:rPr>
        <w:t>The increase in Segment adjusted income (loss) from continuing operations before income tax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was primarily attributable to the gross margin effect of the increased revenues from the Specialty Products portfolio of our Branded Pharmaceuticals segment described above and reduced R&amp;D expense resulting from lower costs associated with certain post-marketing R&amp;D commitments, partially offset by increased costs associated with preparing for our planned commercial launch of QWO. The decrease in Segment adjusted income (loss) from continuing operations before income tax for the nine months ended September 30, 2020 was primarily attributable to the gross margin effect of decreased revenues, including from physician administered products resulting from the impacts of COVID-19 as further described above, a higher branded prescription drug fee and increased costs associated with preparing for our planned commercial launch of QWO, partially offset by reduced R&amp;D expense resulting from lower costs associated with certain post-marketing R&amp;D commitments and reduced legal costs associated with certain matters.</w:t>
      </w:r>
    </w:p>
    <w:p>
      <w:pPr>
        <w:spacing w:after="0" w:line="7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Sterile Injectables</w:t>
      </w:r>
      <w:r>
        <w:rPr>
          <w:rFonts w:ascii="Times New Roman" w:cs="Times New Roman" w:eastAsia="Times New Roman" w:hAnsi="Times New Roman"/>
          <w:sz w:val="18"/>
          <w:szCs w:val="18"/>
          <w:color w:val="auto"/>
        </w:rPr>
        <w:t>. The decrease in Segment adjusted income (loss) from continuing operations before income tax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was primarily attributable to the gross margin effect of the decreased revenues further described above. The increase in Segment adjusted income (loss) from continuing operations before income tax for the nine months ended September 30, 2020 was primarily attributable to the gross margin effect of the increased revenues further described above.</w:t>
      </w:r>
    </w:p>
    <w:p>
      <w:pPr>
        <w:spacing w:after="0" w:line="72" w:lineRule="exact"/>
        <w:rPr>
          <w:sz w:val="20"/>
          <w:szCs w:val="20"/>
          <w:color w:val="auto"/>
        </w:rPr>
      </w:pPr>
    </w:p>
    <w:p>
      <w:pPr>
        <w:ind w:right="2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unfavorable changes in Segment adjusted income (loss) from continuing operations before income tax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nine months ended September 30, 2020 were primarily attributable to the gross margin effects of the decreased revenues further described above.</w:t>
      </w:r>
    </w:p>
    <w:p>
      <w:pPr>
        <w:spacing w:after="0" w:line="50" w:lineRule="exact"/>
        <w:rPr>
          <w:sz w:val="20"/>
          <w:szCs w:val="20"/>
          <w:color w:val="auto"/>
        </w:rPr>
      </w:pPr>
    </w:p>
    <w:p>
      <w:pPr>
        <w:ind w:right="3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Pharmaceuticals. </w:t>
      </w:r>
      <w:r>
        <w:rPr>
          <w:rFonts w:ascii="Times New Roman" w:cs="Times New Roman" w:eastAsia="Times New Roman" w:hAnsi="Times New Roman"/>
          <w:sz w:val="18"/>
          <w:szCs w:val="18"/>
          <w:color w:val="auto"/>
        </w:rPr>
        <w:t>The decreases in Segment adjusted income (loss) from continuing operations before income tax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2020 were primarily attributable to the gross margin effects of the decreased revenues further described above.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Our principal source of liquidity is cash generated from operations. Our principal liquidity requirements are primarily for working capital for operations, licenses, milestone payments, capital expenditures, mergers and acquisitions (including the pending acquisition of the common stock of BioSpecifics), contingent liabilities, debt service payments, income taxes and litigation-related matters, including in connection with vaginal mesh matters and other matters. The Company’s working capital was $1,511.8 million at September 30, 2020 compared to working capital of $1,125.9 million at December 31, 2019. The amounts at September 30, 2020 and December 31, 2019 include restricted cash and cash equivalents of $136.3 million and $242.8 million, respectively, held in QSFs for mesh-related matters. Although these amounts in QSFs are included in working capital, they are required to be used for mesh product liability settlement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Cash and cash equivalents, which primarily consisted of bank deposits and money market accounts, totaled $1,679.7 million at September 30, 2020 compared to $1,454.5 million at December 31, 2019. While we currently expect our operating cash flows, together with our cash, cash equivalents, restricted cash and restricted cash equivalents, to be sufficient to cover our principal liquidity requirements over the next year, the extent to which COVID-19 could impact our business, financial condition, results of operations and cash flows in the short- and medium-term cannot be predicted with certainty, but such impact could be material. To the extent COVID-19 has resulted in any increase to our Cash and cash equivalents, including as a result of any increase in revenues as described above, such increase could be temporary. Additionally,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costs in connection with our business operations, our ongoing and future legal proceedings, governmental investigations and other contingent liabilities, including potential costs related to settlements and judgments, as well as legal defense costs, and the implementation of our COVID-19 related policies and procedures. Furthermore,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 and require us to seek additional sources of liquidity and capital resources as described below. For information regarding the impact of COVID-19 on the Company, including on our liquidity and capital resources, please refer to “Risk Factors” in Part II, Item 1A of this report.</w:t>
      </w:r>
    </w:p>
    <w:p>
      <w:pPr>
        <w:spacing w:after="0" w:line="88"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COVID-19.</w:t>
      </w:r>
    </w:p>
    <w:p>
      <w:pPr>
        <w:spacing w:after="0" w:line="8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may also, from time to time, seek to enter into certain transactions to reduce our leverage and/or interest expense and/or to extend the maturities of our outstanding indebtedness. Such transactions could include, for example, transactions to exchange existing indebtedness for our ordinary shares or other debt (including exchanges of unsecured debt for secured debt), to issue equity (including convertible securities) or to repurchase, redeem, exchange or refinance our existing indebtedness (including the Credit Agreement) as well as our outstanding senior notes. Any of these transactions could impact our liquidity or results of operations. Further, the terms of any such transactions, including the amount of any exchange consideration and terms of any refinanced debt, could also be less favorable than we have been able to obtain in the past.</w:t>
      </w:r>
    </w:p>
    <w:p>
      <w:pPr>
        <w:spacing w:after="0" w:line="75" w:lineRule="exact"/>
        <w:rPr>
          <w:sz w:val="20"/>
          <w:szCs w:val="20"/>
          <w:color w:val="auto"/>
        </w:rPr>
      </w:pPr>
    </w:p>
    <w:p>
      <w:pPr>
        <w:ind w:right="2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Indebtedness. </w:t>
      </w:r>
      <w:r>
        <w:rPr>
          <w:rFonts w:ascii="Times New Roman" w:cs="Times New Roman" w:eastAsia="Times New Roman" w:hAnsi="Times New Roman"/>
          <w:sz w:val="18"/>
          <w:szCs w:val="18"/>
          <w:color w:val="auto"/>
        </w:rPr>
        <w:t>The Company and certain of its subsidiaries are party to the Credit Agreement governing the Credit Facilities and the indentures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our various senior secured and senior unsecured notes. As of September 30, 2020, approximately $3.3 billion was outstanding under the Term Loan Facility, approximately $0.3 billion was outstanding under the Revolving Credit Facility and approximately $4.8 billion was outstanding under the senior secured and senior unsecured notes.</w:t>
      </w:r>
    </w:p>
    <w:p>
      <w:pPr>
        <w:spacing w:after="0" w:line="72"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After giving effect to previous borrowings and issued and outstanding letters of credit, approximately $0.7 billion of remaining credit was available under the Revolving Credit Facility at September 30, 2020. The Company’s outstanding debt agreements contain a number of restrictive covenants, including certain limitations on the Company’s ability to incur additional indebtedness.</w:t>
      </w:r>
    </w:p>
    <w:p>
      <w:pPr>
        <w:spacing w:after="0" w:line="68"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The Credit Agreement and the indentures governing our various senior secured notes and the 6.00% Senior Notes due 2028 contain certain covenants. As of September 30, 2020 and December 31, 2019, the Company was in compliance with all such covenants. Following the March 2019 Refinancing Transactions and June 2020 Refinancing Transactions, we have eliminated substantially all of the restrictive covenants and certain events of default in the indentures governing our senior unsecured notes, except for those in the indenture governing the 6.00% Senior Notes due 2028.</w:t>
      </w:r>
    </w:p>
    <w:p>
      <w:pPr>
        <w:spacing w:after="0" w:line="7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Refer to Note 12. Debt of the Condensed Consolidated Financial Statements included in Part I, Item 1 of this report and Note 14. Debt in the Consolidated Financial Statements included in Part IV, Item 15 of the Annual Report for additional information about our indebtedness, including our debt refinancing transactions and information about covenants, maturities, interest rates, security and priority.</w:t>
      </w:r>
    </w:p>
    <w:p>
      <w:pPr>
        <w:spacing w:after="0" w:line="64"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ratings. </w:t>
      </w:r>
      <w:r>
        <w:rPr>
          <w:rFonts w:ascii="Times New Roman" w:cs="Times New Roman" w:eastAsia="Times New Roman" w:hAnsi="Times New Roman"/>
          <w:sz w:val="18"/>
          <w:szCs w:val="18"/>
          <w:color w:val="auto"/>
        </w:rPr>
        <w:t>The Company’s corporate credit ratings assigned by Moody’s Investors Service and Standard &amp; Poor’s are B3 with a stable outlook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 with a negative outlook, respectively. No report of any rating agency is being incorporated by reference herein.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components of our working capital and our liquidity at September 30, 2020 and December 31, 2019 are below (dollars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2,802,820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2,586,218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total current liabilities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1,460,289</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1,511,822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1,125,929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ratio (total current assets divided by total current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Net working capital increased by $385.9 million from December 31, 2019 to September 30, 2020. This increase primarily reflects the favorable impact to net current assets resulting from operations during the nine months ended September 30, 2020. This increase was partially offset by the impact of the June 2020 Refinancing Transactions that, during nine months ended September 30, 2020, resulted in the incurrence of approximately $31.1 million of fees to third parties and cash expenditures of $47.2 million to settle noncurrent debt obligations, as well as the impact of the August 2020 Tender Offer, which resulted in cash expenditures of approximately $10 million to settle noncurrent debt obligations. Additionally, working capital decreased as a result of Purchases of property, plant and equipment, excluding capitalized interest, of $52.7 million during nine months ended September 30, 2020.</w:t>
      </w:r>
    </w:p>
    <w:p>
      <w:pPr>
        <w:spacing w:after="0" w:line="7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Condensed Consolidated Statements of Cash Flows for the nine months ended September 30, 2020 and 2019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8"/>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 provided by (used 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119,244</w:t>
            </w:r>
          </w:p>
        </w:tc>
      </w:tr>
      <w:tr>
        <w:trPr>
          <w:trHeight w:val="229"/>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(45,327)</w:t>
            </w:r>
          </w:p>
        </w:tc>
      </w:tr>
      <w:tr>
        <w:trPr>
          <w:trHeight w:val="230"/>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219,564</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restricted cash and restricted cash equivalents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140,398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294,261</w:t>
            </w: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right="14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represents the cash receipts and cash disbursements from all of our activities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income taxes and certain other items.</w:t>
      </w:r>
    </w:p>
    <w:p>
      <w:pPr>
        <w:spacing w:after="0" w:line="7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$170.2 million increase in Net cash provided by operating activities during the nine months ended September 30, 2020 compared to the prior year period was primarily due to a decrease of $146.5 million in cash outflows for certain mesh-related matters. The amounts of Net cash provided by operating activities for the nine months ended September 30, 2020 and 2019 were also impacted by our results of operations as described above and the timing of cash collections and cash payments related to our operations. We currently expect to fund substantially all of the remaining payments under all previously executed mesh-related settlement agreements into the related QSFs during 2020 and 2021, which could result in reductions to our operating cash flows. For additional information about mesh-related matters, refer to Note 13. Commitments and Contingencies of the Condensed Consolidated Financial Statements included in Part I, Item 1 of this report.</w:t>
      </w:r>
    </w:p>
    <w:p>
      <w:pPr>
        <w:spacing w:after="0" w:line="77" w:lineRule="exact"/>
        <w:rPr>
          <w:sz w:val="20"/>
          <w:szCs w:val="20"/>
          <w:color w:val="auto"/>
        </w:rPr>
      </w:pPr>
    </w:p>
    <w:p>
      <w:pPr>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$4.9 million increase in Net cash used in investing activities during the nine months ended September 30, 2020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prior year period was primarily due to an increase in Purchases of property, plant and equipment, excluding capitalized interest of $4.9 million and an increase in Product acquisition costs and license fees of $2.0 million, partially offset by an increase in Proceeds from sale of business and other assets, net of $1.6 million.</w:t>
      </w:r>
    </w:p>
    <w:p>
      <w:pPr>
        <w:spacing w:after="0" w:line="68" w:lineRule="exact"/>
        <w:rPr>
          <w:sz w:val="20"/>
          <w:szCs w:val="20"/>
          <w:color w:val="auto"/>
        </w:rPr>
      </w:pPr>
    </w:p>
    <w:p>
      <w:pPr>
        <w:ind w:right="1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During the nine months ended September 30, 2020, Net cash used in financing activities related primarily to Repayments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of $57.6 million associated with the June 2020 Refinancing Transactions and August 2020 Tender Offer, Repayments of term loans of $25.6 million and Payments of tax withholding for restricted shares of $7.9 million.</w:t>
      </w:r>
    </w:p>
    <w:p>
      <w:pPr>
        <w:spacing w:after="0" w:line="67"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related primarily to the $300.0 million June 2019 borrowing under the Revolving Credit Facility. The proceeds from this transaction were offset by Repayments of term loans of $25.6 million, Payments for contingent consideration of $11.8 million, Payments of tax withholding for restricted shares of $10.1 million, Repayments of other indebtedness of</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$7.8 million and the net effect of the March 2019 Refinancing Transactions, which resulted in Repayments of notes totaling $1,500.0 million and Payments for debt issuance and extinguishment costs of $6.4 million, partially offset by Proceeds from issuance of notes, net of $1,483.1 million.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4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Contractual Obligations. </w:t>
      </w:r>
      <w:r>
        <w:rPr>
          <w:rFonts w:ascii="Times New Roman" w:cs="Times New Roman" w:eastAsia="Times New Roman" w:hAnsi="Times New Roman"/>
          <w:sz w:val="18"/>
          <w:szCs w:val="18"/>
          <w:color w:val="auto"/>
        </w:rPr>
        <w:t>As of September 30, 2020, there were no material changes in our contractual obligations from those disclosed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Report except for those related to the financing transactions described in Note 12. Debt of the Condensed Consolidated Financial Statements included in Part I, Item 1 of this report.</w:t>
      </w:r>
    </w:p>
    <w:p>
      <w:pPr>
        <w:spacing w:after="0" w:line="63"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Fluctuations. </w:t>
      </w:r>
      <w:r>
        <w:rPr>
          <w:rFonts w:ascii="Times New Roman" w:cs="Times New Roman" w:eastAsia="Times New Roman" w:hAnsi="Times New Roman"/>
          <w:sz w:val="18"/>
          <w:szCs w:val="18"/>
          <w:color w:val="auto"/>
        </w:rPr>
        <w:t>Our quarterly results have fluctuated in the past and may continue to fluctuate. These fluctuations may be due to the timing of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launches, purchasing patterns of our customers, market acceptance of our products, the impact of competitive products and pricing, certain actions taken by us which may impact the availability of our products, asset impairment charges, charges related to litigation, restructuring costs including separation benefits, business combination transaction costs, the impact of financing transactions, upfront, milestone and certain other payments made or accrued pursuant to licensing agreements and changes in the fair value of financial instruments and contingent assets and liabilities recorded as part of business combinations.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 The impact of COVID-19 may heighten these fluctuations in our operating results.</w:t>
      </w:r>
    </w:p>
    <w:p>
      <w:pPr>
        <w:spacing w:after="0" w:line="8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Additionally, the current economic crisis and increased unemployment rates resulting from COVID-19 have significantly reduced individual disposable income and depressed consumer confidence, which could limit the ability of some consumers to purchase certain pharmaceutical products and reduce consumer spend on certain medical procedures in both the short- and medium-term. Additionally, as part of the measures to address COVID-19, certain healthcare providers are not currently performing various medical procedures.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We have no off-balance sheet arrangements as defined in Item 303(a)(4) of Regulation 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Significant changes to our critical accounting estimates since December 31, 2019 are detailed below. For additional discussion of the Company’s critical accounting estimates, see “Critical Accounting Estimates” in Item 7 of the Annual Report.</w:t>
      </w:r>
    </w:p>
    <w:p>
      <w:pPr>
        <w:spacing w:after="0" w:line="54"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As further described in Note 9. Goodwill and Other Intangibles of the Condensed Consolidated Financial Statements included in Part I, Item 1, we recorded a pre-tax, non-cash goodwill impairment charge relating to our Paladin reporting unit of $32.8 million during the first quarter of 2020. Following this impairment, there was no remaining goodwill associated with this reporting unit.</w:t>
      </w:r>
    </w:p>
    <w:p>
      <w:pPr>
        <w:spacing w:after="0" w:line="6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 of our reporting units, which could result in the fair value of a reporting unit being less than its carrying amount in an impairment test.</w:t>
      </w:r>
    </w:p>
    <w:p>
      <w:pPr>
        <w:spacing w:after="0" w:line="72"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are closely monitoring the impact of COVID-19 on our business. It is possible that COVID-19 could result in reductions to the estimated fair values of our goodwill and other intangible assets, which could ultimately result in asset impairment charges that may be material. For further information regarding the impact of COVID-19 on the Company, please refer to “Risk Factors” in Part II, Item 1A of this report.</w:t>
      </w:r>
    </w:p>
    <w:p>
      <w:pPr>
        <w:spacing w:after="0" w:line="68" w:lineRule="exact"/>
        <w:rPr>
          <w:sz w:val="20"/>
          <w:szCs w:val="20"/>
          <w:color w:val="auto"/>
        </w:rPr>
      </w:pPr>
    </w:p>
    <w:p>
      <w:pPr>
        <w:ind w:firstLine="486"/>
        <w:spacing w:after="0" w:line="243" w:lineRule="auto"/>
        <w:rPr>
          <w:sz w:val="20"/>
          <w:szCs w:val="20"/>
          <w:color w:val="auto"/>
        </w:rPr>
      </w:pPr>
      <w:r>
        <w:rPr>
          <w:rFonts w:ascii="Times New Roman" w:cs="Times New Roman" w:eastAsia="Times New Roman" w:hAnsi="Times New Roman"/>
          <w:sz w:val="18"/>
          <w:szCs w:val="18"/>
          <w:color w:val="auto"/>
        </w:rPr>
        <w:t>Additionally, as further discussed above under the heading “RESULTS OF OPERATIONS,” our Generic Pharmaceuticals segment and certain of the products in our Sterile Injectables segment, including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are subject to risks and uncertainties related to future competition. If actual results for these segments differ from our expectations, as a result of competition or otherwise, and/or if we make changes to our assumptions for these segments relating to competition or any other risks or uncertainties, the estimated future cash flows could be reduced, which could ultimately result in asset impairment charges that may be material. As of September 30, 2020, the carrying amount of goodwill associated with our Sterile Injectables segment was approximately $2.7 billion.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refer to Note 2. Summary of Significant Accounting Policies of the Condensed Consolidated Financial Statements included in Part I, Item 1.</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Market risk is the potential loss arising from adverse changes in the financial markets, including interest rates and foreign currency exchange rates.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2" w:name="page53"/>
    <w:bookmarkEnd w:id="52"/>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exposure to interest rate risk relates primarily to our variable-rate indebtedness associated with our Credit Facilities. At September 30, 2020 and December 31, 2019, the aggregate principal amounts of such variable-rate indebtedness were $3,604.0 million and $3,629.6 million, respectively. Borrowings under the Credit Facilities may from time to time bear interest at variable rates, in certain cases subject to a floor. At September 30, 2020 and December 31, 2019, a hypothetical 1% increase in the applicable rate over the floor would have resulted in $36.0 million and $36.3 million, respectively, of incremental interest expense (representing the annual rate of expense) related to our variable-rate debt borrowings.</w:t>
      </w:r>
    </w:p>
    <w:p>
      <w:pPr>
        <w:spacing w:after="0" w:line="75"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54" w:lineRule="exact"/>
        <w:rPr>
          <w:sz w:val="20"/>
          <w:szCs w:val="20"/>
          <w:color w:val="auto"/>
        </w:rPr>
      </w:pPr>
    </w:p>
    <w:p>
      <w:pPr>
        <w:ind w:left="260" w:right="1580" w:firstLine="243"/>
        <w:spacing w:after="0" w:line="375" w:lineRule="auto"/>
        <w:rPr>
          <w:sz w:val="20"/>
          <w:szCs w:val="20"/>
          <w:color w:val="auto"/>
        </w:rPr>
      </w:pPr>
      <w:r>
        <w:rPr>
          <w:rFonts w:ascii="Times New Roman" w:cs="Times New Roman" w:eastAsia="Times New Roman" w:hAnsi="Times New Roman"/>
          <w:sz w:val="18"/>
          <w:szCs w:val="18"/>
          <w:color w:val="auto"/>
        </w:rPr>
        <w:t xml:space="preserve">As of September 30, 2020 and December 31, 2019, we had no other assets or liabilities with significant interest rate sensitivity. </w:t>
      </w:r>
      <w:r>
        <w:rPr>
          <w:rFonts w:ascii="Times New Roman" w:cs="Times New Roman" w:eastAsia="Times New Roman" w:hAnsi="Times New Roman"/>
          <w:sz w:val="18"/>
          <w:szCs w:val="18"/>
          <w:i w:val="1"/>
          <w:iCs w:val="1"/>
          <w:color w:val="auto"/>
        </w:rPr>
        <w:t>Foreign Currency Exchange Rate Risk</w:t>
      </w:r>
    </w:p>
    <w:p>
      <w:pPr>
        <w:spacing w:after="0" w:line="1" w:lineRule="exact"/>
        <w:rPr>
          <w:sz w:val="20"/>
          <w:szCs w:val="20"/>
          <w:color w:val="auto"/>
        </w:rPr>
      </w:pPr>
    </w:p>
    <w:p>
      <w:pPr>
        <w:ind w:right="320" w:firstLine="486"/>
        <w:spacing w:after="0" w:line="255" w:lineRule="auto"/>
        <w:rPr>
          <w:sz w:val="20"/>
          <w:szCs w:val="20"/>
          <w:color w:val="auto"/>
        </w:rPr>
      </w:pPr>
      <w:r>
        <w:rPr>
          <w:rFonts w:ascii="Times New Roman" w:cs="Times New Roman" w:eastAsia="Times New Roman" w:hAnsi="Times New Roman"/>
          <w:sz w:val="18"/>
          <w:szCs w:val="18"/>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8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assets and liabilities of certain of our international subsidiaries are also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(income) expense, net in the Condensed Consolidated Statements of Operations. Refer to Note 16. Other (Income) Expense, Net of the Condensed Consolidated Financial Statements included in Part I, Item 1 for the amounts of Foreign currency loss (gain), net.</w:t>
      </w:r>
    </w:p>
    <w:p>
      <w:pPr>
        <w:spacing w:after="0" w:line="7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September 30, 2020 and December 31, 2019. A 10% change at September 30, 2020 would have resulted in approximately $10 million in incremental foreign currency losses on such date. A 10% change at December 31, 2019 would have resulted in approximately $11 million in incremental foreign currency losses on such date.</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September 30, 2020. Based on that evaluation, the Company’s Chief Executive Officer and Principal Financial Officer concluded that the Company’s disclosure controls and procedures were effective as of September 30,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2020, the Company changed the enterprise resource planning (ERP) system used by certain of its subsidiaries. Where appropriate, the Company made changes to its internal controls to address these system changes.</w:t>
      </w:r>
    </w:p>
    <w:p>
      <w:pPr>
        <w:spacing w:after="0" w:line="54"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With the exception of the ERP system migration noted above, there have been no other changes in the Company’s internal control over financial reporting during the fiscal quarter ended September 30, 2020 that have materially affected, or are reasonably likely to materially affect, the Company’s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3" w:name="page54"/>
    <w:bookmarkEnd w:id="53"/>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disclosures under Note 13. Commitments and Contingencies of the Condensed Consolidated Financial Statements included in Part I, Item 1 are incorporated into this Part II, Item 1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our risk factors, see the information in Part I, Item 1A. “Risk Factors” in the Annual Report and in Part II, Item 1A. “Risk Factors” of our First Quarter 2020 Form 10-Q. Except as set forth below, there have been no material changes to our risk factors from those described in the Annual Report, as supplemented and amended by our First Quarter 2020 Form 10-Q.</w:t>
      </w:r>
    </w:p>
    <w:p>
      <w:pPr>
        <w:spacing w:after="0" w:line="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not complete the acquisition of BioSpecifics within the time frame we anticipate or at all. If it is completed, it may not be accretive, which may negatively affect the market price of our shares.</w:t>
      </w:r>
    </w:p>
    <w:p>
      <w:pPr>
        <w:spacing w:after="0" w:line="5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completion of the acquisition of BioSpecifics is subject to a number of conditions, including, among others: (i) that, immediately prior to the expiration of the Offer, there be validly tendered and not withdrawn in accordance with the terms of the Offer a number of BioSpecifics Shares that, together with the BioSpecifics Shares then-owned by the Company, Purchaser and their respective affiliates (if any), represents at least a majority of all then-outstanding BioSpecifics Shares on a fully diluted basis; (ii) the expiration or termination of any waiting period (and extensions thereof) applicable to the transactions contemplated by the Merger Agreement under the Hart-Scott-Rodino Antitrust Improvements Act of 1976; (iii) the absence of any law or order prohibiting or otherwise preventing the consummation of the Offer or the Merger and (iv) other customary conditions set forth in the Merger Agreement.</w:t>
      </w:r>
    </w:p>
    <w:p>
      <w:pPr>
        <w:spacing w:after="0" w:line="8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No assurance can be given that a sufficient number of shares will be tendered, that the required regulatory approvals will be obtained or that the required conditions to closing will be satisfied and, even if all such approvals are obtained and the conditions are satisfied, no assurance can be given as to the terms, conditions and timing of the approvals. The failure to satisfy all of the required conditions could delay the completion of the acquisition for a significant period of time or prevent it from occurring at all. Any delay in completing the acquisition could cause the Company not to realize some or all of the benefits, or realize them on a different timeline than expected. In addition, if the acquisition is not consummated on the current terms or at all, the market price of our ordinary shares could be adversely affected and the value of your investment could decline.</w:t>
      </w:r>
    </w:p>
    <w:p>
      <w:pPr>
        <w:spacing w:after="0" w:line="7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Although we currently anticipate that the acquisition of BioSpecifics will occur and will be accretive to earnings per share, this expectation is based on assumptions about our business and preliminary estimates, which may change materially.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realize all or some of the anticipated benefits from our strategic actions.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continuously seek to optimize our operations and increase our overall efficiency through strategic actions. These actions may involve decisions to exit manufacturing or research sites, transfer the manufacture of products to other internal and external sites within our manufacturing network and simplify business process activities. For example, we announced plans on November 5, 2020 to optimize our generic retail business cost structure, transfer certain transaction processing activities to third-party global business process service providers and further integrate the Company’s commercial, operations and research and development functions, respectively. There can be no assurance that we will achieve the benefits and savings of such actions in the amounts and expected timing, if at all. We will also incur certain charges in connection with such actions and future costs could also be incurred. It is also possible that charges and cash expenditures associated with such actions could be higher than estimated. Any of these risks could ultimately have a material adverse effect on our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Widespread health problems, including the recent global coronavirus, could materially and adversely affect our business.</w:t>
      </w:r>
    </w:p>
    <w:p>
      <w:pPr>
        <w:spacing w:after="0" w:line="1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Public health outbreaks, epidemics or pandemics, such as the coronavirus, could materially and adversely impact our business. For example, the COVID-19 pandemic has resulted in global business and economic disruption and extreme volatility in the financial markets as many jurisdictions have placed restrictions on travel and non-essential business operations and implemented social distancing, shelter-in-place, quarantine and other similar measures for their residents to contain the spread of the virus. In response to these public health directives and orders, we have implemented alternative working practices and work-from-home requirements for appropriate employees, as well as temperature screenings, health questionnaires, social distancing, modified schedules, shift rotation and other similar policies at our manufacturing facilities. We launched a hybrid approach selling model as of June 1, 2020 for our field employees, which allows virtual and/or live engagement with healthcare providers and other customers. We have also suspended international and domestic travel. The effects of COVID-19, including these public health directives and orders and our policies, have had an impact on our business and may in the future materially disrupt our business (including our manufacturing and supply chain operations by significantly reducing our output), negatively impact our productivity and delay our product development programs.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 xml:space="preserve">The global pandemic may have significant impacts on third-party arrangements, including those with our manufacturing, supply chain and distribution partners, information technology and other service providers and business partners. For example, there may be significant disruptions in the ability of any or all of these third-party providers to meet their obligations to us on a timely basis, or at all, which may be caused by their own financial or operational difficulties, including any closures of their facilities pursuant to a governmental order or otherwise. Due to these disruptions and other factors, including changes in our workforce availability and increased demand for some of our critical care products during this pandemic, our ability to meet our obligations to third-party distribution partners may be negatively impacted. As a result, we have delivered, and in the future we or our third-party providers may deliver, notices of the occurrence of a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or similar events under certain of our third-party contracts, which could result in prolonged commercial disputes and ultimately legal proceedings to enforce contractual performance and/or recover losses. Any such occurrences could result in significant management distraction and use of resources and, in the event of an adverse judgment, could result in significant cash payments. Further, the publicity of any such dispute could harm our reputation and make the negotiation of any replacement contracts more difficult and costly, thereby prolonging the effects of any resulting disruption in our operations. Such disruptions could be acute with respect to certain of our raw material suppliers where we may not have readily accessible alternatives or alternatives may take longer to source than usual. While we attempt, when possible, to mitigate our raw material supply risks through stock management and alternative sourcing strategies, some raw materials are only available from one source. Any of these disruptions could harm our ability to meet consumer demand, including any increase in demand for any of our products, including our critical care products used during a pandemic.</w:t>
      </w:r>
    </w:p>
    <w:p>
      <w:pPr>
        <w:spacing w:after="0" w:line="88" w:lineRule="exact"/>
        <w:rPr>
          <w:sz w:val="20"/>
          <w:szCs w:val="20"/>
          <w:color w:val="auto"/>
        </w:rPr>
      </w:pPr>
    </w:p>
    <w:p>
      <w:pPr>
        <w:ind w:right="20" w:firstLine="486"/>
        <w:spacing w:after="0"/>
        <w:rPr>
          <w:sz w:val="20"/>
          <w:szCs w:val="20"/>
          <w:color w:val="auto"/>
        </w:rPr>
      </w:pPr>
      <w:r>
        <w:rPr>
          <w:rFonts w:ascii="Times New Roman" w:cs="Times New Roman" w:eastAsia="Times New Roman" w:hAnsi="Times New Roman"/>
          <w:sz w:val="18"/>
          <w:szCs w:val="18"/>
          <w:color w:val="auto"/>
        </w:rPr>
        <w:t>We have experienced, and expect to continue to experience, changes in customer demand as the COVID-19 pandemic continues to evolve, which are difficult to predict. The current economic crisis and increased unemployment rates resulting from COVID-19 have the potential to significantly reduce individual disposable income and depress consumer confidence, which could limit the ability of some consumers to purchase certain pharmaceutical products and reduce consumer spend on certain medical procedures in both the short- and medium-term. Additionally, as part of the measures to address COVID-19, certain healthcare providers are not currently performing various medical procedures, including those that use certain of our products. For example, beginning in the last two weeks of the first quarter of 2020, certain of our products that are physician administered,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experienced significantly decreased sales volumes due to reduced physician office activity and patient office visits compared to prior year because of the COVID-19 pandemic. Furthermore, we are unable to predict the impact that COVID-19 may have going forward on the business, results of operations or financial position of any of our major customers, which could impact each customer to varying degrees and at different times and could ultimately impact our own financial performance. Certain of our competitors may also be better equipped to weather the impact of COVID-19 both domestically and abroad and better able to address changes in customer demand.</w:t>
      </w:r>
    </w:p>
    <w:p>
      <w:pPr>
        <w:spacing w:after="0" w:line="9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Additionally, our product development programs have been, and may continue to be, adversely affected by the global pandemic and the prioritization of production during this pandemic. The public health directives in response to COVID-19 requiring social distancing and restricting non-essential business operations have in certain cases caused and may continue to cause delays, increased costs and additional challenges in our product development programs, including obtaining adequate patient enrollment and successfully bringing product candidates to market. In addition, we may face additional challenges receiving regulatory approvals as previously scheduled dates or anticipated deadlines for action by the FDA on our applications and products in development, including dates scheduled for 2020, could be subject to delays beyond our control as regulators, such as the FDA, focus on COVID-19. For example, as a result of COVID-19 and its impact on medical aesthetics physician office closures and consumer spending, we have moved the anticipated product launch of QWO to spring 2021. In addition, we have assessed, and expect to continue to assess, the timeline for commercialization of other products.</w:t>
      </w:r>
    </w:p>
    <w:p>
      <w:pPr>
        <w:spacing w:after="0" w:line="80"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To the extent our operating cash flows, together with our cash, cash equivalents, restricted cash and restricted cash equivalents, become insufficient to cover our liquidity and capital requirements, including funds for any future acquisitions and other corporate transactions, we may be required to seek third-party financing, including additional draws on our Revolving Credit Facility or additional credit facilities, and/or engage in one or more capital market transactions. There can be no assurance that we would be able to obtain any required financing on a timely basis or at all. Further, lenders and other financial institutions could require us to agree to more restrictive covenants, grant liens on our assets as collateral (resulting in an increase in our total outstanding secured indebtedness) and/or accept other terms that are not commercially beneficial to us in order to obtain financing. Such terms could further restrict our operations and exacerbate any impact on our results of operations and liquidity that may result from COVID-19. In addition, a recession or market correction resulting from the spread of COVID-19 could materially affect our business and the value of our ordinary shares.</w:t>
      </w:r>
    </w:p>
    <w:p>
      <w:pPr>
        <w:spacing w:after="0" w:line="84"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Additionally, COVID-19 could increase the magnitude of many of the other risks described herein and in the Annual Report, as subsequently supplemented and amended, and have other adverse effects on our operations that we are not currently able to predict. For example, the global economic disruptions and volatility in the financial markets could further depress our ability to obtain or renew insurance on satisfactory terms or at all. Additionally, we may also be required to delay or limit our internal strategies in the short- and medium-term by, for example, redirecting significant resources and management attention away from implementing our strategic priorities or executing opportunistic corporate development transactions.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magnitude of the effect of COVID-19 on our business will depend, in part, on the length and severity of the restrictions (including the effects of any “re-opening” actions and plans) and other limitations on our ability to conduct our business in the ordinary course. The longer the pandemic continues or resurges, the more severe the impacts described above will be on both our domestic and international business. The extent, length and consequences of the pandemic are uncertain and impossible to predict, but could be material. COVID-19 and other similar outbreaks, epidemics or pandemics could have a material adverse effect on our business, financial condition, results of operations and cash flows and could cause significant volatility in the trading prices of our securities.</w:t>
      </w:r>
    </w:p>
    <w:p>
      <w:pPr>
        <w:spacing w:after="0" w:line="1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purchases or sales of equity securities by the Company during the three months ended September 30, 2020.</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Restructuring Initiative</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November 5, 2020, the Company announced the initiation of several strategic actions to further optimize the Company’s operations and increase overall efficiency (the 2020 Restructuring Initiative). The Board of Directors approved the 2020 Restructuring Initiative on November 4, 2020. These actions are expected to generate significant cost savings that will be reinvested, among other things, to support the Company’s key strategic priority to expand and enhance its product portfolio. These actions include the following:</w:t>
      </w:r>
    </w:p>
    <w:p>
      <w:pPr>
        <w:spacing w:after="0" w:line="3" w:lineRule="exact"/>
        <w:rPr>
          <w:sz w:val="20"/>
          <w:szCs w:val="20"/>
          <w:color w:val="auto"/>
        </w:rPr>
      </w:pPr>
    </w:p>
    <w:p>
      <w:pPr>
        <w:ind w:left="900" w:hanging="244"/>
        <w:spacing w:after="0" w:line="250" w:lineRule="auto"/>
        <w:tabs>
          <w:tab w:leader="none" w:pos="8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Company’s generic retail business cost structure by exiting manufacturing sites in Irvine, California and Chestnut Ridge, New York, as well as active pharmaceutical ingredient manufacturing and bioequivalence study sites in India. The sites will be exited in a phased approach that is expected to be completed in the second half of 2022. Certain products currently manufactured at the Irvine and Chestnut Ridge sites are expected to be transferred to other internal and external sites within the Company’s manufacturing network.</w:t>
      </w:r>
    </w:p>
    <w:p>
      <w:pPr>
        <w:spacing w:after="0" w:line="1" w:lineRule="exact"/>
        <w:rPr>
          <w:rFonts w:ascii="Times New Roman" w:cs="Times New Roman" w:eastAsia="Times New Roman" w:hAnsi="Times New Roman"/>
          <w:sz w:val="18"/>
          <w:szCs w:val="18"/>
          <w:color w:val="auto"/>
        </w:rPr>
      </w:pPr>
    </w:p>
    <w:p>
      <w:pPr>
        <w:ind w:left="900" w:right="140" w:hanging="244"/>
        <w:spacing w:after="0" w:line="250" w:lineRule="auto"/>
        <w:tabs>
          <w:tab w:leader="none" w:pos="8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operating flexibility and reducing general and administrative costs by transferring certain transaction processing activities to third-party global business process service providers.</w:t>
      </w:r>
    </w:p>
    <w:p>
      <w:pPr>
        <w:ind w:left="900" w:right="80" w:hanging="244"/>
        <w:spacing w:after="0" w:line="260" w:lineRule="auto"/>
        <w:tabs>
          <w:tab w:leader="none" w:pos="8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organizational effectiveness by further integrating the Company’s commercial, operations and research and development functions, respectively, to support the Company’s key strategic priorities.</w:t>
      </w:r>
    </w:p>
    <w:p>
      <w:pPr>
        <w:spacing w:after="0" w:line="73"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2020 Restructuring Initiative, the Company’s global workforce is expected to be reduced by approximately 560 net full-time positions.</w:t>
      </w:r>
    </w:p>
    <w:p>
      <w:pPr>
        <w:spacing w:after="0" w:line="54"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For further details of the 2020 Restructuring Initiative, including the costs expected to be incurred, see Note 4. Restructuring of the Condensed Consolidated Financial Statements included in Part I, Item 1 of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Operating Officer Separation</w:t>
      </w:r>
    </w:p>
    <w:p>
      <w:pPr>
        <w:spacing w:after="0" w:line="121" w:lineRule="exact"/>
        <w:rPr>
          <w:sz w:val="20"/>
          <w:szCs w:val="20"/>
          <w:color w:val="auto"/>
        </w:rPr>
      </w:pPr>
    </w:p>
    <w:p>
      <w:pPr>
        <w:ind w:firstLine="486"/>
        <w:spacing w:after="0" w:line="269" w:lineRule="auto"/>
        <w:rPr>
          <w:sz w:val="20"/>
          <w:szCs w:val="20"/>
          <w:color w:val="auto"/>
        </w:rPr>
      </w:pPr>
      <w:r>
        <w:rPr>
          <w:rFonts w:ascii="Times New Roman" w:cs="Times New Roman" w:eastAsia="Times New Roman" w:hAnsi="Times New Roman"/>
          <w:sz w:val="17"/>
          <w:szCs w:val="17"/>
          <w:color w:val="auto"/>
        </w:rPr>
        <w:t>Mr. Terrance J. Coughlin will cease serving in his role as Chief Operating Officer of the Company, effective November 4, 2020, and will continue to provide transition services as an employee of the Company until March 1, 2021 (the Separation Date). Following the Separation Date, Mr. Coughlin will be eligible to receive, subject to the timely execution of a release of claims, the following payments and benefits to which he is entitled under his employment agreement with EHSI, an indirect, wholly-owned subsidiary of the Company, dated December 9, 2019 (the Coughlin Employment Agreement): (i) cash severance in an amount equal to $2,235,500, payable in a lump sum no later than sixty (60) days after the Separation Date, (ii) continued medical and life insurance benefits at active employee rates for twenty-four (24) months following the Separation Date and (iii) a pro-rata cash bonus based on actual performance and payable in a lump sum at the time such bonuses are payable to other participants in the Company’s annual bonus program. Mr. Coughlin will also receive twelve (12) months of outplacement services, up to a maximum cost of $9,000. In addition to the foregoing payments and benefits, 107,750 restricted stock units and $228,625 in long-term cash awards held by Mr. Coughlin will vest on the Separation Date and, in accordance with the underlying award agreements, be settled as soon as practicable after vesting. Outstanding unvested performance share units held by Mr. Coughlin will be eligible to vest based on actual Company performance as of the Separation Date in accordance with the underlying award agreements, pro-rated based on the portion of the applicable service period elapsing prior to the Separation Date and will be settled in shares of Company stock as soon as practicable after vesting. All other equity- and cash-based awards held by Mr. Coughlin will be forfeited for no consideration as of the Separation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6" w:name="page57"/>
    <w:bookmarkEnd w:id="56"/>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Upon separation from service, Mr. Coughlin will continue to be subject to certain restrictive covenants provided in the Coughlin Employment Agreement, including non-competition and non-solicitation covenants for eighteen (18) months after the Separation Date, a non-disparagement covenant and a covenant providing for cooperation in connection with any investigations and/or litigation.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Legal Officer Employment Agreement</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EHSI entered into a new executive employment agreement with Mr. Matthew J. Maletta, the Company’s Executive Vice President, Chief Legal Officer and Company Secretary, dated as of November 4, 2020 (the Maletta Employment Agreement), effective as of February 13, 2021 immediately following the expiration of Mr. Maletta’s current employment agreement with EHSI. The Maletta Employment Agreement has a term of three years ending on February 13, 2024, unless earlier terminated. Under the Maletta Employment Agreement, Mr. Maletta is entitled to an annual base salary of $650,000 and he is eligible to receive a target annual cash bonus of 60% of his base salary.</w:t>
      </w:r>
    </w:p>
    <w:p>
      <w:pPr>
        <w:spacing w:after="0" w:line="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During the term of the Maletta Employment Agreement, Mr. Maletta is also eligible to receive long-term incentive compensation, which may be subject to the achievement of certain performance targets set by the Compensation Committee of the Company’s Board of Directors. Beginning with grants made in 2021, Mr. Maletta is eligible to receive long-term incentive compensation awards with a targeted grant date fair market value equal to 300% of his base salary.</w:t>
      </w:r>
    </w:p>
    <w:p>
      <w:pPr>
        <w:spacing w:after="0" w:line="7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Maletta Employment Agreement also provides that in the event of a termination of Mr. Maletta’s employment by the Company without Cause or by Mr. Maletta for Good Reason (as these terms are defined in the Maletta Employment Agreement), Mr. Maletta will be entitled to the following benefits, subject to his execution of a release of claims: (i) a prorated bonus for the year of termination (based on actual performance results), (ii) cash severance in an amount equal to two times the sum of his base salary and target bonus and (iii) continued medical and life insurance benefits for twenty-four (24) months following termination. Mr. Maletta may elect to reduce his severance payments to the extent these payments would constitute “excess parachute payments” under Sections 280G and 4999 of the Internal Revenue Code. Payments upon termination due to death or disability include a prorated bonus for the year of termination (based on actual performance results), continued medical and life insurance benefits for Mr. Maletta and/or his dependents for twenty-four (24) months following such termination and, in the event of disability, twenty-four (24) months of salary continuation offset by disability benefits.</w:t>
      </w:r>
    </w:p>
    <w:p>
      <w:pPr>
        <w:spacing w:after="0" w:line="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Maletta Employment Agreement also contains a twelve (12) month non-competition covenant, a twelve (12) month non-solicitation covenant, a non-disparagement covenant and a covenant providing for cooperation by Mr. Maletta in connection with any investigations and/or litigation.</w:t>
      </w:r>
    </w:p>
    <w:p>
      <w:pPr>
        <w:spacing w:after="0" w:line="54"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Maletta Employment Agreement does not purport to be complete and is qualified in its entirety by the full text of the Maletta Employment Agreement, a copy of which is filed herewith as Exhibit 10.2 and is incorporated herein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Continuity Compensation Arrangements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On November 4, 2020, the Company’s Compensation Committee approved cash continuity arrangements (the Continuity Compensation) for certain senior management of the Company, including the following recipients: Mr. Blaise Coleman, President and Chief Executive Officer; Mr. Mark Bradley, Executive Vice President and Chief Financial Officer; Mr. Matthew Maletta, Executive Vice President, Chief Legal Officer and Company Secretary; and Mr. Patrick Barry, Executive Vice President and President, Global Commercial Operations. The Continuity Compensation was authorized for each recipient based on the critical nature of the recipient’s leadership and to advance the Company’s management continuity priorities.</w:t>
      </w:r>
    </w:p>
    <w:p>
      <w:pPr>
        <w:spacing w:after="0" w:line="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Continuity Compensation approved for the above-named recipients will be equal to one-times the recipient’s base salary: $850,000 for Mr. Coleman; $575,000 for Mr. Bradley; $650,000 for Mr. Maletta; and $550,000 for Mr. Barry, and will be paid in three equal installments within sixty (60) days after each of the following vesting dates: (1) June 15, 2021; (2) September 15, 2021; and (3) December 15, 2021. Payment of any unpaid portion of the Continuity Compensation will be accelerated if a recipient’s employment is terminated by the Company without cause before December 15, 2021 and will be paid within sixty (60) days of the termination date. Any unearned Continuity Compensation will be forfeited if a recipient is terminated for cause or if a recipient resigns before December 15,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9"/>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60" w:type="dxa"/>
            <w:vAlign w:val="bottom"/>
            <w:gridSpan w:val="18"/>
          </w:tcPr>
          <w:p>
            <w:pPr>
              <w:spacing w:after="0"/>
              <w:rPr>
                <w:sz w:val="14"/>
                <w:szCs w:val="14"/>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spacing w:after="0"/>
              <w:rPr>
                <w:sz w:val="18"/>
                <w:szCs w:val="18"/>
                <w:color w:val="auto"/>
              </w:rPr>
            </w:pPr>
          </w:p>
        </w:tc>
        <w:tc>
          <w:tcPr>
            <w:tcW w:w="5380" w:type="dxa"/>
            <w:vAlign w:val="bottom"/>
            <w:gridSpan w:val="19"/>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Agreement and Plan of Merger, dated as of October 19, 2020, by and</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4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w w:val="99"/>
              </w:rPr>
              <w:t>Current Report on Form 8- October 19, 2020</w:t>
            </w: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among BioSpecifics Technologies Corp., Endo International plc, and</w:t>
              </w:r>
            </w:hyperlink>
          </w:p>
        </w:tc>
        <w:tc>
          <w:tcPr>
            <w:tcW w:w="400" w:type="dxa"/>
            <w:vAlign w:val="bottom"/>
            <w:gridSpan w:val="9"/>
          </w:tcPr>
          <w:p>
            <w:pPr>
              <w:ind w:left="20"/>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Beta</w:t>
              </w:r>
            </w:hyperlink>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Times New Roman" w:cs="Times New Roman" w:eastAsia="Times New Roman" w:hAnsi="Times New Roman"/>
                <w:sz w:val="18"/>
                <w:szCs w:val="18"/>
                <w:color w:val="auto"/>
              </w:rPr>
              <w:t>K</w:t>
            </w: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Acquisition Corp.</w:t>
              </w:r>
            </w:hyperlink>
          </w:p>
        </w:tc>
        <w:tc>
          <w:tcPr>
            <w:tcW w:w="4040" w:type="dxa"/>
            <w:vAlign w:val="bottom"/>
            <w:tcBorders>
              <w:top w:val="single" w:sz="8" w:color="0000FF"/>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tcPr>
          <w:p>
            <w:pPr>
              <w:spacing w:after="0"/>
              <w:rPr>
                <w:sz w:val="18"/>
                <w:szCs w:val="18"/>
                <w:color w:val="auto"/>
              </w:rPr>
            </w:pPr>
          </w:p>
        </w:tc>
        <w:tc>
          <w:tcPr>
            <w:tcW w:w="5380" w:type="dxa"/>
            <w:vAlign w:val="bottom"/>
            <w:gridSpan w:val="19"/>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Support Agreement, dated as of October 19, 2020, by and among Endo</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42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w w:val="99"/>
              </w:rPr>
              <w:t>Current Report on Form 8- October 19, 2020</w:t>
            </w: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International plc, Beta Acquisition Corp and the Marital Trust U/W/O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Times New Roman" w:cs="Times New Roman" w:eastAsia="Times New Roman" w:hAnsi="Times New Roman"/>
                <w:sz w:val="18"/>
                <w:szCs w:val="18"/>
                <w:color w:val="auto"/>
              </w:rPr>
              <w:t>K</w:t>
            </w: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Edwin H. Wegman dated 8-10-06.</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spacing w:after="0"/>
              <w:rPr>
                <w:sz w:val="18"/>
                <w:szCs w:val="18"/>
                <w:color w:val="auto"/>
              </w:rPr>
            </w:pPr>
          </w:p>
        </w:tc>
        <w:tc>
          <w:tcPr>
            <w:tcW w:w="5380" w:type="dxa"/>
            <w:vAlign w:val="bottom"/>
            <w:gridSpan w:val="19"/>
          </w:tcPr>
          <w:p>
            <w:pPr>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Executive Employment Agreement between Endo Health Solutions Inc.</w:t>
              </w:r>
            </w:hyperlink>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1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and Matthew Maletta, effective February 13, 2021</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0" w:type="dxa"/>
            <w:vAlign w:val="bottom"/>
          </w:tcPr>
          <w:p>
            <w:pPr>
              <w:spacing w:after="0"/>
              <w:rPr>
                <w:sz w:val="18"/>
                <w:szCs w:val="18"/>
                <w:color w:val="auto"/>
              </w:rPr>
            </w:pPr>
          </w:p>
        </w:tc>
        <w:tc>
          <w:tcPr>
            <w:tcW w:w="5380" w:type="dxa"/>
            <w:vAlign w:val="bottom"/>
            <w:gridSpan w:val="19"/>
          </w:tcPr>
          <w:p>
            <w:pPr>
              <w:spacing w:after="0"/>
              <w:rPr>
                <w:rFonts w:ascii="Times New Roman" w:cs="Times New Roman" w:eastAsia="Times New Roman" w:hAnsi="Times New Roman"/>
                <w:sz w:val="18"/>
                <w:szCs w:val="18"/>
                <w:color w:val="0000FF"/>
              </w:rPr>
            </w:pPr>
            <w:hyperlink w:anchor="page87">
              <w:r>
                <w:rPr>
                  <w:rFonts w:ascii="Times New Roman" w:cs="Times New Roman" w:eastAsia="Times New Roman" w:hAnsi="Times New Roman"/>
                  <w:sz w:val="18"/>
                  <w:szCs w:val="18"/>
                  <w:color w:val="0000FF"/>
                </w:rPr>
                <w:t>Certification of the President and Chief Executive Officer of Endo</w:t>
              </w:r>
            </w:hyperlink>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1"/>
        </w:trPr>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80" w:type="dxa"/>
            <w:vAlign w:val="bottom"/>
            <w:tcBorders>
              <w:top w:val="single" w:sz="8" w:color="0000FF"/>
            </w:tcBorders>
            <w:gridSpan w:val="8"/>
          </w:tcPr>
          <w:p>
            <w:pPr>
              <w:spacing w:after="0" w:line="191" w:lineRule="exact"/>
              <w:rPr>
                <w:rFonts w:ascii="Times New Roman" w:cs="Times New Roman" w:eastAsia="Times New Roman" w:hAnsi="Times New Roman"/>
                <w:sz w:val="18"/>
                <w:szCs w:val="18"/>
                <w:u w:val="single" w:color="auto"/>
                <w:color w:val="0000FF"/>
              </w:rPr>
            </w:pPr>
            <w:hyperlink w:anchor="page87">
              <w:r>
                <w:rPr>
                  <w:rFonts w:ascii="Times New Roman" w:cs="Times New Roman" w:eastAsia="Times New Roman" w:hAnsi="Times New Roman"/>
                  <w:sz w:val="18"/>
                  <w:szCs w:val="18"/>
                  <w:u w:val="single" w:color="auto"/>
                  <w:color w:val="0000FF"/>
                </w:rPr>
                <w:t>pursuant to Section 302 of the Sarbanes-Oxley Act of 2002</w:t>
              </w:r>
            </w:hyperlink>
          </w:p>
        </w:tc>
        <w:tc>
          <w:tcPr>
            <w:tcW w:w="20" w:type="dxa"/>
            <w:vAlign w:val="bottom"/>
          </w:tcPr>
          <w:p>
            <w:pPr>
              <w:spacing w:after="0"/>
              <w:rPr>
                <w:sz w:val="16"/>
                <w:szCs w:val="16"/>
                <w:color w:val="auto"/>
              </w:rPr>
            </w:pPr>
          </w:p>
        </w:tc>
        <w:tc>
          <w:tcPr>
            <w:tcW w:w="34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4"/>
        </w:trPr>
        <w:tc>
          <w:tcPr>
            <w:tcW w:w="5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31.2</w:t>
            </w:r>
          </w:p>
        </w:tc>
        <w:tc>
          <w:tcPr>
            <w:tcW w:w="400" w:type="dxa"/>
            <w:vAlign w:val="bottom"/>
          </w:tcPr>
          <w:p>
            <w:pPr>
              <w:spacing w:after="0"/>
              <w:rPr>
                <w:sz w:val="16"/>
                <w:szCs w:val="16"/>
                <w:color w:val="auto"/>
              </w:rPr>
            </w:pPr>
          </w:p>
        </w:tc>
        <w:tc>
          <w:tcPr>
            <w:tcW w:w="5380" w:type="dxa"/>
            <w:vAlign w:val="bottom"/>
            <w:gridSpan w:val="19"/>
          </w:tcPr>
          <w:p>
            <w:pPr>
              <w:spacing w:after="0" w:line="194" w:lineRule="exact"/>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Certification of the Chief Financial Officer of Endo pursuant to Section</w:t>
              </w:r>
            </w:hyperlink>
          </w:p>
        </w:tc>
        <w:tc>
          <w:tcPr>
            <w:tcW w:w="31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w:anchor="page88">
              <w:r>
                <w:rPr>
                  <w:rFonts w:ascii="Times New Roman" w:cs="Times New Roman" w:eastAsia="Times New Roman" w:hAnsi="Times New Roman"/>
                  <w:sz w:val="18"/>
                  <w:szCs w:val="18"/>
                  <w:color w:val="0000FF"/>
                  <w:w w:val="99"/>
                </w:rPr>
                <w:t>302 of the Sarbanes-Oxley Act of 2002</w:t>
              </w:r>
            </w:hyperlink>
          </w:p>
        </w:tc>
        <w:tc>
          <w:tcPr>
            <w:tcW w:w="23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00" w:type="dxa"/>
            <w:vAlign w:val="bottom"/>
          </w:tcPr>
          <w:p>
            <w:pPr>
              <w:spacing w:after="0"/>
              <w:rPr>
                <w:sz w:val="18"/>
                <w:szCs w:val="18"/>
                <w:color w:val="auto"/>
              </w:rPr>
            </w:pPr>
          </w:p>
        </w:tc>
        <w:tc>
          <w:tcPr>
            <w:tcW w:w="5380" w:type="dxa"/>
            <w:vAlign w:val="bottom"/>
            <w:gridSpan w:val="19"/>
          </w:tcPr>
          <w:p>
            <w:pPr>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Certification of the President and Chief Executive Officer of Endo</w:t>
              </w:r>
            </w:hyperlink>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furnished herewith</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55"/>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w w:val="98"/>
              </w:rPr>
            </w:pPr>
            <w:hyperlink w:anchor="page89">
              <w:r>
                <w:rPr>
                  <w:rFonts w:ascii="Times New Roman" w:cs="Times New Roman" w:eastAsia="Times New Roman" w:hAnsi="Times New Roman"/>
                  <w:sz w:val="18"/>
                  <w:szCs w:val="18"/>
                  <w:color w:val="0000FF"/>
                  <w:w w:val="98"/>
                </w:rPr>
                <w:t>pursuant to 18 U.S.C. Section 1350, as adopted pursuant to Section</w:t>
              </w:r>
            </w:hyperlink>
          </w:p>
        </w:tc>
        <w:tc>
          <w:tcPr>
            <w:tcW w:w="400" w:type="dxa"/>
            <w:vAlign w:val="bottom"/>
            <w:gridSpan w:val="7"/>
          </w:tcPr>
          <w:p>
            <w:pPr>
              <w:jc w:val="right"/>
              <w:ind w:right="40"/>
              <w:spacing w:after="0" w:line="156" w:lineRule="exact"/>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906</w:t>
              </w:r>
            </w:hyperlink>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w:anchor="page89">
              <w:r>
                <w:rPr>
                  <w:rFonts w:ascii="Times New Roman" w:cs="Times New Roman" w:eastAsia="Times New Roman" w:hAnsi="Times New Roman"/>
                  <w:sz w:val="18"/>
                  <w:szCs w:val="18"/>
                  <w:color w:val="0000FF"/>
                  <w:w w:val="99"/>
                </w:rPr>
                <w:t>of the Sarbanes-Oxley Act of 2002</w:t>
              </w:r>
            </w:hyperlink>
          </w:p>
        </w:tc>
        <w:tc>
          <w:tcPr>
            <w:tcW w:w="2640" w:type="dxa"/>
            <w:vAlign w:val="bottom"/>
            <w:tcBorders>
              <w:top w:val="single" w:sz="8" w:color="0000FF"/>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00" w:type="dxa"/>
            <w:vAlign w:val="bottom"/>
          </w:tcPr>
          <w:p>
            <w:pPr>
              <w:spacing w:after="0"/>
              <w:rPr>
                <w:sz w:val="18"/>
                <w:szCs w:val="18"/>
                <w:color w:val="auto"/>
              </w:rPr>
            </w:pPr>
          </w:p>
        </w:tc>
        <w:tc>
          <w:tcPr>
            <w:tcW w:w="8500" w:type="dxa"/>
            <w:vAlign w:val="bottom"/>
            <w:gridSpan w:val="25"/>
          </w:tcPr>
          <w:p>
            <w:pPr>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 xml:space="preserve">Certification of the Chief Financial Officer of Endo pursuant to 18 U.S.C. </w:t>
              </w:r>
            </w:hyperlink>
            <w:r>
              <w:rPr>
                <w:rFonts w:ascii="Times New Roman" w:cs="Times New Roman" w:eastAsia="Times New Roman" w:hAnsi="Times New Roman"/>
                <w:sz w:val="18"/>
                <w:szCs w:val="18"/>
                <w:color w:val="000000"/>
              </w:rPr>
              <w:t>Not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applicable; furnished herewith</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3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Section 1350, as adopted pursuant to Section 906 of the Sarbanes-Oxley</w:t>
              </w:r>
            </w:hyperlink>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Act of 2002</w:t>
              </w:r>
            </w:hyperlink>
          </w:p>
        </w:tc>
        <w:tc>
          <w:tcPr>
            <w:tcW w:w="18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
        </w:trPr>
        <w:tc>
          <w:tcPr>
            <w:tcW w:w="920" w:type="dxa"/>
            <w:vAlign w:val="bottom"/>
            <w:gridSpan w:val="2"/>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520" w:type="dxa"/>
            <w:vAlign w:val="bottom"/>
            <w:gridSpan w:val="17"/>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iXBRL Instance Document - the instance document does not appear in</w:t>
            </w:r>
          </w:p>
        </w:tc>
        <w:tc>
          <w:tcPr>
            <w:tcW w:w="3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76"/>
        </w:trPr>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3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25"/>
        </w:trPr>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iXBRL Taxonomy Extension Schema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iXBRL Taxonomy Extension Calculation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iXBRL Taxonomy Extension Definition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iXBRL Taxonomy Extension Label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iXBRL Taxonomy Extension Presentation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80"/>
        </w:trPr>
        <w:tc>
          <w:tcPr>
            <w:tcW w:w="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15"/>
                <w:szCs w:val="15"/>
                <w:color w:val="auto"/>
              </w:rPr>
            </w:pPr>
          </w:p>
        </w:tc>
        <w:tc>
          <w:tcPr>
            <w:tcW w:w="538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in iXBRL and contained in</w:t>
            </w:r>
          </w:p>
        </w:tc>
        <w:tc>
          <w:tcPr>
            <w:tcW w:w="312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4"/>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Exhibit 101</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ind w:left="5540" w:right="3380" w:hanging="5514"/>
        <w:spacing w:after="0" w:line="865" w:lineRule="auto"/>
        <w:tabs>
          <w:tab w:leader="none" w:pos="9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114" w:right="879" w:bottom="1440" w:gutter="0" w:footer="0" w:header="0"/>
        </w:sectPr>
      </w:pPr>
    </w:p>
    <w:bookmarkStart w:id="58" w:name="page59"/>
    <w:bookmarkEnd w:id="58"/>
    <w:p>
      <w:pPr>
        <w:spacing w:after="0"/>
        <w:rPr>
          <w:rFonts w:ascii="Times New Roman" w:cs="Times New Roman" w:eastAsia="Times New Roman" w:hAnsi="Times New Roman"/>
          <w:sz w:val="14"/>
          <w:szCs w:val="14"/>
          <w:b w:val="1"/>
          <w:bCs w:val="1"/>
          <w:u w:val="single" w:color="auto"/>
          <w:color w:val="0000FF"/>
        </w:rPr>
      </w:pPr>
      <w:hyperlink w:anchor="page1">
        <w:r>
          <w:rPr>
            <w:rFonts w:ascii="Times New Roman" w:cs="Times New Roman" w:eastAsia="Times New Roman" w:hAnsi="Times New Roman"/>
            <w:sz w:val="14"/>
            <w:szCs w:val="14"/>
            <w:b w:val="1"/>
            <w:bCs w:val="1"/>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(Registrant)</w:t>
      </w:r>
    </w:p>
    <w:p>
      <w:pPr>
        <w:spacing w:after="0" w:line="30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7"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Blaise Coleman</w:t>
      </w:r>
    </w:p>
    <w:p>
      <w:pPr>
        <w:spacing w:after="0" w:line="32"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President and Chief Executive Officer</w:t>
      </w:r>
    </w:p>
    <w:p>
      <w:pPr>
        <w:spacing w:after="0" w:line="2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4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7"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Mark T. Bradley</w:t>
      </w:r>
    </w:p>
    <w:p>
      <w:pPr>
        <w:spacing w:after="0" w:line="32"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Executive Vice President, Chief Financial Officer</w:t>
      </w:r>
    </w:p>
    <w:p>
      <w:pPr>
        <w:spacing w:after="0" w:line="2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40"/>
          </w:cols>
          <w:pgMar w:left="320" w:top="114" w:right="5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ENDO HEALTH SOLUTIONS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EXECUTIVE EMPLOYMENT AGREEMENT</w:t>
      </w:r>
    </w:p>
    <w:p>
      <w:pPr>
        <w:spacing w:after="0" w:line="220" w:lineRule="exact"/>
        <w:rPr>
          <w:sz w:val="20"/>
          <w:szCs w:val="20"/>
          <w:color w:val="auto"/>
        </w:rPr>
      </w:pPr>
    </w:p>
    <w:p>
      <w:pPr>
        <w:ind w:right="260" w:firstLine="648"/>
        <w:spacing w:after="0" w:line="275" w:lineRule="auto"/>
        <w:rPr>
          <w:sz w:val="20"/>
          <w:szCs w:val="20"/>
          <w:color w:val="auto"/>
        </w:rPr>
      </w:pPr>
      <w:r>
        <w:rPr>
          <w:rFonts w:ascii="Times New Roman" w:cs="Times New Roman" w:eastAsia="Times New Roman" w:hAnsi="Times New Roman"/>
          <w:sz w:val="21"/>
          <w:szCs w:val="21"/>
          <w:color w:val="auto"/>
        </w:rPr>
        <w:t xml:space="preserve">THIS AGREEMENT (this "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hereby entered into as of November 4, 2020, effective as of February 13, 2021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by and between Endo Health Solutions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 wholly-owned subsidiary of Endo International plc ("</w:t>
      </w:r>
      <w:r>
        <w:rPr>
          <w:rFonts w:ascii="Times New Roman" w:cs="Times New Roman" w:eastAsia="Times New Roman" w:hAnsi="Times New Roman"/>
          <w:sz w:val="21"/>
          <w:szCs w:val="21"/>
          <w:u w:val="single" w:color="auto"/>
          <w:color w:val="auto"/>
        </w:rPr>
        <w:t>Endo</w:t>
      </w:r>
      <w:r>
        <w:rPr>
          <w:rFonts w:ascii="Times New Roman" w:cs="Times New Roman" w:eastAsia="Times New Roman" w:hAnsi="Times New Roman"/>
          <w:sz w:val="21"/>
          <w:szCs w:val="21"/>
          <w:color w:val="auto"/>
        </w:rPr>
        <w:t>"), and Matthew J. Maletta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(hereinafter collectively referred to as "the parties").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consideration of the respective agreements of the parties contained herein, it is agreed as follows:</w:t>
      </w:r>
    </w:p>
    <w:p>
      <w:pPr>
        <w:spacing w:after="0" w:line="220" w:lineRule="exact"/>
        <w:rPr>
          <w:sz w:val="20"/>
          <w:szCs w:val="20"/>
          <w:color w:val="auto"/>
        </w:rPr>
      </w:pPr>
    </w:p>
    <w:p>
      <w:pPr>
        <w:ind w:left="660" w:right="60" w:hanging="652"/>
        <w:spacing w:after="0" w:line="271" w:lineRule="auto"/>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shall be for the period commencing on the Effective Date and ending, subject to earlier termination as set forth in Section 6, on the third anniversary thereof (the "</w:t>
      </w: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During the Employment Term:</w:t>
      </w:r>
    </w:p>
    <w:p>
      <w:pPr>
        <w:spacing w:after="0" w:line="219" w:lineRule="exact"/>
        <w:rPr>
          <w:rFonts w:ascii="Times New Roman" w:cs="Times New Roman" w:eastAsia="Times New Roman" w:hAnsi="Times New Roman"/>
          <w:sz w:val="22"/>
          <w:szCs w:val="22"/>
          <w:color w:val="auto"/>
        </w:rPr>
      </w:pPr>
    </w:p>
    <w:p>
      <w:pPr>
        <w:ind w:left="1300" w:right="140" w:hanging="644"/>
        <w:spacing w:after="0" w:line="252" w:lineRule="auto"/>
        <w:tabs>
          <w:tab w:leader="none" w:pos="129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serve as Executive Vice President, Chief Legal Officer and Company Secretary of Endo and shall be assigned with the customary duties and responsibilities of such position. If Executive serves as a director of Endo or as a director or officer of any of Endo's affiliates, then Executive will fulfill Executive's duties as such director or officer without additional compensation.</w:t>
      </w:r>
    </w:p>
    <w:p>
      <w:pPr>
        <w:spacing w:after="0" w:line="179" w:lineRule="exact"/>
        <w:rPr>
          <w:rFonts w:ascii="Times New Roman" w:cs="Times New Roman" w:eastAsia="Times New Roman" w:hAnsi="Times New Roman"/>
          <w:sz w:val="22"/>
          <w:szCs w:val="22"/>
          <w:color w:val="auto"/>
        </w:rPr>
      </w:pPr>
    </w:p>
    <w:p>
      <w:pPr>
        <w:ind w:left="1300" w:right="980" w:hanging="644"/>
        <w:spacing w:after="0" w:line="271" w:lineRule="auto"/>
        <w:tabs>
          <w:tab w:leader="none" w:pos="129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perform the duties, undertake the responsibilities and exercise the authority customarily performed, undertaken and exercised by persons situated in a similar executive capacity.</w:t>
      </w:r>
    </w:p>
    <w:p>
      <w:pPr>
        <w:spacing w:after="0" w:line="157" w:lineRule="exact"/>
        <w:rPr>
          <w:rFonts w:ascii="Times New Roman" w:cs="Times New Roman" w:eastAsia="Times New Roman" w:hAnsi="Times New Roman"/>
          <w:sz w:val="22"/>
          <w:szCs w:val="22"/>
          <w:color w:val="auto"/>
        </w:rPr>
      </w:pPr>
    </w:p>
    <w:p>
      <w:pPr>
        <w:ind w:left="1300" w:right="100" w:hanging="644"/>
        <w:spacing w:after="0" w:line="248" w:lineRule="auto"/>
        <w:tabs>
          <w:tab w:leader="none" w:pos="129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devote substantially full-time attention to the business and affairs of the Company and its affiliates. Executive may (i) serve on corporate, civic, charitable or non-profit boards or committees, subject in all cases to the prior approval of the board of directors of Endo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 other applicable written policies of the Company and its affiliates as in effect from time to time, and (ii) manage personal and family investments, participate in industry organizations and deliver lectures at educational institutions or events, so long as no such service or activity unreasonably interferes, individually or in the aggregate, with the performance of Executive’s responsibilities hereunder.</w:t>
      </w:r>
    </w:p>
    <w:p>
      <w:pPr>
        <w:spacing w:after="0" w:line="181" w:lineRule="exact"/>
        <w:rPr>
          <w:rFonts w:ascii="Times New Roman" w:cs="Times New Roman" w:eastAsia="Times New Roman" w:hAnsi="Times New Roman"/>
          <w:sz w:val="22"/>
          <w:szCs w:val="22"/>
          <w:color w:val="auto"/>
        </w:rPr>
      </w:pPr>
    </w:p>
    <w:p>
      <w:pPr>
        <w:ind w:left="1300" w:right="360" w:hanging="644"/>
        <w:spacing w:after="0" w:line="271" w:lineRule="auto"/>
        <w:tabs>
          <w:tab w:leader="none" w:pos="129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be subject to and shall abide by each of the personnel and compliance policies of the Company and its affiliates applicable and communicated in writing to senior executives.</w:t>
      </w:r>
    </w:p>
    <w:p>
      <w:pPr>
        <w:spacing w:after="0" w:line="157" w:lineRule="exact"/>
        <w:rPr>
          <w:rFonts w:ascii="Times New Roman" w:cs="Times New Roman" w:eastAsia="Times New Roman" w:hAnsi="Times New Roman"/>
          <w:sz w:val="22"/>
          <w:szCs w:val="22"/>
          <w:color w:val="auto"/>
        </w:rPr>
      </w:pPr>
    </w:p>
    <w:p>
      <w:pPr>
        <w:ind w:left="1300" w:right="140" w:hanging="644"/>
        <w:spacing w:after="0" w:line="257" w:lineRule="auto"/>
        <w:tabs>
          <w:tab w:leader="none" w:pos="129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provide services at the Company’s U.S. headquarters in Malvern, Pennsylvania, and will travel to the Company’s Chestnut Ridge, New York location and Endo’s headquarters in Ireland to the extent reasonably necessary and appropriate to fulfill Executive’s duties.</w:t>
      </w:r>
    </w:p>
    <w:p>
      <w:pPr>
        <w:sectPr>
          <w:pgSz w:w="11900" w:h="16838" w:orient="portrait"/>
          <w:cols w:equalWidth="0" w:num="1">
            <w:col w:w="11240"/>
          </w:cols>
          <w:pgMar w:left="320" w:top="122" w:right="339" w:bottom="1440" w:gutter="0" w:footer="0" w:header="0"/>
        </w:sectPr>
      </w:pPr>
    </w:p>
    <w:bookmarkStart w:id="60" w:name="page61"/>
    <w:bookmarkEnd w:id="60"/>
    <w:p>
      <w:pPr>
        <w:spacing w:after="0" w:line="198" w:lineRule="exact"/>
        <w:rPr>
          <w:sz w:val="20"/>
          <w:szCs w:val="20"/>
          <w:color w:val="auto"/>
        </w:rPr>
      </w:pPr>
    </w:p>
    <w:p>
      <w:pPr>
        <w:ind w:left="652" w:hanging="652"/>
        <w:spacing w:after="0"/>
        <w:tabs>
          <w:tab w:leader="none" w:pos="65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Compensation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hanging="644"/>
        <w:spacing w:after="0" w:line="248" w:lineRule="auto"/>
        <w:tabs>
          <w:tab w:leader="none" w:pos="128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agrees to pay or cause to be paid to Executive during the Employment Term a base salary at the rate of $650,000 per annum or such increased amount in accordance with this Section 3(a) (hereinafter referred to as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Such Base Salary shall be payable in accordance with the Company's customary practices applicable to its executives. Such Base Salary shall be reviewed at least annually by the Compensation Committee of the Board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with the first such planned review to occur in February 2021, and may be increased in the sole discretion of the Committee, but not decreased.</w:t>
      </w:r>
    </w:p>
    <w:p>
      <w:pPr>
        <w:spacing w:after="0" w:line="186" w:lineRule="exact"/>
        <w:rPr>
          <w:rFonts w:ascii="Times New Roman" w:cs="Times New Roman" w:eastAsia="Times New Roman" w:hAnsi="Times New Roman"/>
          <w:sz w:val="22"/>
          <w:szCs w:val="22"/>
          <w:color w:val="auto"/>
        </w:rPr>
      </w:pPr>
    </w:p>
    <w:p>
      <w:pPr>
        <w:ind w:left="1292" w:right="60" w:hanging="644"/>
        <w:spacing w:after="0" w:line="245" w:lineRule="auto"/>
        <w:tabs>
          <w:tab w:leader="none" w:pos="128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Incentive Compensation</w:t>
      </w:r>
      <w:r>
        <w:rPr>
          <w:rFonts w:ascii="Times New Roman" w:cs="Times New Roman" w:eastAsia="Times New Roman" w:hAnsi="Times New Roman"/>
          <w:sz w:val="22"/>
          <w:szCs w:val="22"/>
          <w:color w:val="auto"/>
        </w:rPr>
        <w:t>. For each fiscal year of the Company ending during the Employment Term, effective as of the 2020 fiscal year, Executive shall be eligible to receive a target annual cash bonus of 60% of Executive’s Base Salary (such target bonus, as may hereafter be increased,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with the opportunity to receive a maximum annual cash bonus in accordance with the terms of the applicable annual cash bonus plan as in effect from time to time, subject to the achievement of performance targets set by the Committee. Such annual cash bonus ("</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shall be paid in no event later than the 15th day of the third month following the end of the taxable year (of the Company or Executive, whichever is later) in which the performance targets have been achieved. If the parties (following good faith negotiation) fail to enter into a new employment agreement following expiration of the Employment Term and Executive terminates Executive’s employment within ninety (90) days following expiration of the Employment Term under circumstances that would have constituted Good Reason had such termination occurred during the Employment Term or if, during such 90-day period, the Company terminates Executive's employment under circumstances that would not have constituted Cause had such termination occurred during the Employment Term, then the Company shall pay Executive a Pro-Rata Bonus (as defined in Section 8(b)(ii) below) in a lump sum at the time bonuses are payable to other senior executives of the Company.</w:t>
      </w:r>
    </w:p>
    <w:p>
      <w:pPr>
        <w:spacing w:after="0" w:line="189" w:lineRule="exact"/>
        <w:rPr>
          <w:rFonts w:ascii="Times New Roman" w:cs="Times New Roman" w:eastAsia="Times New Roman" w:hAnsi="Times New Roman"/>
          <w:sz w:val="22"/>
          <w:szCs w:val="22"/>
          <w:color w:val="auto"/>
        </w:rPr>
      </w:pPr>
    </w:p>
    <w:p>
      <w:pPr>
        <w:ind w:left="652" w:right="40" w:hanging="652"/>
        <w:spacing w:after="0" w:line="246" w:lineRule="auto"/>
        <w:tabs>
          <w:tab w:leader="none" w:pos="65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Compensation</w:t>
      </w:r>
      <w:r>
        <w:rPr>
          <w:rFonts w:ascii="Times New Roman" w:cs="Times New Roman" w:eastAsia="Times New Roman" w:hAnsi="Times New Roman"/>
          <w:sz w:val="22"/>
          <w:szCs w:val="22"/>
          <w:color w:val="auto"/>
        </w:rPr>
        <w:t>. During the Employment Term, Executive shall be eligible to receive long-term incentive compensation, which may be subject to the achievement of certain performance targets set by the Committee. Beginning with grants made in 2021, Executive shall be eligible to receive long-term incentive compensation awards with a targeted grant date fair market value (as determined in the sole discretion of the Committee) equal to 300% of Executive's Base Salary. Notwithstanding the foregoing, to the extent that the shares available under the Company’s shareholder approved incentive plans are insufficient to make such grant (after taking into account the totality of grants to be made by the Company in a given year), in the Committee’s sole discretion, all or a portion of the long-term incentive compensation may be issued in the form of a cash-based award on terms determined by the Committee. All such equity-based or cash-based awards shall be subject to the terms and conditions set forth in the applicable plan and award agreements, and in all cases shall be as determined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32"/>
          </w:cols>
          <w:pgMar w:left="328" w:top="1440" w:right="339" w:bottom="1440" w:gutter="0" w:footer="0" w:header="0"/>
        </w:sectPr>
      </w:pPr>
    </w:p>
    <w:bookmarkStart w:id="61" w:name="page62"/>
    <w:bookmarkEnd w:id="61"/>
    <w:p>
      <w:pPr>
        <w:spacing w:after="0" w:line="198" w:lineRule="exact"/>
        <w:rPr>
          <w:sz w:val="20"/>
          <w:szCs w:val="20"/>
          <w:color w:val="auto"/>
        </w:rPr>
      </w:pPr>
    </w:p>
    <w:p>
      <w:pPr>
        <w:ind w:left="660"/>
        <w:spacing w:after="0" w:line="262" w:lineRule="auto"/>
        <w:rPr>
          <w:sz w:val="20"/>
          <w:szCs w:val="20"/>
          <w:color w:val="auto"/>
        </w:rPr>
      </w:pPr>
      <w:r>
        <w:rPr>
          <w:rFonts w:ascii="Times New Roman" w:cs="Times New Roman" w:eastAsia="Times New Roman" w:hAnsi="Times New Roman"/>
          <w:sz w:val="21"/>
          <w:szCs w:val="21"/>
          <w:color w:val="auto"/>
        </w:rPr>
        <w:t xml:space="preserve">Committee;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terms and conditions shall be no less favorable than those provided for other senior executives of the Company. If the parties (following good faith negotiation) fail to enter into a new employment agreement following expiration of the Employment Term and Executive terminates Executive’s employment within ninety</w:t>
      </w:r>
    </w:p>
    <w:p>
      <w:pPr>
        <w:spacing w:after="0" w:line="3" w:lineRule="exact"/>
        <w:rPr>
          <w:sz w:val="20"/>
          <w:szCs w:val="20"/>
          <w:color w:val="auto"/>
        </w:rPr>
      </w:pPr>
    </w:p>
    <w:p>
      <w:pPr>
        <w:ind w:left="660"/>
        <w:spacing w:after="0" w:line="244" w:lineRule="auto"/>
        <w:rPr>
          <w:sz w:val="20"/>
          <w:szCs w:val="20"/>
          <w:color w:val="auto"/>
        </w:rPr>
      </w:pPr>
      <w:r>
        <w:rPr>
          <w:rFonts w:ascii="Times New Roman" w:cs="Times New Roman" w:eastAsia="Times New Roman" w:hAnsi="Times New Roman"/>
          <w:sz w:val="22"/>
          <w:szCs w:val="22"/>
          <w:color w:val="auto"/>
        </w:rPr>
        <w:t>(90) days following expiration of the Employment Term under circumstances that would have constituted Good Reason had such termination occurred during the Employment Term or if, during such 90-day period, the Company terminates Executive's employment under circumstances that would not have constituted Cause had such termination occurred during the Employment Term, then such termination of employment shall be treated as a termination of employment for "Good Reason" or without Cause, as applicable, for purposes of the performance-based restricted stock units held by Executive as of the date of such termination of employment (and such awards shall be treated in accordance with the terms of the applicable award agreements).</w:t>
      </w:r>
    </w:p>
    <w:p>
      <w:pPr>
        <w:spacing w:after="0" w:line="18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300" w:right="40" w:hanging="644"/>
        <w:spacing w:after="0" w:line="257" w:lineRule="auto"/>
        <w:tabs>
          <w:tab w:leader="none" w:pos="129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 During the Employment Term, Executive shall be entitled to participate in all employee benefit plans, practices and programs maintained by the Company or its affiliates and made available to similarly situated employees generally, including all pension, retirement, profit sharing, savings, medical, hospitalization, disability, dental, life or travel accident insurance benefit plans, to the extent Executive is eligible under the terms of such plans. Executive's participation in such plans, practices and programs shall be on the same basis and terms as are applicable to employees of the Company generally. During the Employment Term, Executive shall also be entitled to participate in all executive benefit plans and entitled to all fringe benefits and perquisites generally made available by the Company or its affiliates to its senior executives in accordance with current Company policy now maintained or hereafter established by the Company or its affiliates for the purpose of providing executive benefits or perquisites to comparable executive employees of the Company including, but not limited to, the Company’s supplemental retirement, deferred compensation, supplemental medical or life insurance plans. Unless otherwise provided herein, Executive’s participation in such plans and programs shall be on the same basis and terms as other senior executives of the Company. No additional compensation provided under any such plans shall be deemed to modify or otherwise affect the terms of this Agreement or any of Executive’s entitlements hereunder. Executive is responsible for any taxes (other than taxes that are the Company's responsibility) that may be due based upon the value of the benefits or perquisites provided pursuant to this Agreement, whether provided during or following the Employment Term. For the avoidance of doubt, Executive shall not be entitled to any excise tax gross-up under Section 280G or Section 4999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(or any successor provision), or any other tax gross-up.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98" w:lineRule="exact"/>
        <w:rPr>
          <w:sz w:val="20"/>
          <w:szCs w:val="20"/>
          <w:color w:val="auto"/>
        </w:rPr>
      </w:pPr>
    </w:p>
    <w:p>
      <w:pPr>
        <w:ind w:left="1292" w:right="40" w:hanging="644"/>
        <w:spacing w:after="0" w:line="250" w:lineRule="auto"/>
        <w:tabs>
          <w:tab w:leader="none" w:pos="128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Upon submission of proper invoices in accordance with the Company's normal procedures, Executive shall be entitled to receive prompt reimbursement of all reasonable out-of-pocket business, entertainment and travel expenses incurred by Executive in connection with the performance of Executive's duties hereunder. Such reimbursement shall be made in no event later than the end of the calendar year following the calendar year in which the expenses were incurred.</w:t>
      </w:r>
    </w:p>
    <w:p>
      <w:pPr>
        <w:spacing w:after="0" w:line="180" w:lineRule="exact"/>
        <w:rPr>
          <w:rFonts w:ascii="Times New Roman" w:cs="Times New Roman" w:eastAsia="Times New Roman" w:hAnsi="Times New Roman"/>
          <w:sz w:val="22"/>
          <w:szCs w:val="22"/>
          <w:color w:val="auto"/>
        </w:rPr>
      </w:pPr>
    </w:p>
    <w:p>
      <w:pPr>
        <w:ind w:left="1292" w:right="40" w:hanging="644"/>
        <w:spacing w:after="0" w:line="257" w:lineRule="auto"/>
        <w:tabs>
          <w:tab w:leader="none" w:pos="128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 and Facilities</w:t>
      </w:r>
      <w:r>
        <w:rPr>
          <w:rFonts w:ascii="Times New Roman" w:cs="Times New Roman" w:eastAsia="Times New Roman" w:hAnsi="Times New Roman"/>
          <w:sz w:val="22"/>
          <w:szCs w:val="22"/>
          <w:color w:val="auto"/>
        </w:rPr>
        <w:t>. During the Employment Term, Executive shall be provided with an appropriate office, with such secretarial and other support facilities as are commensurate with Executive's status with the Company and its affiliates, which facilities shall be adequate for the performance of Executive's duties hereunder.</w:t>
      </w:r>
    </w:p>
    <w:p>
      <w:pPr>
        <w:spacing w:after="0" w:line="172" w:lineRule="exact"/>
        <w:rPr>
          <w:rFonts w:ascii="Times New Roman" w:cs="Times New Roman" w:eastAsia="Times New Roman" w:hAnsi="Times New Roman"/>
          <w:sz w:val="22"/>
          <w:szCs w:val="22"/>
          <w:color w:val="auto"/>
        </w:rPr>
      </w:pPr>
    </w:p>
    <w:p>
      <w:pPr>
        <w:ind w:left="1292" w:right="240" w:hanging="644"/>
        <w:spacing w:after="0" w:line="271" w:lineRule="auto"/>
        <w:tabs>
          <w:tab w:leader="none" w:pos="1287"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 and Sick Leave</w:t>
      </w:r>
      <w:r>
        <w:rPr>
          <w:rFonts w:ascii="Times New Roman" w:cs="Times New Roman" w:eastAsia="Times New Roman" w:hAnsi="Times New Roman"/>
          <w:sz w:val="22"/>
          <w:szCs w:val="22"/>
          <w:color w:val="auto"/>
        </w:rPr>
        <w:t>. Executive shall be entitled, without loss of pay, to absent himself voluntarily from the performance of Executive's employment under this Agreement, pursuant to the following:</w:t>
      </w:r>
    </w:p>
    <w:p>
      <w:pPr>
        <w:spacing w:after="0" w:line="157" w:lineRule="exact"/>
        <w:rPr>
          <w:rFonts w:ascii="Times New Roman" w:cs="Times New Roman" w:eastAsia="Times New Roman" w:hAnsi="Times New Roman"/>
          <w:sz w:val="22"/>
          <w:szCs w:val="22"/>
          <w:color w:val="auto"/>
        </w:rPr>
      </w:pPr>
    </w:p>
    <w:p>
      <w:pPr>
        <w:ind w:left="1952" w:right="120" w:hanging="860"/>
        <w:spacing w:after="0" w:line="271" w:lineRule="auto"/>
        <w:tabs>
          <w:tab w:leader="none" w:pos="1952"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be entitled to annual vacation in accordance with the vacation policies of the Company as in effect from time to time, which shall in no event be less than four weeks per year; and</w:t>
      </w:r>
    </w:p>
    <w:p>
      <w:pPr>
        <w:spacing w:after="0" w:line="157" w:lineRule="exact"/>
        <w:rPr>
          <w:rFonts w:ascii="Times New Roman" w:cs="Times New Roman" w:eastAsia="Times New Roman" w:hAnsi="Times New Roman"/>
          <w:sz w:val="22"/>
          <w:szCs w:val="22"/>
          <w:color w:val="auto"/>
        </w:rPr>
      </w:pPr>
    </w:p>
    <w:p>
      <w:pPr>
        <w:ind w:left="1952" w:hanging="919"/>
        <w:spacing w:after="0" w:line="271" w:lineRule="auto"/>
        <w:tabs>
          <w:tab w:leader="none" w:pos="1952"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be entitled to sick leave (without loss of pay) in accordance with the Company's policies as in effect from time to time.</w:t>
      </w:r>
    </w:p>
    <w:p>
      <w:pPr>
        <w:spacing w:after="0" w:line="157" w:lineRule="exact"/>
        <w:rPr>
          <w:rFonts w:ascii="Times New Roman" w:cs="Times New Roman" w:eastAsia="Times New Roman" w:hAnsi="Times New Roman"/>
          <w:sz w:val="22"/>
          <w:szCs w:val="22"/>
          <w:color w:val="auto"/>
        </w:rPr>
      </w:pPr>
    </w:p>
    <w:p>
      <w:pPr>
        <w:ind w:left="652" w:right="20" w:hanging="652"/>
        <w:spacing w:after="0" w:line="250" w:lineRule="auto"/>
        <w:tabs>
          <w:tab w:leader="none" w:pos="65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xml:space="preserve">. The Employment Term and Executive's employment hereunder may be terminated under the circumstances set forth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anything contained herein to the contrary, Executive shall not be considered to have terminated employment with the Company for purposes of this Agreement unless Executive would be considered to have incurred a "separation from service" from the Company within the meaning of Section 409A of the Code.</w:t>
      </w:r>
    </w:p>
    <w:p>
      <w:pPr>
        <w:spacing w:after="0" w:line="180" w:lineRule="exact"/>
        <w:rPr>
          <w:rFonts w:ascii="Times New Roman" w:cs="Times New Roman" w:eastAsia="Times New Roman" w:hAnsi="Times New Roman"/>
          <w:sz w:val="22"/>
          <w:szCs w:val="22"/>
          <w:color w:val="auto"/>
        </w:rPr>
      </w:pPr>
    </w:p>
    <w:p>
      <w:pPr>
        <w:ind w:left="1292" w:hanging="644"/>
        <w:spacing w:after="0" w:line="260" w:lineRule="auto"/>
        <w:tabs>
          <w:tab w:leader="none" w:pos="1289"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The Company may terminate Executive's employment, on written notice to Executive after having reasonably established Executive's Disability. For purposes of this Agreement, Executive will be deemed to have a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if, as a result of any medically determinable physical or mental impairment that can be expected to result in death or can be expected to last for a continuous period of not less than twelve (12) months, Executive is unable to perform the core functions of Executive's position (with or without reasonable accommodation) or is receiving income replacement benefits for a period of six (6) months or more under the Company's long-term disability plan. Executive shall be entitled to the compensation and benefits provided for under this Agreement for any period prior to Executive's termination by reason of Disability during which Executive is unable to work due to a physical or mental infirmity in accordance with the Company's policies for similarly situated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92"/>
          </w:cols>
          <w:pgMar w:left="328" w:top="1440" w:right="379" w:bottom="1440" w:gutter="0" w:footer="0" w:header="0"/>
        </w:sectPr>
      </w:pPr>
    </w:p>
    <w:bookmarkStart w:id="63" w:name="page64"/>
    <w:bookmarkEnd w:id="63"/>
    <w:p>
      <w:pPr>
        <w:spacing w:after="0" w:line="198" w:lineRule="exact"/>
        <w:rPr>
          <w:sz w:val="20"/>
          <w:szCs w:val="20"/>
          <w:color w:val="auto"/>
        </w:rPr>
      </w:pPr>
    </w:p>
    <w:p>
      <w:pPr>
        <w:ind w:left="644" w:hanging="644"/>
        <w:spacing w:after="0"/>
        <w:tabs>
          <w:tab w:leader="none" w:pos="6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shall be terminated as of the date of Executive's death.</w:t>
      </w:r>
    </w:p>
    <w:p>
      <w:pPr>
        <w:spacing w:after="0" w:line="219" w:lineRule="exact"/>
        <w:rPr>
          <w:rFonts w:ascii="Times New Roman" w:cs="Times New Roman" w:eastAsia="Times New Roman" w:hAnsi="Times New Roman"/>
          <w:sz w:val="22"/>
          <w:szCs w:val="22"/>
          <w:color w:val="auto"/>
        </w:rPr>
      </w:pPr>
    </w:p>
    <w:p>
      <w:pPr>
        <w:ind w:left="644" w:right="120" w:hanging="644"/>
        <w:spacing w:after="0" w:line="257" w:lineRule="auto"/>
        <w:tabs>
          <w:tab w:leader="none" w:pos="64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The Company may terminate Executive's employment for Cause (as defined below), effective as of the date of the Notice of Termination (as defined in Section 7 below) that notifies Executive of Executive’s termination for Cause. "Cause" shall mean, for purposes of this Agreement: (i) the continued failure by Executive to use good faith efforts in the performance of Executive's duties under this Agreement (other than any such failure resulting from Disability or other allowable leave of absence); (ii) the criminal felony indictment (or non-U.S. equivalent) of Executive by a court of competent jurisdiction; (iii) the engagement by Executive in misconduct that has caused, or, is reasonably likely to cause, material harm (financial or otherwise) to the Company, including (A) the unauthorized disclosure of material secret or Confidential Information (as defined in Section 10(d) below) of the Company, (B) the debarment of the Company by the U.S. Food and Drug Administration or any successor agency (the "</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or any non-U.S. equivalent, or (C) the registration of the Company with the U.S. Drug Enforcement Administration of any successor agency (the "</w:t>
      </w:r>
      <w:r>
        <w:rPr>
          <w:rFonts w:ascii="Times New Roman" w:cs="Times New Roman" w:eastAsia="Times New Roman" w:hAnsi="Times New Roman"/>
          <w:sz w:val="21"/>
          <w:szCs w:val="21"/>
          <w:u w:val="single" w:color="auto"/>
          <w:color w:val="auto"/>
        </w:rPr>
        <w:t>DEA</w:t>
      </w:r>
      <w:r>
        <w:rPr>
          <w:rFonts w:ascii="Times New Roman" w:cs="Times New Roman" w:eastAsia="Times New Roman" w:hAnsi="Times New Roman"/>
          <w:sz w:val="21"/>
          <w:szCs w:val="21"/>
          <w:color w:val="auto"/>
        </w:rPr>
        <w:t>") being revoked;</w:t>
      </w:r>
    </w:p>
    <w:p>
      <w:pPr>
        <w:spacing w:after="0" w:line="1" w:lineRule="exact"/>
        <w:rPr>
          <w:rFonts w:ascii="Times New Roman" w:cs="Times New Roman" w:eastAsia="Times New Roman" w:hAnsi="Times New Roman"/>
          <w:sz w:val="21"/>
          <w:szCs w:val="21"/>
          <w:color w:val="auto"/>
        </w:rPr>
      </w:pPr>
    </w:p>
    <w:p>
      <w:pPr>
        <w:ind w:left="1024" w:hanging="376"/>
        <w:spacing w:after="0"/>
        <w:tabs>
          <w:tab w:leader="none" w:pos="102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debarment of Executive by the FDA; (v) the continued material breach by Executive of this Agreement;</w:t>
      </w:r>
    </w:p>
    <w:p>
      <w:pPr>
        <w:spacing w:after="0" w:line="3" w:lineRule="exact"/>
        <w:rPr>
          <w:rFonts w:ascii="Times New Roman" w:cs="Times New Roman" w:eastAsia="Times New Roman" w:hAnsi="Times New Roman"/>
          <w:sz w:val="22"/>
          <w:szCs w:val="22"/>
          <w:color w:val="auto"/>
        </w:rPr>
      </w:pPr>
    </w:p>
    <w:p>
      <w:pPr>
        <w:ind w:left="644" w:firstLine="4"/>
        <w:spacing w:after="0" w:line="243" w:lineRule="auto"/>
        <w:tabs>
          <w:tab w:leader="none" w:pos="101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by Executive of a Company policy; (vii) any breach by Executive of a Company policy related to sexual or other types of harassment or abusive conduct; or (viii) Executive making, or being found to have made, a certification relating to the Company's financial statements and public filings that is known to Executive to be false. Notwithstanding the foregoing, prior to having Cause for Executive's termination (other than as described in clauses (ii), (iv) and (vii) above), the Company must deliver a written demand to Executive which specifically identifies the conduct that may provide grounds for Cause within ninety (90) calendar days of the Company's actual knowledge of such conduct, events or circumstances, and Executive must have failed to cure such conduct (if curable) within thirty (30) days after such demand. References to the Company in subsections (i) through (viii) of this paragraph shall also include affiliates of the Company.</w:t>
      </w:r>
    </w:p>
    <w:p>
      <w:pPr>
        <w:spacing w:after="0" w:line="195" w:lineRule="exact"/>
        <w:rPr>
          <w:rFonts w:ascii="Times New Roman" w:cs="Times New Roman" w:eastAsia="Times New Roman" w:hAnsi="Times New Roman"/>
          <w:sz w:val="22"/>
          <w:szCs w:val="22"/>
          <w:color w:val="auto"/>
        </w:rPr>
      </w:pPr>
    </w:p>
    <w:p>
      <w:pPr>
        <w:ind w:left="644" w:right="100" w:hanging="644"/>
        <w:spacing w:after="0" w:line="250" w:lineRule="auto"/>
        <w:tabs>
          <w:tab w:leader="none" w:pos="6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Cause</w:t>
      </w:r>
      <w:r>
        <w:rPr>
          <w:rFonts w:ascii="Times New Roman" w:cs="Times New Roman" w:eastAsia="Times New Roman" w:hAnsi="Times New Roman"/>
          <w:sz w:val="22"/>
          <w:szCs w:val="22"/>
          <w:color w:val="auto"/>
        </w:rPr>
        <w:t>. The Company may terminate Executive's employment without Cause. The Company shall deliver to Executive a Notice of Termination (as defined in Section 7 below) not less than thirty (30) days prior to the termination of Executive's employment without Cause and the Company shall have the option of terminating Executive's duties and responsibilities prior to the expiration of such thirty-day notice period, provided the Company pays Base Salary through the end of such notice period.</w:t>
      </w:r>
    </w:p>
    <w:p>
      <w:pPr>
        <w:spacing w:after="0" w:line="180" w:lineRule="exact"/>
        <w:rPr>
          <w:rFonts w:ascii="Times New Roman" w:cs="Times New Roman" w:eastAsia="Times New Roman" w:hAnsi="Times New Roman"/>
          <w:sz w:val="22"/>
          <w:szCs w:val="22"/>
          <w:color w:val="auto"/>
        </w:rPr>
      </w:pPr>
    </w:p>
    <w:p>
      <w:pPr>
        <w:ind w:left="644" w:right="260" w:hanging="644"/>
        <w:spacing w:after="0" w:line="257" w:lineRule="auto"/>
        <w:tabs>
          <w:tab w:leader="none" w:pos="64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Executive may terminate employment with the Company for Good Reason (as defined below) by delivering to the Company a Notice of Termination not less than thirty (30) days prior to the termination of Executive's employment for Good Reason. The Company shall have the option of terminating Executive's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4"/>
          </w:cols>
          <w:pgMar w:left="976" w:top="1440" w:right="339" w:bottom="1440" w:gutter="0" w:footer="0" w:header="0"/>
        </w:sectPr>
      </w:pPr>
    </w:p>
    <w:bookmarkStart w:id="64" w:name="page65"/>
    <w:bookmarkEnd w:id="64"/>
    <w:p>
      <w:pPr>
        <w:spacing w:after="0" w:line="198" w:lineRule="exact"/>
        <w:rPr>
          <w:sz w:val="20"/>
          <w:szCs w:val="20"/>
          <w:color w:val="auto"/>
        </w:rPr>
      </w:pPr>
    </w:p>
    <w:p>
      <w:pPr>
        <w:ind w:left="1292"/>
        <w:spacing w:after="0" w:line="245" w:lineRule="auto"/>
        <w:rPr>
          <w:sz w:val="20"/>
          <w:szCs w:val="20"/>
          <w:color w:val="auto"/>
        </w:rPr>
      </w:pPr>
      <w:r>
        <w:rPr>
          <w:rFonts w:ascii="Times New Roman" w:cs="Times New Roman" w:eastAsia="Times New Roman" w:hAnsi="Times New Roman"/>
          <w:sz w:val="22"/>
          <w:szCs w:val="22"/>
          <w:color w:val="auto"/>
        </w:rPr>
        <w:t>duties and responsibilities prior to the expiration of such thirty-day notice period provided the Company pays Base Salary through the end of such notice period. For purposes of this Agreement, "Good Reason" means any of the following without Executive's written consent: (i) a diminution in Executive's Base Salary, a material diminution in Target Bonus (provided that failure to earn a bonus equal to or in excess of the Target Bonus by reason of failure to achieve applicable performance goals shall not be deemed Good Reason) or material diminution in benefits; (ii) a material diminution of Executive’s position, responsibilities, duties or authorities from those in effect as of the Effective Date; (iii) any change in reporting structure such that Executive is required to report to someone other than Endo's President and Chief Executive Officer, the Board or a committee of the Board; (iv) any material breach by the Company of its obligations under this Agreement; or (v) the Company requiring Executive to be based at any office or location that increases the length of Executive’s commute by more than fifty (50) miles. Executive shall provide notice of the existence of the Good Reason condition within ninety (90) days of the date Executive learns of the condition, and the Company shall have a period of thirty (30) days during which it may remedy the condition, and in case of full remedy such condition shall not be deemed to constitute Good Reason hereunder.</w:t>
      </w:r>
    </w:p>
    <w:p>
      <w:pPr>
        <w:spacing w:after="0" w:line="192" w:lineRule="exact"/>
        <w:rPr>
          <w:sz w:val="20"/>
          <w:szCs w:val="20"/>
          <w:color w:val="auto"/>
        </w:rPr>
      </w:pPr>
    </w:p>
    <w:p>
      <w:pPr>
        <w:ind w:left="1292" w:right="340" w:hanging="644"/>
        <w:spacing w:after="0" w:line="250" w:lineRule="auto"/>
        <w:tabs>
          <w:tab w:leader="none" w:pos="129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Without Good Reason</w:t>
      </w:r>
      <w:r>
        <w:rPr>
          <w:rFonts w:ascii="Times New Roman" w:cs="Times New Roman" w:eastAsia="Times New Roman" w:hAnsi="Times New Roman"/>
          <w:sz w:val="22"/>
          <w:szCs w:val="22"/>
          <w:color w:val="auto"/>
        </w:rPr>
        <w:t>. Executive may voluntarily terminate Executive's employment without Good Reason by delivering to the Company a Notice of Termination not less than thirty (30) days prior to the termination of Executive's employment and the Company shall have the option of terminating Executive's duties and responsibilities prior to the expiration of such thirty-day notice period provided the Company shall not be obligated to pay any amount through the end of such notice period.</w:t>
      </w:r>
    </w:p>
    <w:p>
      <w:pPr>
        <w:spacing w:after="0" w:line="180" w:lineRule="exact"/>
        <w:rPr>
          <w:rFonts w:ascii="Times New Roman" w:cs="Times New Roman" w:eastAsia="Times New Roman" w:hAnsi="Times New Roman"/>
          <w:sz w:val="22"/>
          <w:szCs w:val="22"/>
          <w:color w:val="auto"/>
        </w:rPr>
      </w:pPr>
    </w:p>
    <w:p>
      <w:pPr>
        <w:ind w:left="652" w:right="60" w:hanging="652"/>
        <w:spacing w:after="0" w:line="248" w:lineRule="auto"/>
        <w:tabs>
          <w:tab w:leader="none" w:pos="65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purported termination by the Company or by Executive shall be communicated by written Notice of Termination to the other party hereto. For purposes of this Agreement,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mean a notice that indicates a termination date, the specific termination provision in this Agreement relied upon and sets forth in reasonable detail the facts and circumstances claimed to provide a basis for termination of Executive's employment under the provision so indicated. For purposes of this Agreement, no such purported termination of Executive's employment hereunder shall be effective without such Notice of Termination (unless waived by the party entitled to receive such notice).</w:t>
      </w:r>
    </w:p>
    <w:p>
      <w:pPr>
        <w:spacing w:after="0" w:line="181" w:lineRule="exact"/>
        <w:rPr>
          <w:rFonts w:ascii="Times New Roman" w:cs="Times New Roman" w:eastAsia="Times New Roman" w:hAnsi="Times New Roman"/>
          <w:sz w:val="22"/>
          <w:szCs w:val="22"/>
          <w:color w:val="auto"/>
        </w:rPr>
      </w:pPr>
    </w:p>
    <w:p>
      <w:pPr>
        <w:ind w:left="652" w:right="40" w:hanging="652"/>
        <w:spacing w:after="0" w:line="271" w:lineRule="auto"/>
        <w:tabs>
          <w:tab w:leader="none" w:pos="65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w:t>
      </w:r>
      <w:r>
        <w:rPr>
          <w:rFonts w:ascii="Times New Roman" w:cs="Times New Roman" w:eastAsia="Times New Roman" w:hAnsi="Times New Roman"/>
          <w:sz w:val="22"/>
          <w:szCs w:val="22"/>
          <w:color w:val="auto"/>
        </w:rPr>
        <w:t>. Upon termination of Executive's employment during the Employment Term, Executive shall be entitled to the following benefits:</w:t>
      </w:r>
    </w:p>
    <w:p>
      <w:pPr>
        <w:spacing w:after="0" w:line="157" w:lineRule="exact"/>
        <w:rPr>
          <w:rFonts w:ascii="Times New Roman" w:cs="Times New Roman" w:eastAsia="Times New Roman" w:hAnsi="Times New Roman"/>
          <w:sz w:val="22"/>
          <w:szCs w:val="22"/>
          <w:color w:val="auto"/>
        </w:rPr>
      </w:pPr>
    </w:p>
    <w:p>
      <w:pPr>
        <w:ind w:left="1292" w:right="200" w:hanging="644"/>
        <w:spacing w:after="0" w:line="295" w:lineRule="auto"/>
        <w:tabs>
          <w:tab w:leader="none" w:pos="128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for Cause or by Executive Without Good Reason</w:t>
      </w:r>
      <w:r>
        <w:rPr>
          <w:rFonts w:ascii="Times New Roman" w:cs="Times New Roman" w:eastAsia="Times New Roman" w:hAnsi="Times New Roman"/>
          <w:sz w:val="21"/>
          <w:szCs w:val="21"/>
          <w:color w:val="auto"/>
        </w:rPr>
        <w:t>. If Executive's employment is terminated by the Company for Cause or by Executive without Good Reason, the Company shall pay Executive:</w:t>
      </w:r>
    </w:p>
    <w:p>
      <w:pPr>
        <w:spacing w:after="0" w:line="135" w:lineRule="exact"/>
        <w:rPr>
          <w:rFonts w:ascii="Times New Roman" w:cs="Times New Roman" w:eastAsia="Times New Roman" w:hAnsi="Times New Roman"/>
          <w:sz w:val="21"/>
          <w:szCs w:val="21"/>
          <w:color w:val="auto"/>
        </w:rPr>
      </w:pPr>
    </w:p>
    <w:p>
      <w:pPr>
        <w:ind w:left="1952" w:hanging="860"/>
        <w:spacing w:after="0"/>
        <w:tabs>
          <w:tab w:leader="none" w:pos="1952"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accrued and unpaid Base Salary, payable on the next payroll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12"/>
          </w:cols>
          <w:pgMar w:left="328" w:top="1440" w:right="359" w:bottom="1440" w:gutter="0" w:footer="0" w:header="0"/>
        </w:sectPr>
      </w:pPr>
    </w:p>
    <w:bookmarkStart w:id="65" w:name="page66"/>
    <w:bookmarkEnd w:id="65"/>
    <w:p>
      <w:pPr>
        <w:spacing w:after="0" w:line="198" w:lineRule="exact"/>
        <w:rPr>
          <w:sz w:val="20"/>
          <w:szCs w:val="20"/>
          <w:color w:val="auto"/>
        </w:rPr>
      </w:pPr>
    </w:p>
    <w:p>
      <w:pPr>
        <w:ind w:left="1304" w:right="400" w:hanging="919"/>
        <w:spacing w:after="0" w:line="295" w:lineRule="auto"/>
        <w:tabs>
          <w:tab w:leader="none" w:pos="1304"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Incentive Compensation earned but unpaid in respect of any completed fiscal year preceding the termination date, payable at the time annual incentive compensation is paid to other senior executives;</w:t>
      </w:r>
    </w:p>
    <w:p>
      <w:pPr>
        <w:spacing w:after="0" w:line="135" w:lineRule="exact"/>
        <w:rPr>
          <w:rFonts w:ascii="Times New Roman" w:cs="Times New Roman" w:eastAsia="Times New Roman" w:hAnsi="Times New Roman"/>
          <w:sz w:val="21"/>
          <w:szCs w:val="21"/>
          <w:color w:val="auto"/>
        </w:rPr>
      </w:pPr>
    </w:p>
    <w:p>
      <w:pPr>
        <w:ind w:left="1304" w:right="40" w:hanging="979"/>
        <w:spacing w:after="0" w:line="252" w:lineRule="auto"/>
        <w:tabs>
          <w:tab w:leader="none" w:pos="130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for any and all monies advanced or expenses incurred in connection with Executive's employment for reasonable and necessary expenses incurred by Executive on behalf of the Company for the period ending on the termination date, which amount shall be reimbursed within thirty (30) days of the Company's receipt of proper documentation from Executive;</w:t>
      </w:r>
    </w:p>
    <w:p>
      <w:pPr>
        <w:spacing w:after="0" w:line="179" w:lineRule="exact"/>
        <w:rPr>
          <w:rFonts w:ascii="Times New Roman" w:cs="Times New Roman" w:eastAsia="Times New Roman" w:hAnsi="Times New Roman"/>
          <w:sz w:val="22"/>
          <w:szCs w:val="22"/>
          <w:color w:val="auto"/>
        </w:rPr>
      </w:pPr>
    </w:p>
    <w:p>
      <w:pPr>
        <w:ind w:left="1304" w:hanging="968"/>
        <w:spacing w:after="0"/>
        <w:tabs>
          <w:tab w:leader="none" w:pos="130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accrued and unpaid vacation pay, payable on the next payroll date;</w:t>
      </w:r>
    </w:p>
    <w:p>
      <w:pPr>
        <w:spacing w:after="0" w:line="219" w:lineRule="exact"/>
        <w:rPr>
          <w:rFonts w:ascii="Times New Roman" w:cs="Times New Roman" w:eastAsia="Times New Roman" w:hAnsi="Times New Roman"/>
          <w:sz w:val="22"/>
          <w:szCs w:val="22"/>
          <w:color w:val="auto"/>
        </w:rPr>
      </w:pPr>
    </w:p>
    <w:p>
      <w:pPr>
        <w:ind w:left="1304" w:right="100" w:hanging="907"/>
        <w:spacing w:after="0" w:line="252" w:lineRule="auto"/>
        <w:tabs>
          <w:tab w:leader="none" w:pos="130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previous compensation that Executive has previously deferred (including any interest earned or credited thereon), in accordance with the terms and conditions of the applicable deferred compensation plans or arrangements then in effect, to the extent vested as of Executive's termination date, paid pursuant to the terms of such plans or arrangements; and</w:t>
      </w:r>
    </w:p>
    <w:p>
      <w:pPr>
        <w:spacing w:after="0" w:line="179" w:lineRule="exact"/>
        <w:rPr>
          <w:rFonts w:ascii="Times New Roman" w:cs="Times New Roman" w:eastAsia="Times New Roman" w:hAnsi="Times New Roman"/>
          <w:sz w:val="22"/>
          <w:szCs w:val="22"/>
          <w:color w:val="auto"/>
        </w:rPr>
      </w:pPr>
    </w:p>
    <w:p>
      <w:pPr>
        <w:ind w:left="1304" w:right="60" w:hanging="968"/>
        <w:spacing w:after="0" w:line="257" w:lineRule="auto"/>
        <w:tabs>
          <w:tab w:leader="none" w:pos="130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or benefit as provided under any benefit plan or program in accordance with the terms thereof (the foregoing items in Sections 8(a)(i) through 8(a)(vi) being collectively referred to as the "</w:t>
      </w:r>
      <w:r>
        <w:rPr>
          <w:rFonts w:ascii="Times New Roman" w:cs="Times New Roman" w:eastAsia="Times New Roman" w:hAnsi="Times New Roman"/>
          <w:sz w:val="22"/>
          <w:szCs w:val="22"/>
          <w:u w:val="single" w:color="auto"/>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644" w:right="740" w:hanging="644"/>
        <w:spacing w:after="0" w:line="271" w:lineRule="auto"/>
        <w:tabs>
          <w:tab w:leader="none" w:pos="6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Disability</w:t>
      </w:r>
      <w:r>
        <w:rPr>
          <w:rFonts w:ascii="Times New Roman" w:cs="Times New Roman" w:eastAsia="Times New Roman" w:hAnsi="Times New Roman"/>
          <w:sz w:val="22"/>
          <w:szCs w:val="22"/>
          <w:color w:val="auto"/>
        </w:rPr>
        <w:t>. If Executive's employment is terminated by the Company for Disability, the Company shall pay Executive:</w:t>
      </w:r>
    </w:p>
    <w:p>
      <w:pPr>
        <w:spacing w:after="0" w:line="157" w:lineRule="exact"/>
        <w:rPr>
          <w:rFonts w:ascii="Times New Roman" w:cs="Times New Roman" w:eastAsia="Times New Roman" w:hAnsi="Times New Roman"/>
          <w:sz w:val="22"/>
          <w:szCs w:val="22"/>
          <w:color w:val="auto"/>
        </w:rPr>
      </w:pPr>
    </w:p>
    <w:p>
      <w:pPr>
        <w:ind w:left="1304" w:hanging="860"/>
        <w:spacing w:after="0"/>
        <w:tabs>
          <w:tab w:leader="none" w:pos="130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Compensation;</w:t>
      </w:r>
    </w:p>
    <w:p>
      <w:pPr>
        <w:spacing w:after="0" w:line="219" w:lineRule="exact"/>
        <w:rPr>
          <w:rFonts w:ascii="Times New Roman" w:cs="Times New Roman" w:eastAsia="Times New Roman" w:hAnsi="Times New Roman"/>
          <w:sz w:val="22"/>
          <w:szCs w:val="22"/>
          <w:color w:val="auto"/>
        </w:rPr>
      </w:pPr>
    </w:p>
    <w:p>
      <w:pPr>
        <w:ind w:left="1304" w:right="140" w:hanging="919"/>
        <w:spacing w:after="0" w:line="258" w:lineRule="auto"/>
        <w:tabs>
          <w:tab w:leader="none" w:pos="1304"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the Incentive Compensation that Executive would have been entitled to receive in respect of the fiscal year in which Executive's termination date occurs, had Executive continued in employment until the end of such fiscal year, which amount, determined based on actual performance for such year relative to the performance goals applicable to Executive (but without any exercise of negative discretion with respect to Executive in excess of that applied to either senior executives of the Company generally or in accordance with the Company's historical past practice), shall be multiplied by a fraction</w:t>
      </w:r>
    </w:p>
    <w:p>
      <w:pPr>
        <w:spacing w:after="0" w:line="5" w:lineRule="exact"/>
        <w:rPr>
          <w:rFonts w:ascii="Times New Roman" w:cs="Times New Roman" w:eastAsia="Times New Roman" w:hAnsi="Times New Roman"/>
          <w:sz w:val="21"/>
          <w:szCs w:val="21"/>
          <w:color w:val="auto"/>
        </w:rPr>
      </w:pPr>
    </w:p>
    <w:p>
      <w:pPr>
        <w:ind w:left="1304"/>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the numerator of which is the number of days in such fiscal year through the termination date and (B) the denominator of which is 365 (the "</w:t>
      </w:r>
      <w:r>
        <w:rPr>
          <w:rFonts w:ascii="Times New Roman" w:cs="Times New Roman" w:eastAsia="Times New Roman" w:hAnsi="Times New Roman"/>
          <w:sz w:val="22"/>
          <w:szCs w:val="22"/>
          <w:u w:val="single" w:color="auto"/>
          <w:color w:val="auto"/>
        </w:rPr>
        <w:t>Pro-Rata Bonus</w:t>
      </w:r>
      <w:r>
        <w:rPr>
          <w:rFonts w:ascii="Times New Roman" w:cs="Times New Roman" w:eastAsia="Times New Roman" w:hAnsi="Times New Roman"/>
          <w:sz w:val="22"/>
          <w:szCs w:val="22"/>
          <w:color w:val="auto"/>
        </w:rPr>
        <w:t>") and shall be payable in a lump sum payment at the time such bonus or annual incentive awards are payable to other participants. Further, upon Executive's Disability (irrespective of any termination of employment related thereto), the Company shall pay Executive for twenty-four (24) consecutive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24"/>
          </w:cols>
          <w:pgMar w:left="976" w:top="1440" w:right="399" w:bottom="1440" w:gutter="0" w:footer="0" w:header="0"/>
        </w:sectPr>
      </w:pPr>
    </w:p>
    <w:bookmarkStart w:id="66" w:name="page67"/>
    <w:bookmarkEnd w:id="66"/>
    <w:p>
      <w:pPr>
        <w:spacing w:after="0" w:line="198" w:lineRule="exact"/>
        <w:rPr>
          <w:sz w:val="20"/>
          <w:szCs w:val="20"/>
          <w:color w:val="auto"/>
        </w:rPr>
      </w:pPr>
    </w:p>
    <w:p>
      <w:pPr>
        <w:ind w:left="1304" w:right="100"/>
        <w:spacing w:after="0" w:line="271" w:lineRule="auto"/>
        <w:rPr>
          <w:sz w:val="20"/>
          <w:szCs w:val="20"/>
          <w:color w:val="auto"/>
        </w:rPr>
      </w:pPr>
      <w:r>
        <w:rPr>
          <w:rFonts w:ascii="Times New Roman" w:cs="Times New Roman" w:eastAsia="Times New Roman" w:hAnsi="Times New Roman"/>
          <w:sz w:val="22"/>
          <w:szCs w:val="22"/>
          <w:color w:val="auto"/>
        </w:rPr>
        <w:t>thereafter regular payments in the amount by which Executive’s monthly Base Salary exceeds Executive's monthly Disability insurance benefit; and</w:t>
      </w:r>
    </w:p>
    <w:p>
      <w:pPr>
        <w:spacing w:after="0" w:line="158" w:lineRule="exact"/>
        <w:rPr>
          <w:sz w:val="20"/>
          <w:szCs w:val="20"/>
          <w:color w:val="auto"/>
        </w:rPr>
      </w:pPr>
    </w:p>
    <w:p>
      <w:pPr>
        <w:ind w:left="1304" w:hanging="979"/>
        <w:spacing w:after="0" w:line="258" w:lineRule="auto"/>
        <w:tabs>
          <w:tab w:leader="none" w:pos="1304"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continued coverage for Executive and Executive's dependents under any health, medical, dental, vision and basic life insurance (but not supplemental life insurance) program or policy in which Executive was eligible to participate as of the time of Executive's employment termination (as may be amended by the Company from time to time in the ordinary course), for twenty-four (24) months following such termination on the same basis as active employees, which such twenty-four month period shall run concurrently with the COBRA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(x) the Company may instead, in its discretion, provide substantially similar benefits or payment outside of the Company’s benefit plans if the Company reasonably determines that providing such alternative benefits or payment is appropriate to minimize potential adverse tax consequences and penalties; and (y) the coverage provided hereunder shall become secondary to any coverage provided to Executive by a subsequent employer and to any Medicare coverage for which Executive becomes eligible, and it shall be the obligation of Executive to inform the Company if Executive becomes eligible for such subsequent coverage (the “</w:t>
      </w:r>
      <w:r>
        <w:rPr>
          <w:rFonts w:ascii="Times New Roman" w:cs="Times New Roman" w:eastAsia="Times New Roman" w:hAnsi="Times New Roman"/>
          <w:sz w:val="21"/>
          <w:szCs w:val="21"/>
          <w:u w:val="single" w:color="auto"/>
          <w:color w:val="auto"/>
        </w:rPr>
        <w:t>Benefits Continuation</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ind w:left="644" w:right="400" w:hanging="644"/>
        <w:spacing w:after="0" w:line="271" w:lineRule="auto"/>
        <w:tabs>
          <w:tab w:leader="none" w:pos="64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Reason of Death</w:t>
      </w:r>
      <w:r>
        <w:rPr>
          <w:rFonts w:ascii="Times New Roman" w:cs="Times New Roman" w:eastAsia="Times New Roman" w:hAnsi="Times New Roman"/>
          <w:sz w:val="22"/>
          <w:szCs w:val="22"/>
          <w:color w:val="auto"/>
        </w:rPr>
        <w:t>. If Executive's employment is terminated by reason of Executive's death, the Company shall pay Executive's beneficiaries:</w:t>
      </w:r>
    </w:p>
    <w:p>
      <w:pPr>
        <w:spacing w:after="0" w:line="157" w:lineRule="exact"/>
        <w:rPr>
          <w:rFonts w:ascii="Times New Roman" w:cs="Times New Roman" w:eastAsia="Times New Roman" w:hAnsi="Times New Roman"/>
          <w:sz w:val="22"/>
          <w:szCs w:val="22"/>
          <w:color w:val="auto"/>
        </w:rPr>
      </w:pPr>
    </w:p>
    <w:p>
      <w:pPr>
        <w:ind w:left="1304" w:hanging="860"/>
        <w:spacing w:after="0"/>
        <w:tabs>
          <w:tab w:leader="none" w:pos="130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Compensation;</w:t>
      </w:r>
    </w:p>
    <w:p>
      <w:pPr>
        <w:spacing w:after="0" w:line="219" w:lineRule="exact"/>
        <w:rPr>
          <w:rFonts w:ascii="Times New Roman" w:cs="Times New Roman" w:eastAsia="Times New Roman" w:hAnsi="Times New Roman"/>
          <w:sz w:val="22"/>
          <w:szCs w:val="22"/>
          <w:color w:val="auto"/>
        </w:rPr>
      </w:pPr>
    </w:p>
    <w:p>
      <w:pPr>
        <w:ind w:left="1304" w:hanging="919"/>
        <w:spacing w:after="0"/>
        <w:tabs>
          <w:tab w:leader="none" w:pos="130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Pro-Rata Bonus; and</w:t>
      </w:r>
    </w:p>
    <w:p>
      <w:pPr>
        <w:spacing w:after="0" w:line="219" w:lineRule="exact"/>
        <w:rPr>
          <w:rFonts w:ascii="Times New Roman" w:cs="Times New Roman" w:eastAsia="Times New Roman" w:hAnsi="Times New Roman"/>
          <w:sz w:val="22"/>
          <w:szCs w:val="22"/>
          <w:color w:val="auto"/>
        </w:rPr>
      </w:pPr>
    </w:p>
    <w:p>
      <w:pPr>
        <w:ind w:left="1304" w:right="240" w:hanging="979"/>
        <w:spacing w:after="0" w:line="248" w:lineRule="auto"/>
        <w:tabs>
          <w:tab w:leader="none" w:pos="130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coverage for Executive's dependents under any health, medical, dental, vision and basic life insurance (but not supplemental life insurance) program or policy in which Executive was eligible to participate as of the time of Executive's employment termination (as may be amended or replaced by the Company from time to time in the ordinary course), for twenty-four (24) months following such termination on the same basis as the dependents of active employees, which such twenty-four month period shall run concurrently with the COBRA period.</w:t>
      </w:r>
    </w:p>
    <w:p>
      <w:pPr>
        <w:spacing w:after="0" w:line="186" w:lineRule="exact"/>
        <w:rPr>
          <w:rFonts w:ascii="Times New Roman" w:cs="Times New Roman" w:eastAsia="Times New Roman" w:hAnsi="Times New Roman"/>
          <w:sz w:val="22"/>
          <w:szCs w:val="22"/>
          <w:color w:val="auto"/>
        </w:rPr>
      </w:pPr>
    </w:p>
    <w:p>
      <w:pPr>
        <w:ind w:left="644" w:right="480" w:hanging="644"/>
        <w:spacing w:after="0" w:line="257" w:lineRule="auto"/>
        <w:tabs>
          <w:tab w:leader="none" w:pos="63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by Executive for Good Reason</w:t>
      </w:r>
      <w:r>
        <w:rPr>
          <w:rFonts w:ascii="Times New Roman" w:cs="Times New Roman" w:eastAsia="Times New Roman" w:hAnsi="Times New Roman"/>
          <w:sz w:val="22"/>
          <w:szCs w:val="22"/>
          <w:color w:val="auto"/>
        </w:rPr>
        <w:t>. If Executive's employment is terminated by the Company without Cause (other than on account of Executive's Disability or death) or by Executive for Good Reason, then, subject to Section 14(e), the Company shall pay Executive:</w:t>
      </w:r>
    </w:p>
    <w:p>
      <w:pPr>
        <w:spacing w:after="0" w:line="172" w:lineRule="exact"/>
        <w:rPr>
          <w:rFonts w:ascii="Times New Roman" w:cs="Times New Roman" w:eastAsia="Times New Roman" w:hAnsi="Times New Roman"/>
          <w:sz w:val="22"/>
          <w:szCs w:val="22"/>
          <w:color w:val="auto"/>
        </w:rPr>
      </w:pPr>
    </w:p>
    <w:p>
      <w:pPr>
        <w:ind w:left="1304" w:hanging="860"/>
        <w:spacing w:after="0"/>
        <w:tabs>
          <w:tab w:leader="none" w:pos="130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Compensation;</w:t>
      </w:r>
    </w:p>
    <w:p>
      <w:pPr>
        <w:spacing w:after="0" w:line="219" w:lineRule="exact"/>
        <w:rPr>
          <w:rFonts w:ascii="Times New Roman" w:cs="Times New Roman" w:eastAsia="Times New Roman" w:hAnsi="Times New Roman"/>
          <w:sz w:val="22"/>
          <w:szCs w:val="22"/>
          <w:color w:val="auto"/>
        </w:rPr>
      </w:pPr>
    </w:p>
    <w:p>
      <w:pPr>
        <w:ind w:left="1304" w:hanging="919"/>
        <w:spacing w:after="0"/>
        <w:tabs>
          <w:tab w:leader="none" w:pos="130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Pro-Rata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64"/>
          </w:cols>
          <w:pgMar w:left="976" w:top="1440" w:right="359" w:bottom="1440" w:gutter="0" w:footer="0" w:header="0"/>
        </w:sectPr>
      </w:pPr>
    </w:p>
    <w:bookmarkStart w:id="67" w:name="page68"/>
    <w:bookmarkEnd w:id="67"/>
    <w:p>
      <w:pPr>
        <w:spacing w:after="0" w:line="198" w:lineRule="exact"/>
        <w:rPr>
          <w:sz w:val="20"/>
          <w:szCs w:val="20"/>
          <w:color w:val="auto"/>
        </w:rPr>
      </w:pPr>
    </w:p>
    <w:p>
      <w:pPr>
        <w:ind w:left="1960" w:right="260" w:hanging="979"/>
        <w:spacing w:after="0" w:line="252" w:lineRule="auto"/>
        <w:tabs>
          <w:tab w:leader="none" w:pos="196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lieu of any further Base Salary or other compensation and benefits for periods subsequent to the termination date, an amount in cash, which amount shall be payable in a lump sum payment within sixty (60) days following such termination (subject to Section 9(c)), equal to two (2) times the sum of (A) Executive's Base Salary and (B) the Target Bonus; and</w:t>
      </w:r>
    </w:p>
    <w:p>
      <w:pPr>
        <w:spacing w:after="0" w:line="179" w:lineRule="exact"/>
        <w:rPr>
          <w:rFonts w:ascii="Times New Roman" w:cs="Times New Roman" w:eastAsia="Times New Roman" w:hAnsi="Times New Roman"/>
          <w:sz w:val="22"/>
          <w:szCs w:val="22"/>
          <w:color w:val="auto"/>
        </w:rPr>
      </w:pPr>
    </w:p>
    <w:p>
      <w:pPr>
        <w:ind w:left="1960" w:hanging="968"/>
        <w:spacing w:after="0"/>
        <w:tabs>
          <w:tab w:leader="none" w:pos="196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Benefits Continuation.</w:t>
      </w:r>
    </w:p>
    <w:p>
      <w:pPr>
        <w:spacing w:after="0" w:line="219" w:lineRule="exact"/>
        <w:rPr>
          <w:rFonts w:ascii="Times New Roman" w:cs="Times New Roman" w:eastAsia="Times New Roman" w:hAnsi="Times New Roman"/>
          <w:sz w:val="22"/>
          <w:szCs w:val="22"/>
          <w:color w:val="auto"/>
        </w:rPr>
      </w:pPr>
    </w:p>
    <w:p>
      <w:pPr>
        <w:ind w:left="1300" w:right="280" w:hanging="644"/>
        <w:spacing w:after="0" w:line="248" w:lineRule="auto"/>
        <w:tabs>
          <w:tab w:leader="none" w:pos="1297"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Executive shall not be required to mitigate the amount of any payment provided for under this Section 8 by seeking other employment or otherwise and, except as provided in Section 8(b)(iii) and 8(d)(iv) above, no such payment shall be offset or reduced by the amount of any compensation or benefits provided to Executive in any subsequent employment. Further, the Company's obligations to make any payments hereunder shall not be subject to or affected by any set-off, counterclaim or defense which the Company may have against Executive.</w:t>
      </w:r>
    </w:p>
    <w:p>
      <w:pPr>
        <w:spacing w:after="0" w:line="18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Tax Treatment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hanging="644"/>
        <w:spacing w:after="0" w:line="244" w:lineRule="auto"/>
        <w:tabs>
          <w:tab w:leader="none" w:pos="1297"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Golden Parachute Tax</w:t>
      </w:r>
      <w:r>
        <w:rPr>
          <w:rFonts w:ascii="Times New Roman" w:cs="Times New Roman" w:eastAsia="Times New Roman" w:hAnsi="Times New Roman"/>
          <w:sz w:val="22"/>
          <w:szCs w:val="22"/>
          <w:color w:val="auto"/>
        </w:rPr>
        <w:t>. To the extent that the payments and benefits provided under this Agreement and benefits provided to, or for the benefit of, Executive under any other plan or agreement of the Company or any of its affiliates (such payments or benefits are collectively referred to as the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would be subject to the excise tax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imposed under Section 4999 of the Code or any successor provision thereto, or any similar tax imposed by state or local law, then Executive may, in Executive’s sole discretion (except as provided herein below) waive the right to receive any payments or distributions (or a portion thereof) by the Company in the nature of compensation to or for Executive's benefit if and to the extent necessary so that no Payment to be made or benefit to be provided to Executive shall be subject to the Excise Tax (such reduced amount is hereinafter referred to as the "</w:t>
      </w:r>
      <w:r>
        <w:rPr>
          <w:rFonts w:ascii="Times New Roman" w:cs="Times New Roman" w:eastAsia="Times New Roman" w:hAnsi="Times New Roman"/>
          <w:sz w:val="22"/>
          <w:szCs w:val="22"/>
          <w:u w:val="single" w:color="auto"/>
          <w:color w:val="auto"/>
        </w:rPr>
        <w:t>Limited Payment Amount</w:t>
      </w:r>
      <w:r>
        <w:rPr>
          <w:rFonts w:ascii="Times New Roman" w:cs="Times New Roman" w:eastAsia="Times New Roman" w:hAnsi="Times New Roman"/>
          <w:sz w:val="22"/>
          <w:szCs w:val="22"/>
          <w:color w:val="auto"/>
        </w:rPr>
        <w:t>"), but only if such reduction results in a higher after-tax payment to Executive after taking into account the Excise Tax and any additional taxes (including federal, state and local income taxes, employment, social security and Medicare taxes and all other applicable taxes) Executive would pay if such Payments were not reduced. If so waived, the Company shall reduce or eliminate the Payments to effect the provisions of this Section 9 based upon Section 9(b) below. The determination of the amount of Payments that would be required to be reduced to the Limited Payment Amount pursuant to this Agreement and the amount of such Limited Payment Amount shall be made, at the Company's expense, by a reputable accounting firm selected by Executive and reasonably acceptable to the Company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The Accounting Firm shall provide its determination (the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together with detailed supporting calculations and documentation to the Company and Executive within ten (10) days of the date of termination, if applicable, or such other time as specified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98" w:lineRule="exact"/>
        <w:rPr>
          <w:sz w:val="20"/>
          <w:szCs w:val="20"/>
          <w:color w:val="auto"/>
        </w:rPr>
      </w:pPr>
    </w:p>
    <w:p>
      <w:pPr>
        <w:ind w:left="644"/>
        <w:spacing w:after="0" w:line="258" w:lineRule="auto"/>
        <w:rPr>
          <w:sz w:val="20"/>
          <w:szCs w:val="20"/>
          <w:color w:val="auto"/>
        </w:rPr>
      </w:pPr>
      <w:r>
        <w:rPr>
          <w:rFonts w:ascii="Times New Roman" w:cs="Times New Roman" w:eastAsia="Times New Roman" w:hAnsi="Times New Roman"/>
          <w:sz w:val="21"/>
          <w:szCs w:val="21"/>
          <w:color w:val="auto"/>
        </w:rPr>
        <w:t>mutual agreement of the Company and Executive, and if the Accounting Firm determines that no Excise Tax is payable by Executive with respect to the Payments, it shall furnish Executive with an opinion reasonably acceptable to Executive that no Excise Tax will be imposed with respect to any such Payments. The Determination shall be binding, final and conclusive upon the Company and Executive, absent manifest error. For purposes of making the calculations required by this Section 9(a), the Accounting Firm may make reasonable assumptions and approximations concerning applicable taxes and rates, and rely on reasonable, good faith interpretations concerning the application of the Code, and other applicable legal authority. In furtherance of the above, to the extent requested by Executive, the Company shall cooperate in good faith in valuing, and the Accounting Firm shall value, services to be provided by Executive (including Executive refraining from performing services pursuant to any covenant not to compete) before, on or after the date of the transaction which causes the application of Section 4999 of the Code, such that payments in respect of such services may be considered to be "reasonable compensation" within the meaning of the regulations under Section 4999 of the Code.</w:t>
      </w:r>
    </w:p>
    <w:p>
      <w:pPr>
        <w:spacing w:after="0" w:line="179" w:lineRule="exact"/>
        <w:rPr>
          <w:sz w:val="20"/>
          <w:szCs w:val="20"/>
          <w:color w:val="auto"/>
        </w:rPr>
      </w:pPr>
    </w:p>
    <w:p>
      <w:pPr>
        <w:ind w:left="644" w:right="20" w:hanging="644"/>
        <w:spacing w:after="0" w:line="245" w:lineRule="auto"/>
        <w:tabs>
          <w:tab w:leader="none" w:pos="6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Ordering of Reduction</w:t>
      </w:r>
      <w:r>
        <w:rPr>
          <w:rFonts w:ascii="Times New Roman" w:cs="Times New Roman" w:eastAsia="Times New Roman" w:hAnsi="Times New Roman"/>
          <w:sz w:val="22"/>
          <w:szCs w:val="22"/>
          <w:color w:val="auto"/>
        </w:rPr>
        <w:t>. In the case of a reduction in the Payments pursuant to Section 9(a), the Payments will be reduced in the following order: (i) payments that are payable in cash that are valued at full value under Treasury Regulation Section 1.280G-1, Q&amp;A 24 (a) will be reduced (if necessary, to zero), with amounts that are payable last reduced first; (ii) payments and benefits due in respect of any equity valued at full value under Treasury Regulation Section 1.280G-1, Q&amp;A 24(a), with the highest values reduced first (as such values are determined under Treasury Regulation Section 1.280G-1, Q&amp;A 24) will next be reduced; (iii) payments that are payable in cash that are valued at less than full value under Treasury Regulation Section 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clauses (ii) or (iv) will be next reduced pro-rata.</w:t>
      </w:r>
    </w:p>
    <w:p>
      <w:pPr>
        <w:spacing w:after="0" w:line="195" w:lineRule="exact"/>
        <w:rPr>
          <w:rFonts w:ascii="Times New Roman" w:cs="Times New Roman" w:eastAsia="Times New Roman" w:hAnsi="Times New Roman"/>
          <w:sz w:val="22"/>
          <w:szCs w:val="22"/>
          <w:color w:val="auto"/>
        </w:rPr>
      </w:pPr>
    </w:p>
    <w:p>
      <w:pPr>
        <w:ind w:left="644" w:right="180" w:hanging="644"/>
        <w:spacing w:after="0" w:line="247" w:lineRule="auto"/>
        <w:tabs>
          <w:tab w:leader="none" w:pos="64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parties intend for the payments and benefits under this Agreement to be exempt from Section 409A of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subject to Section 5(a) herein, the Company shall reasonably confer with Executive in order to modify or amend this Agreement to comply with Section 409A of the Code and to do so in a manner to best preserve the economic benefit of this Agreement. Notwithstanding anything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64"/>
          </w:cols>
          <w:pgMar w:left="976" w:top="1440" w:right="359" w:bottom="1440" w:gutter="0" w:footer="0" w:header="0"/>
        </w:sectPr>
      </w:pPr>
    </w:p>
    <w:bookmarkStart w:id="69" w:name="page70"/>
    <w:bookmarkEnd w:id="69"/>
    <w:p>
      <w:pPr>
        <w:spacing w:after="0" w:line="198" w:lineRule="exact"/>
        <w:rPr>
          <w:sz w:val="20"/>
          <w:szCs w:val="20"/>
          <w:color w:val="auto"/>
        </w:rPr>
      </w:pPr>
    </w:p>
    <w:p>
      <w:pPr>
        <w:ind w:left="1292" w:right="60"/>
        <w:spacing w:after="0" w:line="257" w:lineRule="auto"/>
        <w:rPr>
          <w:sz w:val="20"/>
          <w:szCs w:val="20"/>
          <w:color w:val="auto"/>
        </w:rPr>
      </w:pPr>
      <w:r>
        <w:rPr>
          <w:rFonts w:ascii="Times New Roman" w:cs="Times New Roman" w:eastAsia="Times New Roman" w:hAnsi="Times New Roman"/>
          <w:sz w:val="21"/>
          <w:szCs w:val="21"/>
          <w:color w:val="auto"/>
        </w:rPr>
        <w:t>to the contrary, to the extent required in order to avoid accelerated taxation and/or tax penalties under Section 409A of the Code, (i) no amounts shall be paid to Executive under Section 8 of this Agreement until Executive would be considered to have incurred a "separation from service" from the Company within the meaning of Section 409A of the Code; (ii) amounts that would otherwise be payable and benefits that would otherwise be provided pursuant to this Agreement during the six-month period immediately following Executive's separation from service shall instead be paid on the first business day after the date that is six (6) months following Executive's separation from service (or death, if earlier), with interest for any cash payments so delayed, from the date such cash amounts would otherwise have been paid at the short-term applicable federal rate, compounded semi-annually, as determined under Section 1274 of the Code for the month in which the payment would have been made but for the delay in payment required to avoid the imposition of an additional rate of tax on Executive;</w:t>
      </w:r>
    </w:p>
    <w:p>
      <w:pPr>
        <w:spacing w:after="0" w:line="3" w:lineRule="exact"/>
        <w:rPr>
          <w:sz w:val="20"/>
          <w:szCs w:val="20"/>
          <w:color w:val="auto"/>
        </w:rPr>
      </w:pPr>
    </w:p>
    <w:p>
      <w:pPr>
        <w:ind w:left="1292" w:right="80"/>
        <w:spacing w:after="0" w:line="244" w:lineRule="auto"/>
        <w:rPr>
          <w:sz w:val="20"/>
          <w:szCs w:val="20"/>
          <w:color w:val="auto"/>
        </w:rPr>
      </w:pPr>
      <w:r>
        <w:rPr>
          <w:rFonts w:ascii="Times New Roman" w:cs="Times New Roman" w:eastAsia="Times New Roman" w:hAnsi="Times New Roman"/>
          <w:sz w:val="22"/>
          <w:szCs w:val="22"/>
          <w:color w:val="auto"/>
        </w:rPr>
        <w:t>(iii) each amount to be paid or benefit to be provided under this Agreement shall be construed as a separately identified payment for purposes of Section 409A of the Code; (iv) any payments that are due within the "short term deferral period" as defined in Section 409A of the Code shall not be treated as deferred compensation unless applicable law requires otherwise; and (v)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(1) year may not affect amounts reimbursable or provided in any subsequent year.</w:t>
      </w:r>
    </w:p>
    <w:p>
      <w:pPr>
        <w:spacing w:after="0" w:line="187" w:lineRule="exact"/>
        <w:rPr>
          <w:sz w:val="20"/>
          <w:szCs w:val="20"/>
          <w:color w:val="auto"/>
        </w:rPr>
      </w:pPr>
    </w:p>
    <w:p>
      <w:pPr>
        <w:ind w:left="652" w:hanging="652"/>
        <w:spacing w:after="0"/>
        <w:tabs>
          <w:tab w:leader="none" w:pos="65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Records and Confidential Data</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right="20" w:hanging="644"/>
        <w:spacing w:after="0" w:line="248" w:lineRule="auto"/>
        <w:tabs>
          <w:tab w:leader="none" w:pos="1289"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in connection with the performance of Executive's duties during the Employment Term, the Company and its affiliates will make available to Executive, or Executive will develop and have access to, certain Confidential Information (as defined below) of the Company and its affiliates. Executive acknowledges and agrees that any and all Confidential Information learned or obtained by Executive during the course of Executive's employment by the Company or otherwise, whether developed by Executive alone or in conjunction with others or otherwise, shall be and is the property of the Company and its affiliates.</w:t>
      </w:r>
    </w:p>
    <w:p>
      <w:pPr>
        <w:spacing w:after="0" w:line="186" w:lineRule="exact"/>
        <w:rPr>
          <w:rFonts w:ascii="Times New Roman" w:cs="Times New Roman" w:eastAsia="Times New Roman" w:hAnsi="Times New Roman"/>
          <w:sz w:val="22"/>
          <w:szCs w:val="22"/>
          <w:color w:val="auto"/>
        </w:rPr>
      </w:pPr>
    </w:p>
    <w:p>
      <w:pPr>
        <w:ind w:left="1292" w:hanging="644"/>
        <w:spacing w:after="0" w:line="248" w:lineRule="auto"/>
        <w:tabs>
          <w:tab w:leader="none" w:pos="1287"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Employment Term and thereafter, Confidential Information will be kept confidential by Executive, will not be used in any manner that is detrimental to the Company or its affiliates, will not be used other than in connection with Executive's discharge of Executive's duties hereunder, and will be safeguarded by Executive from unauthorized disclosure;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Confidential Information may be disclosed by Executive (i) to the Company and its affiliates, or to any authorized agent or representative of any of them, (ii) in connection with performing Executive’s duties hereunder, (iii) without limiting Section 10(g)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92"/>
          </w:cols>
          <w:pgMar w:left="328" w:top="1440" w:right="379" w:bottom="1440" w:gutter="0" w:footer="0" w:header="0"/>
        </w:sectPr>
      </w:pPr>
    </w:p>
    <w:bookmarkStart w:id="70" w:name="page71"/>
    <w:bookmarkEnd w:id="70"/>
    <w:p>
      <w:pPr>
        <w:spacing w:after="0" w:line="198" w:lineRule="exact"/>
        <w:rPr>
          <w:sz w:val="20"/>
          <w:szCs w:val="20"/>
          <w:color w:val="auto"/>
        </w:rPr>
      </w:pPr>
    </w:p>
    <w:p>
      <w:pPr>
        <w:ind w:left="644" w:right="80"/>
        <w:spacing w:after="0" w:line="248" w:lineRule="auto"/>
        <w:rPr>
          <w:sz w:val="20"/>
          <w:szCs w:val="20"/>
          <w:color w:val="auto"/>
        </w:rPr>
      </w:pPr>
      <w:r>
        <w:rPr>
          <w:rFonts w:ascii="Times New Roman" w:cs="Times New Roman" w:eastAsia="Times New Roman" w:hAnsi="Times New Roman"/>
          <w:sz w:val="22"/>
          <w:szCs w:val="22"/>
          <w:color w:val="auto"/>
        </w:rPr>
        <w:t>this Agreement, when required to do so by law or requested by a court, governmental agency, legislative body, arbitrator or other person with apparent jurisdiction to order Executive to divulge, disclose or make accessible such information, provided that Executive, to the extent legally permitted, notifies the Company prior to such disclosure, (iv) in the course of any proceeding under Section 11 or 12 of this Agreement or Section 6 of the Release, subject to the prior entry of a confidentiality order, or (v) in confidence to an attorney or other professional advisor for the purpose of securing professional advice, so long as such attorney or advisor is subject to confidentiality restrictions no less restrictive than those applicable to Executive hereunder.</w:t>
      </w:r>
    </w:p>
    <w:p>
      <w:pPr>
        <w:spacing w:after="0" w:line="182" w:lineRule="exact"/>
        <w:rPr>
          <w:sz w:val="20"/>
          <w:szCs w:val="20"/>
          <w:color w:val="auto"/>
        </w:rPr>
      </w:pPr>
    </w:p>
    <w:p>
      <w:pPr>
        <w:ind w:left="644" w:right="20" w:hanging="644"/>
        <w:spacing w:after="0" w:line="248" w:lineRule="auto"/>
        <w:tabs>
          <w:tab w:leader="none" w:pos="64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Executive's last day of employment with the Company, or at such earlier date as requested by the Company, (i) Executive will return to the Company all written Confidential Information that has been provided to, or prepared by, Executive; (ii) at the election of the Company, Executive will return to the Company or destroy all copies of any analyses, compilations, studies or other documents prepared by Executive or for Executive's use containing or reflecting any Confidential Information; and (iii) Executive will return all Company property. Executive shall deliver to the Company a document certifying Executive’s compliance with this Section 10(c).</w:t>
      </w:r>
    </w:p>
    <w:p>
      <w:pPr>
        <w:spacing w:after="0" w:line="186" w:lineRule="exact"/>
        <w:rPr>
          <w:rFonts w:ascii="Times New Roman" w:cs="Times New Roman" w:eastAsia="Times New Roman" w:hAnsi="Times New Roman"/>
          <w:sz w:val="22"/>
          <w:szCs w:val="22"/>
          <w:color w:val="auto"/>
        </w:rPr>
      </w:pPr>
    </w:p>
    <w:p>
      <w:pPr>
        <w:ind w:left="644" w:right="700" w:hanging="644"/>
        <w:spacing w:after="0" w:line="271" w:lineRule="auto"/>
        <w:tabs>
          <w:tab w:leader="none" w:pos="639"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mean all confidential and proprietary information of the Company and its affiliates, including:</w:t>
      </w:r>
    </w:p>
    <w:p>
      <w:pPr>
        <w:spacing w:after="0" w:line="157" w:lineRule="exact"/>
        <w:rPr>
          <w:rFonts w:ascii="Times New Roman" w:cs="Times New Roman" w:eastAsia="Times New Roman" w:hAnsi="Times New Roman"/>
          <w:sz w:val="22"/>
          <w:szCs w:val="22"/>
          <w:color w:val="auto"/>
        </w:rPr>
      </w:pPr>
    </w:p>
    <w:p>
      <w:pPr>
        <w:ind w:left="1304" w:right="180" w:hanging="860"/>
        <w:spacing w:after="0" w:line="246" w:lineRule="auto"/>
        <w:tabs>
          <w:tab w:leader="none" w:pos="130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secrets concerning the business and affairs of the Company and its affiliates, product specifications, data, know-how, formulae, compositions, processes, non-public patent applications, designs, sketches, photographs, graphs, drawings, samples, inventions and ideas, past, current, and planned research and development, current and planned manufacturing or distribution methods and processes, customer lists, current and anticipated customer requirements, price lists, market studies, business plans, computer software and programs (including object code and source code), computer software and database technologies, systems, structures, and architectures (and related formulae, compositions, processes, improvements, devices, know-how, inventions, discoveries, concepts, ideas, designs, methods and information);</w:t>
      </w:r>
    </w:p>
    <w:p>
      <w:pPr>
        <w:spacing w:after="0" w:line="190" w:lineRule="exact"/>
        <w:rPr>
          <w:rFonts w:ascii="Times New Roman" w:cs="Times New Roman" w:eastAsia="Times New Roman" w:hAnsi="Times New Roman"/>
          <w:sz w:val="22"/>
          <w:szCs w:val="22"/>
          <w:color w:val="auto"/>
        </w:rPr>
      </w:pPr>
    </w:p>
    <w:p>
      <w:pPr>
        <w:ind w:left="1304" w:hanging="919"/>
        <w:spacing w:after="0" w:line="252" w:lineRule="auto"/>
        <w:tabs>
          <w:tab w:leader="none" w:pos="130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the business and affairs of the Company and its affiliates (which includes unpublished financial statements, financial projections and budgets, unpublished and projected sales, capital spending budgets and plans, the names and backgrounds of key personnel, to the extent not publicly known, personnel training and techniques and materials) however documented;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564"/>
          </w:cols>
          <w:pgMar w:left="976" w:top="1440" w:right="359" w:bottom="1440" w:gutter="0" w:footer="0" w:header="0"/>
        </w:sectPr>
      </w:pPr>
    </w:p>
    <w:bookmarkStart w:id="71" w:name="page72"/>
    <w:bookmarkEnd w:id="71"/>
    <w:p>
      <w:pPr>
        <w:spacing w:after="0" w:line="198" w:lineRule="exact"/>
        <w:rPr>
          <w:sz w:val="20"/>
          <w:szCs w:val="20"/>
          <w:color w:val="auto"/>
        </w:rPr>
      </w:pPr>
    </w:p>
    <w:p>
      <w:pPr>
        <w:ind w:left="1952" w:right="20" w:hanging="979"/>
        <w:spacing w:after="0" w:line="248" w:lineRule="auto"/>
        <w:tabs>
          <w:tab w:leader="none" w:pos="1952"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analysis, compilations, studies, summaries, and other material prepared by or for the Company or its affiliates containing or based, in whole or in part, on any information included in the foregoing. For purposes of this Agreement, Confidential Information shall not include and Executive's obligations shall not extend to (A) information that is generally available to the public, (B) information obtained by Executive other than pursuant to or in connection with this employment, (C) information that is required to be disclosed by law or legal process, and (D) Executive's rolodex and similar address books, including electronic address books, containing contact information.</w:t>
      </w:r>
    </w:p>
    <w:p>
      <w:pPr>
        <w:spacing w:after="0" w:line="181" w:lineRule="exact"/>
        <w:rPr>
          <w:rFonts w:ascii="Times New Roman" w:cs="Times New Roman" w:eastAsia="Times New Roman" w:hAnsi="Times New Roman"/>
          <w:sz w:val="22"/>
          <w:szCs w:val="22"/>
          <w:color w:val="auto"/>
        </w:rPr>
      </w:pPr>
    </w:p>
    <w:p>
      <w:pPr>
        <w:ind w:left="1292" w:right="20" w:hanging="644"/>
        <w:spacing w:after="0" w:line="250" w:lineRule="auto"/>
        <w:tabs>
          <w:tab w:leader="none" w:pos="128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or elsewhere shall preclude Executive from retaining and using (i) Executive’s personal papers and other materials of a personal nature, including photographs, contacts, correspondence, personal diaries, and personal files (so long as no such materials are covered by any Company hold order), (ii) documents relating to Executive’s personal entitlements and obligations, and (iii) information that is necessary for Executive’s personal tax purposes.</w:t>
      </w:r>
    </w:p>
    <w:p>
      <w:pPr>
        <w:spacing w:after="0" w:line="180" w:lineRule="exact"/>
        <w:rPr>
          <w:rFonts w:ascii="Times New Roman" w:cs="Times New Roman" w:eastAsia="Times New Roman" w:hAnsi="Times New Roman"/>
          <w:sz w:val="22"/>
          <w:szCs w:val="22"/>
          <w:color w:val="auto"/>
        </w:rPr>
      </w:pPr>
    </w:p>
    <w:p>
      <w:pPr>
        <w:jc w:val="both"/>
        <w:ind w:left="1292" w:right="60" w:hanging="644"/>
        <w:spacing w:after="0" w:line="266" w:lineRule="auto"/>
        <w:tabs>
          <w:tab w:leader="none" w:pos="1292"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18 U.S.C. § 1833(b), Executive understands that Executive will not be held criminally or civilly liable under any Federal or State trade secret law for the disclosure of a trade secret of the Company or its affiliates that</w:t>
      </w:r>
    </w:p>
    <w:p>
      <w:pPr>
        <w:spacing w:after="0" w:line="1" w:lineRule="exact"/>
        <w:rPr>
          <w:rFonts w:ascii="Times New Roman" w:cs="Times New Roman" w:eastAsia="Times New Roman" w:hAnsi="Times New Roman"/>
          <w:sz w:val="21"/>
          <w:szCs w:val="21"/>
          <w:color w:val="auto"/>
        </w:rPr>
      </w:pPr>
    </w:p>
    <w:p>
      <w:pPr>
        <w:ind w:left="1292" w:right="260" w:firstLine="4"/>
        <w:spacing w:after="0" w:line="254" w:lineRule="auto"/>
        <w:tabs>
          <w:tab w:leader="none" w:pos="1550" w:val="left"/>
        </w:tabs>
        <w:numPr>
          <w:ilvl w:val="3"/>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made (A) in confidence to a Federal, State, or local government official, either directly or indirectly, or to Executive’s attorney and (B) solely for the purpose of reporting or investigating a suspected violation of law; or</w:t>
      </w:r>
    </w:p>
    <w:p>
      <w:pPr>
        <w:spacing w:after="0" w:line="1" w:lineRule="exact"/>
        <w:rPr>
          <w:rFonts w:ascii="Times New Roman" w:cs="Times New Roman" w:eastAsia="Times New Roman" w:hAnsi="Times New Roman"/>
          <w:sz w:val="21"/>
          <w:szCs w:val="21"/>
          <w:color w:val="auto"/>
        </w:rPr>
      </w:pPr>
    </w:p>
    <w:p>
      <w:pPr>
        <w:ind w:left="1292" w:firstLine="4"/>
        <w:spacing w:after="0" w:line="244" w:lineRule="auto"/>
        <w:tabs>
          <w:tab w:leader="none" w:pos="1610" w:val="left"/>
        </w:tabs>
        <w:numPr>
          <w:ilvl w:val="3"/>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that is filed under seal in a lawsuit or other proceeding. Executive understands that if Executive files a lawsuit for retaliation 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or its affiliates, is intended to conflict with 18 U.S.C. § 1833(b) or create liability for disclosures of trade secrets that are expressly allowed by such section.</w:t>
      </w:r>
    </w:p>
    <w:p>
      <w:pPr>
        <w:spacing w:after="0" w:line="187" w:lineRule="exact"/>
        <w:rPr>
          <w:rFonts w:ascii="Times New Roman" w:cs="Times New Roman" w:eastAsia="Times New Roman" w:hAnsi="Times New Roman"/>
          <w:sz w:val="22"/>
          <w:szCs w:val="22"/>
          <w:color w:val="auto"/>
        </w:rPr>
      </w:pPr>
    </w:p>
    <w:p>
      <w:pPr>
        <w:ind w:left="1292" w:right="120" w:hanging="644"/>
        <w:spacing w:after="0" w:line="248" w:lineRule="auto"/>
        <w:tabs>
          <w:tab w:leader="none" w:pos="1287"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set forth in this Agreement or any other agreement that Executive has with the Company or its affiliates to the contrary, Executive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is Executive required to notify the Company regarding any such reporting, disclosure or cooperation with the government.</w:t>
      </w:r>
    </w:p>
    <w:p>
      <w:pPr>
        <w:spacing w:after="0" w:line="186" w:lineRule="exact"/>
        <w:rPr>
          <w:rFonts w:ascii="Times New Roman" w:cs="Times New Roman" w:eastAsia="Times New Roman" w:hAnsi="Times New Roman"/>
          <w:sz w:val="22"/>
          <w:szCs w:val="22"/>
          <w:color w:val="auto"/>
        </w:rPr>
      </w:pPr>
    </w:p>
    <w:p>
      <w:pPr>
        <w:ind w:left="652" w:right="260" w:hanging="652"/>
        <w:spacing w:after="0" w:line="271" w:lineRule="auto"/>
        <w:tabs>
          <w:tab w:leader="none" w:pos="6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Solicit, Not to Compete, Not to Disparage, to Cooperate in Litigation and Not to Cooperate with Non-Governmental Third Parties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12"/>
          </w:cols>
          <w:pgMar w:left="328" w:top="1440" w:right="359" w:bottom="1440" w:gutter="0" w:footer="0" w:header="0"/>
        </w:sectPr>
      </w:pPr>
    </w:p>
    <w:bookmarkStart w:id="72" w:name="page73"/>
    <w:bookmarkEnd w:id="72"/>
    <w:p>
      <w:pPr>
        <w:spacing w:after="0" w:line="198" w:lineRule="exact"/>
        <w:rPr>
          <w:sz w:val="20"/>
          <w:szCs w:val="20"/>
          <w:color w:val="auto"/>
        </w:rPr>
      </w:pPr>
    </w:p>
    <w:p>
      <w:pPr>
        <w:ind w:left="644" w:hanging="644"/>
        <w:spacing w:after="0" w:line="245" w:lineRule="auto"/>
        <w:tabs>
          <w:tab w:leader="none" w:pos="6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Solicit</w:t>
      </w:r>
      <w:r>
        <w:rPr>
          <w:rFonts w:ascii="Times New Roman" w:cs="Times New Roman" w:eastAsia="Times New Roman" w:hAnsi="Times New Roman"/>
          <w:sz w:val="22"/>
          <w:szCs w:val="22"/>
          <w:color w:val="auto"/>
        </w:rPr>
        <w:t xml:space="preserve">. To protect the Confidential Information and other trade secrets of the Company and its affiliates as well as the goodwill and competitive business of the Company and its affiliates, Executive agrees, during the Employment Term and for a period of twelve (12) months after Executive's cessation of employment with the Company, not to solicit or participate in or assist in any way in the solicitation of any (i) customers or clients of the Company or its affiliates whom Executive first met or about whom learned Confidential Information through Executive’s employment with the Company and (ii) suppliers, employees or agents of the Company or its affiliates. For purposes of this covenant, “solicit” or “solicitation” means directly or indirectly influencing or attempting to influence any customers, clients, suppliers, employees or agents of the Company or its affiliates to cease doing business with, or to reduce the level of business with, the Company and its affiliates or, with respect to employees or exclusive agents, to become employed or engaged by any other person, partnership, firm, corporation or other entity. Executive agrees that the covenants contained in this Section 11(a) are reasonable and desirable to protect the Confidential Information of the Company and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solicitation through general advertising not targeted at the Company's or its affiliates' employees or the provision of references shall not constitute a breach of such obligations.</w:t>
      </w:r>
    </w:p>
    <w:p>
      <w:pPr>
        <w:spacing w:after="0" w:line="191"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Compete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4" w:right="20" w:hanging="860"/>
        <w:spacing w:after="0" w:line="257" w:lineRule="auto"/>
        <w:tabs>
          <w:tab w:leader="none" w:pos="1304"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affiliates are currently engaged in the business of branded and generic pharmaceuticals, with a focus on product development, clinical development, manufacturing, distribution and sales &amp; marketing. To protect the Confidential Information and other trade secrets of the Company and its affiliates as well as the goodwill and competitive business of the Company and its affiliates, Executive agrees, during the Employment Term and for a period of twelve (12) months after Executive's cessation of employment with the Company, other than a cessation of employment occurring after a Change in Control (as defined in Executive’s 2020 Performance Award Agreement under the Amended and Restated 2015 Stock Incentive Plan), that Executive will not, unless otherwise agreed to by the Chief Executive Officer of Endo (following approval by the Chairman of the Committee), anywhere in the world where, at the time of Executive's termination of employment, the Company develops, manufactures, distributes, markets or sells its products, except in the course of Executive's employment hereunder, directly or indirectly manage, operate, control, or participate in the management, operation, or control of, be employed by, associated with, or in any manner connected with, lend Executive's name to, or render services or advice to, any third party or any business whose products or services compete in whole or in part with the products or services (both on the market and in development) material to the Company or any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84"/>
          </w:cols>
          <w:pgMar w:left="976" w:top="1440" w:right="339" w:bottom="1440" w:gutter="0" w:footer="0" w:header="0"/>
        </w:sectPr>
      </w:pPr>
    </w:p>
    <w:bookmarkStart w:id="73" w:name="page74"/>
    <w:bookmarkEnd w:id="73"/>
    <w:p>
      <w:pPr>
        <w:spacing w:after="0" w:line="198" w:lineRule="exact"/>
        <w:rPr>
          <w:sz w:val="20"/>
          <w:szCs w:val="20"/>
          <w:color w:val="auto"/>
        </w:rPr>
      </w:pPr>
    </w:p>
    <w:p>
      <w:pPr>
        <w:ind w:left="979" w:right="60"/>
        <w:spacing w:after="0" w:line="246" w:lineRule="auto"/>
        <w:rPr>
          <w:sz w:val="20"/>
          <w:szCs w:val="20"/>
          <w:color w:val="auto"/>
        </w:rPr>
      </w:pPr>
      <w:r>
        <w:rPr>
          <w:rFonts w:ascii="Times New Roman" w:cs="Times New Roman" w:eastAsia="Times New Roman" w:hAnsi="Times New Roman"/>
          <w:sz w:val="22"/>
          <w:szCs w:val="22"/>
          <w:color w:val="auto"/>
        </w:rPr>
        <w:t>unit on the termination date that constitutes more than 5% of the Company's revenue on the termination date (a "</w:t>
      </w:r>
      <w:r>
        <w:rPr>
          <w:rFonts w:ascii="Times New Roman" w:cs="Times New Roman" w:eastAsia="Times New Roman" w:hAnsi="Times New Roman"/>
          <w:sz w:val="22"/>
          <w:szCs w:val="22"/>
          <w:u w:val="single" w:color="auto"/>
          <w:color w:val="auto"/>
        </w:rPr>
        <w:t>Competing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Executive may in any event (x) own up to a 5% passive ownership interest in any public or private entity and (y) serve on the board of any Competing Business that competes with the business of the Company and its affiliates as an immaterial part of its overall business, provided that Executive recuses himself fully and completely from all matters relating to such business; and provided, further, that the foregoing shall not preclude or limit Executive's activities with respect to the practice of law. Executive and the Company acknowledge and agree that, solely with respect to the practice of law, the foregoing noncompetition obligations shall not apply and this Agreement shall be construed in all respects consistent with Rule 5.6 of the Pennsylvania Rules of Professional Conduct and Rule 5.6 of the Delaware Lawyers' Rules of Professional Conduct.</w:t>
      </w:r>
    </w:p>
    <w:p>
      <w:pPr>
        <w:spacing w:after="0" w:line="188" w:lineRule="exact"/>
        <w:rPr>
          <w:sz w:val="20"/>
          <w:szCs w:val="20"/>
          <w:color w:val="auto"/>
        </w:rPr>
      </w:pPr>
    </w:p>
    <w:p>
      <w:pPr>
        <w:ind w:left="979" w:right="180" w:hanging="919"/>
        <w:spacing w:after="0" w:line="250" w:lineRule="auto"/>
        <w:tabs>
          <w:tab w:leader="none" w:pos="9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11(b), any third party or any business whose products compete includes any entity with which the Company or its affiliates has had a product(s) licensing agreement during the Employment Term and any entity with which the Company or any of its affiliates is at the time of termination actively negotiating, and eventually concludes within twelve (12) months of the Employment Term, a commercial agreement.</w:t>
      </w:r>
    </w:p>
    <w:p>
      <w:pPr>
        <w:spacing w:after="0" w:line="180" w:lineRule="exact"/>
        <w:rPr>
          <w:rFonts w:ascii="Times New Roman" w:cs="Times New Roman" w:eastAsia="Times New Roman" w:hAnsi="Times New Roman"/>
          <w:sz w:val="22"/>
          <w:szCs w:val="22"/>
          <w:color w:val="auto"/>
        </w:rPr>
      </w:pPr>
    </w:p>
    <w:p>
      <w:pPr>
        <w:ind w:left="979" w:hanging="979"/>
        <w:spacing w:after="0" w:line="245" w:lineRule="auto"/>
        <w:tabs>
          <w:tab w:leader="none" w:pos="9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it shall not be a violation of this Section 11(b), for Executive to provide services to (or engage in activities involving): (A) a subsidiary, division or affiliate of a Competing Business where such subsidiary, division or affiliate is not engaged in a Competing Business and Executive does not provide services to, or have any responsibilities regarding, the Competing Business; (B) any entity that is, or is a general partner in, or manages or participates in managing, a private or public fund (including a hedge fund) or other investment vehicle, which is engaged in venture capital investments, leveraged buy-outs, investments in public or private companies, other forms of private or alternative equity transactions, or in public equity transactions, and that might make an investment which Executive could not make directly, provided that in connection therewith, Executive does not provide services to, engage in activities involved with, or have any responsibilities regarding a Competing Business; and (C) an affiliate of a Competing Business if Executive does not provide services, directly or indirectly, to such Competing Business and the basis of the affiliation is solely due to common ownership by a private equity or similar investment 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Executive shall remain bound by all other post-employment obligations under this Agreement, including Executive's obligations under Sections 10, 11(a), (c) and (d)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53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259"/>
          </w:cols>
          <w:pgMar w:left="1301" w:top="1440" w:right="339" w:bottom="1440" w:gutter="0" w:footer="0" w:header="0"/>
        </w:sectPr>
      </w:pPr>
    </w:p>
    <w:bookmarkStart w:id="74" w:name="page75"/>
    <w:bookmarkEnd w:id="74"/>
    <w:p>
      <w:pPr>
        <w:spacing w:after="0" w:line="198" w:lineRule="exact"/>
        <w:rPr>
          <w:sz w:val="20"/>
          <w:szCs w:val="20"/>
          <w:color w:val="auto"/>
        </w:rPr>
      </w:pPr>
    </w:p>
    <w:p>
      <w:pPr>
        <w:ind w:left="1304" w:right="360"/>
        <w:spacing w:after="0" w:line="271" w:lineRule="auto"/>
        <w:rPr>
          <w:sz w:val="20"/>
          <w:szCs w:val="20"/>
          <w:color w:val="auto"/>
        </w:rPr>
      </w:pPr>
      <w:r>
        <w:rPr>
          <w:rFonts w:ascii="Times New Roman" w:cs="Times New Roman" w:eastAsia="Times New Roman" w:hAnsi="Times New Roman"/>
          <w:sz w:val="22"/>
          <w:szCs w:val="22"/>
          <w:color w:val="auto"/>
        </w:rPr>
        <w:t>that Executive's provision of services to (or engagement in activities involving) any entity described in clauses (A) or (B) of this Section 11(b)(iii) shall be subject to the prior approval of the Board.</w:t>
      </w:r>
    </w:p>
    <w:p>
      <w:pPr>
        <w:spacing w:after="0" w:line="158" w:lineRule="exact"/>
        <w:rPr>
          <w:sz w:val="20"/>
          <w:szCs w:val="20"/>
          <w:color w:val="auto"/>
        </w:rPr>
      </w:pPr>
    </w:p>
    <w:p>
      <w:pPr>
        <w:ind w:left="644" w:right="60" w:hanging="644"/>
        <w:spacing w:after="0" w:line="257" w:lineRule="auto"/>
        <w:tabs>
          <w:tab w:leader="none" w:pos="64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Executive covenants that during and following the Employment Term, Executive will not disparage or encourage or induce others to disparage the Company or its affiliates, together with all of their respective past and present directors and officers, as well as their respective past and present managers, officers, shareholders, partners, employees, agents, attorneys, servants and customers and each of their predecessors, successors and assigns (collectively, the "</w:t>
      </w:r>
      <w:r>
        <w:rPr>
          <w:rFonts w:ascii="Times New Roman" w:cs="Times New Roman" w:eastAsia="Times New Roman" w:hAnsi="Times New Roman"/>
          <w:sz w:val="21"/>
          <w:szCs w:val="21"/>
          <w:u w:val="single" w:color="auto"/>
          <w:color w:val="auto"/>
        </w:rPr>
        <w:t>Company Entities and Persons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limitation shall extend to past and present managers, officers, shareholders, partners, employees, agents, attorneys, servants and customers only in their capacities as such or in respect of their relationship with the Company and its affiliates. The Company shall instruct its officers and directors not to, during and following the Employment Term, make or issue any statement that disparages Executive to any third parties or otherwise encourage or induce others to disparage Executive. The term "disparage" includes, without limitation, comments or statements adversely affecting in any manner (i) the conduct of the business of the Company Entities and Persons or Executive, or (ii) the business reputation of the Company Entities and Persons or Executive. Nothing in this Agreement is intended to or shall prevent either party from providing, or limiting testimony in any judicial, administrative or legal process or otherwise as required by law, prevent either party from engaging in truthful testimony pursuant to any proceeding under this Section 11 or Section 12 below or Section 6 of the Release or prevent Executive from making statements in the course of doing Executive’s normal duties for the Company.</w:t>
      </w:r>
    </w:p>
    <w:p>
      <w:pPr>
        <w:spacing w:after="0" w:line="182" w:lineRule="exact"/>
        <w:rPr>
          <w:rFonts w:ascii="Times New Roman" w:cs="Times New Roman" w:eastAsia="Times New Roman" w:hAnsi="Times New Roman"/>
          <w:sz w:val="21"/>
          <w:szCs w:val="21"/>
          <w:color w:val="auto"/>
        </w:rPr>
      </w:pPr>
    </w:p>
    <w:p>
      <w:pPr>
        <w:ind w:left="644" w:hanging="644"/>
        <w:spacing w:after="0" w:line="245" w:lineRule="auto"/>
        <w:tabs>
          <w:tab w:leader="none" w:pos="63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in Any Investigations and Litigation; No Cooperation with Non-Governmental Third Parties</w:t>
      </w:r>
      <w:r>
        <w:rPr>
          <w:rFonts w:ascii="Times New Roman" w:cs="Times New Roman" w:eastAsia="Times New Roman" w:hAnsi="Times New Roman"/>
          <w:sz w:val="22"/>
          <w:szCs w:val="22"/>
          <w:color w:val="auto"/>
        </w:rPr>
        <w:t>. During the Employment Term and thereafter, Executive shall provide truthful information and otherwise assist and cooperate with the Company and its affiliates, and its counsel, (i) in connection with any investigation, inquiry, administrative, regulatory or judicial proceedings, or in connection with any dispute or claim of any kind that may be made against, by, or with respect to the Company, as reasonably requested by the Company (including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in or may come into Executive’s possession), and (ii) in all matters concerning requests for information about the services or advice Executive provides or provided to the Company during Executive’s employment with Endo, its affiliates and their predecessors. Such cooperation shall be subject to Executive’s business and personal commitments and shall not require Executive to cooperate against Executive’s own legal interests or the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524"/>
          </w:cols>
          <w:pgMar w:left="976" w:top="1440" w:right="399" w:bottom="1440" w:gutter="0" w:footer="0" w:header="0"/>
        </w:sectPr>
      </w:pPr>
    </w:p>
    <w:bookmarkStart w:id="75" w:name="page76"/>
    <w:bookmarkEnd w:id="75"/>
    <w:p>
      <w:pPr>
        <w:spacing w:after="0" w:line="198" w:lineRule="exact"/>
        <w:rPr>
          <w:sz w:val="20"/>
          <w:szCs w:val="20"/>
          <w:color w:val="auto"/>
        </w:rPr>
      </w:pPr>
    </w:p>
    <w:p>
      <w:pPr>
        <w:ind w:left="644"/>
        <w:spacing w:after="0" w:line="256" w:lineRule="auto"/>
        <w:rPr>
          <w:sz w:val="20"/>
          <w:szCs w:val="20"/>
          <w:color w:val="auto"/>
        </w:rPr>
      </w:pPr>
      <w:r>
        <w:rPr>
          <w:rFonts w:ascii="Times New Roman" w:cs="Times New Roman" w:eastAsia="Times New Roman" w:hAnsi="Times New Roman"/>
          <w:sz w:val="21"/>
          <w:szCs w:val="21"/>
          <w:color w:val="auto"/>
        </w:rPr>
        <w:t xml:space="preserve">interests of any future employer of Executive. Executive shall use the Company’s counsel for all matters in connection with this Section 11(d);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there exists an actual conflict of interest between Executive and the Company’s counsel, Executive may retain separate counsel reasonably acceptable to the Company. The existence of an actual conflict of interest, and whether such conflict may be waived, shall be determined pursuant to the rules of attorney professional conduct and applicable law. The Company agrees to promptly reimburse Executive for reasonable expenses reasonably incurred by Executive, in connection with Executive’s cooperation pursuant to this Section 11(d) (including travel expenses at the level of travel permitted by this Agreement and reasonable attorney fees in the event separate legal counsel for Executive is required due to a conflict of interest). Such reimbursements shall be made as soon as practicable, and in no event later than the calendar year following the year in which the expenses are incurred. Executive also shall not support (financially or otherwise), counsel or assist any attorneys or their clients or any other non-governmental person in the presentation or prosecution of, encourage any non-governmental person to raise, or suggest or recommend to any non-governmental person that such person could or should raise, in each case, any disputes, differences, grievances, claims, charges, or complaints against the Company and/or its affiliates that (x) arises out of, or relates to, any period of time on or prior to Executive’s last day of employment with the Company or (y) involves any information Executive learned during Executive’s employment with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after twelve</w:t>
      </w:r>
    </w:p>
    <w:p>
      <w:pPr>
        <w:spacing w:after="0" w:line="7" w:lineRule="exact"/>
        <w:rPr>
          <w:sz w:val="20"/>
          <w:szCs w:val="20"/>
          <w:color w:val="auto"/>
        </w:rPr>
      </w:pPr>
    </w:p>
    <w:p>
      <w:pPr>
        <w:ind w:left="644" w:right="20"/>
        <w:spacing w:after="0" w:line="243" w:lineRule="auto"/>
        <w:rPr>
          <w:sz w:val="20"/>
          <w:szCs w:val="20"/>
          <w:color w:val="auto"/>
        </w:rPr>
      </w:pPr>
      <w:r>
        <w:rPr>
          <w:rFonts w:ascii="Times New Roman" w:cs="Times New Roman" w:eastAsia="Times New Roman" w:hAnsi="Times New Roman"/>
          <w:sz w:val="22"/>
          <w:szCs w:val="22"/>
          <w:color w:val="auto"/>
        </w:rPr>
        <w:t>(12) months following Executive’s termination of employment with the Company, such prohibition shall not extend to any such actions taken by Executive on behalf of (A) Executive’s then current employer, (B) any entity with respect to which Executive is then a member of the board of directors or managers (as applicable), or (C) any non-publicly traded entity with respect to which Executive is a 5% or more equity owner (or any affiliate of any such entities referenced in clauses (A), (B) or (C)). Executive agrees that, in the event Executive is subpoenaed by any person or entity (including any government agency) to give testimony (in a deposition, court proceeding or otherwise) which in any way relates to Executive’s employment by the Company, Executive will, to the extent not legally prohibited from doing so, give prompt notice of such request to the President and Chief Executive Officer of the Company so that the Company may contest the right of the requesting person or entity to such disclosure before making such disclosure. Nothing in this provision shall require Executive to violate Executive’s obligation to comply with valid legal process.</w:t>
      </w:r>
    </w:p>
    <w:p>
      <w:pPr>
        <w:spacing w:after="0" w:line="195" w:lineRule="exact"/>
        <w:rPr>
          <w:sz w:val="20"/>
          <w:szCs w:val="20"/>
          <w:color w:val="auto"/>
        </w:rPr>
      </w:pPr>
    </w:p>
    <w:p>
      <w:pPr>
        <w:ind w:left="644" w:right="360" w:hanging="644"/>
        <w:spacing w:after="0" w:line="250" w:lineRule="auto"/>
        <w:tabs>
          <w:tab w:leader="none" w:pos="64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Blue Pencil</w:t>
      </w:r>
      <w:r>
        <w:rPr>
          <w:rFonts w:ascii="Times New Roman" w:cs="Times New Roman" w:eastAsia="Times New Roman" w:hAnsi="Times New Roman"/>
          <w:sz w:val="22"/>
          <w:szCs w:val="22"/>
          <w:color w:val="auto"/>
        </w:rPr>
        <w:t>. It is the intent and desire of Executive and the Company that the provisions of this Section 11 be enforced to the fullest extent permissible under the laws and public policies as applied in each jurisdiction in which enforcement is sought. If any particular provision of this Section 11 shall be determined to be invalid or unenforceable, such covenant shall be amended, without any action on the part of either party hereto, to delete therefrom the portion so determined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544"/>
          </w:cols>
          <w:pgMar w:left="976" w:top="1440" w:right="379" w:bottom="1440" w:gutter="0" w:footer="0" w:header="0"/>
        </w:sectPr>
      </w:pPr>
    </w:p>
    <w:bookmarkStart w:id="76" w:name="page77"/>
    <w:bookmarkEnd w:id="76"/>
    <w:p>
      <w:pPr>
        <w:spacing w:after="0" w:line="198" w:lineRule="exact"/>
        <w:rPr>
          <w:sz w:val="20"/>
          <w:szCs w:val="20"/>
          <w:color w:val="auto"/>
        </w:rPr>
      </w:pPr>
    </w:p>
    <w:p>
      <w:pPr>
        <w:ind w:left="1292" w:right="780"/>
        <w:spacing w:after="0" w:line="271" w:lineRule="auto"/>
        <w:rPr>
          <w:sz w:val="20"/>
          <w:szCs w:val="20"/>
          <w:color w:val="auto"/>
        </w:rPr>
      </w:pPr>
      <w:r>
        <w:rPr>
          <w:rFonts w:ascii="Times New Roman" w:cs="Times New Roman" w:eastAsia="Times New Roman" w:hAnsi="Times New Roman"/>
          <w:sz w:val="22"/>
          <w:szCs w:val="22"/>
          <w:color w:val="auto"/>
        </w:rPr>
        <w:t>invalid or unenforceable, such deletion to apply only with respect to the operation of such covenant in the particular jurisdiction in which such adjudication is made.</w:t>
      </w:r>
    </w:p>
    <w:p>
      <w:pPr>
        <w:spacing w:after="0" w:line="158" w:lineRule="exact"/>
        <w:rPr>
          <w:sz w:val="20"/>
          <w:szCs w:val="20"/>
          <w:color w:val="auto"/>
        </w:rPr>
      </w:pPr>
    </w:p>
    <w:p>
      <w:pPr>
        <w:ind w:left="652" w:right="80" w:hanging="652"/>
        <w:spacing w:after="0" w:line="246" w:lineRule="auto"/>
        <w:tabs>
          <w:tab w:leader="none" w:pos="65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Breach of Obligations under Sections 10 or 11 hereof</w:t>
      </w:r>
      <w:r>
        <w:rPr>
          <w:rFonts w:ascii="Times New Roman" w:cs="Times New Roman" w:eastAsia="Times New Roman" w:hAnsi="Times New Roman"/>
          <w:sz w:val="22"/>
          <w:szCs w:val="22"/>
          <w:color w:val="auto"/>
        </w:rPr>
        <w:t>. Executive acknowledges that the Company and its affiliates will suffer irreparable injury, not readily susceptible of valuation in monetary damages, if Executive breaches Executive's obligations under Sections 10 or 11 hereof. Accordingly, Executive agrees that the Company and its affiliates will be entitled, in addition to any other available remedies, to obtain injunctive relief against any breach or prospective breach by Executive of Executive's obligations under Sections 10 or 11 hereof in any Federal or state court sitting in the State of Delaware or, at the Company's election, in any other state in which Executive maintains Executive's principal residence or Executive's principal place of business. Executive hereby submits to the non-exclusive jurisdiction of all those courts for the purposes of any actions or proceedings instituted by the Company or its affiliates to obtain that injunctive relief, and Executive agrees that process in any or all of those actions or proceedings may be served by registered mail, addressed to the last address provided by Executive to the Company, or in any other manner authorized by law.</w:t>
      </w:r>
    </w:p>
    <w:p>
      <w:pPr>
        <w:spacing w:after="0" w:line="185"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hanging="644"/>
        <w:spacing w:after="0" w:line="247" w:lineRule="auto"/>
        <w:tabs>
          <w:tab w:leader="none" w:pos="1289"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(x) to which it is a party or (y) by which it is bound, and (iii) upon the execution and delivery of this Agreement by the parties, this Agreement shall be its valid and binding obligation, enforceable against it in accordance with its terms, except to the extent that enforceability may be limited by applicable bankruptcy, insolvency or similar laws affecting the enforcement of creditors' rights generally.</w:t>
      </w:r>
    </w:p>
    <w:p>
      <w:pPr>
        <w:spacing w:after="0" w:line="185" w:lineRule="exact"/>
        <w:rPr>
          <w:rFonts w:ascii="Times New Roman" w:cs="Times New Roman" w:eastAsia="Times New Roman" w:hAnsi="Times New Roman"/>
          <w:sz w:val="22"/>
          <w:szCs w:val="22"/>
          <w:color w:val="auto"/>
        </w:rPr>
      </w:pPr>
    </w:p>
    <w:p>
      <w:pPr>
        <w:ind w:left="1292" w:hanging="644"/>
        <w:spacing w:after="0" w:line="248" w:lineRule="auto"/>
        <w:tabs>
          <w:tab w:leader="none" w:pos="1287"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represents and warrants to the Company that the execution and delivery by Executive of this Agreement do not, and the performance by Executive of Executive's obligations hereunder will not, with or without the giving of notice or the passage of time, or both: (a) violate any judgment, writ, injunction, or order of any court, arbitrator, or governmental agency applicable to Executive; or (b) conflict with, result in the breach of any provisions of or the termination of, or constitute a default under, any agreement to which Executive is a party or by which Executive is or may be bound.</w:t>
      </w:r>
    </w:p>
    <w:p>
      <w:pPr>
        <w:spacing w:after="0" w:line="186"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12"/>
          </w:cols>
          <w:pgMar w:left="328" w:top="1440" w:right="359" w:bottom="1440" w:gutter="0" w:footer="0" w:header="0"/>
        </w:sectPr>
      </w:pPr>
    </w:p>
    <w:bookmarkStart w:id="77" w:name="page78"/>
    <w:bookmarkEnd w:id="77"/>
    <w:p>
      <w:pPr>
        <w:spacing w:after="0" w:line="198" w:lineRule="exact"/>
        <w:rPr>
          <w:sz w:val="20"/>
          <w:szCs w:val="20"/>
          <w:color w:val="auto"/>
        </w:rPr>
      </w:pPr>
    </w:p>
    <w:p>
      <w:pPr>
        <w:ind w:left="1304" w:right="20" w:hanging="860"/>
        <w:spacing w:after="0" w:line="246" w:lineRule="auto"/>
        <w:tabs>
          <w:tab w:leader="none" w:pos="130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and shall inure to the benefit of the Company, its successors and permitted assigns and the Company shall require any successor or permitted assign to expressly assume and agree to perform this Agreement in the same manner and to the same extent that the Company would be required to perform if no such succession or assignment had taken place. The Company may not assign or delegate any rights or obligations hereunder except to any of its affiliates or to a successor (whether direct or indirect, by purchase, merger, consolidation or otherwise) to all or substantially all of the business and/or assets of the Company. The term the "Company" as used herein shall include a corporation or other entity acquiring all or substantially all the assets and business of the Company (including this Agreement) whether by operation of law or otherwise.</w:t>
      </w:r>
    </w:p>
    <w:p>
      <w:pPr>
        <w:spacing w:after="0" w:line="190" w:lineRule="exact"/>
        <w:rPr>
          <w:rFonts w:ascii="Times New Roman" w:cs="Times New Roman" w:eastAsia="Times New Roman" w:hAnsi="Times New Roman"/>
          <w:sz w:val="22"/>
          <w:szCs w:val="22"/>
          <w:color w:val="auto"/>
        </w:rPr>
      </w:pPr>
    </w:p>
    <w:p>
      <w:pPr>
        <w:ind w:left="1304" w:hanging="919"/>
        <w:spacing w:after="0" w:line="252" w:lineRule="auto"/>
        <w:tabs>
          <w:tab w:leader="none" w:pos="130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this Agreement nor any right or interest hereunder shall be assignable or transferable by Executive, Executive’s beneficiaries or legal representatives, except by will or by the laws of descent and distribution. This Agreement shall inure to the benefit of and be enforceable by Executive's legal personal representatives.</w:t>
      </w:r>
    </w:p>
    <w:p>
      <w:pPr>
        <w:spacing w:after="0" w:line="179" w:lineRule="exact"/>
        <w:rPr>
          <w:rFonts w:ascii="Times New Roman" w:cs="Times New Roman" w:eastAsia="Times New Roman" w:hAnsi="Times New Roman"/>
          <w:sz w:val="22"/>
          <w:szCs w:val="22"/>
          <w:color w:val="auto"/>
        </w:rPr>
      </w:pPr>
    </w:p>
    <w:p>
      <w:pPr>
        <w:ind w:left="644" w:right="20" w:hanging="644"/>
        <w:spacing w:after="0" w:line="248" w:lineRule="auto"/>
        <w:tabs>
          <w:tab w:leader="none" w:pos="63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all notices to the Company shall be directed to the attention of the President and Chief Executive Officer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181" w:lineRule="exact"/>
        <w:rPr>
          <w:rFonts w:ascii="Times New Roman" w:cs="Times New Roman" w:eastAsia="Times New Roman" w:hAnsi="Times New Roman"/>
          <w:sz w:val="22"/>
          <w:szCs w:val="22"/>
          <w:color w:val="auto"/>
        </w:rPr>
      </w:pPr>
    </w:p>
    <w:p>
      <w:pPr>
        <w:ind w:left="644" w:right="60" w:hanging="644"/>
        <w:spacing w:after="0" w:line="247" w:lineRule="auto"/>
        <w:tabs>
          <w:tab w:leader="none" w:pos="64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Executive shall be indemnified by the Company to the maximum extent permitted by applicable law and as provided in the memorandum and articles of association of Endo. In addition, the Company agrees to continue and maintain, at the Company's sole expense, a directors' and officers' liability insurance policy covering Executive both during and the Employment Term and while the potential liability exists (but in no event longer than six (6) years, if such limitation applies to all other individuals covered by such policy) after the Employment Term, that is no less favorable than the policy covering Board members and other executive officers of the Company from time to time. The obligations under this paragraph shall survive any termination of the Employment Term.</w:t>
      </w:r>
    </w:p>
    <w:p>
      <w:pPr>
        <w:spacing w:after="0" w:line="185" w:lineRule="exact"/>
        <w:rPr>
          <w:rFonts w:ascii="Times New Roman" w:cs="Times New Roman" w:eastAsia="Times New Roman" w:hAnsi="Times New Roman"/>
          <w:sz w:val="22"/>
          <w:szCs w:val="22"/>
          <w:color w:val="auto"/>
        </w:rPr>
      </w:pPr>
    </w:p>
    <w:p>
      <w:pPr>
        <w:ind w:left="644" w:right="820" w:hanging="644"/>
        <w:spacing w:after="0" w:line="271" w:lineRule="auto"/>
        <w:tabs>
          <w:tab w:leader="none" w:pos="63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shall be entitled to withhold the amount, if any, of all taxes of any applicable jurisdiction required to be withheld by an employer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0564"/>
          </w:cols>
          <w:pgMar w:left="976" w:top="1440" w:right="359" w:bottom="1440" w:gutter="0" w:footer="0" w:header="0"/>
        </w:sectPr>
      </w:pPr>
    </w:p>
    <w:bookmarkStart w:id="78" w:name="page79"/>
    <w:bookmarkEnd w:id="78"/>
    <w:p>
      <w:pPr>
        <w:spacing w:after="0" w:line="198" w:lineRule="exact"/>
        <w:rPr>
          <w:sz w:val="20"/>
          <w:szCs w:val="20"/>
          <w:color w:val="auto"/>
        </w:rPr>
      </w:pPr>
    </w:p>
    <w:p>
      <w:pPr>
        <w:ind w:left="644" w:right="220"/>
        <w:spacing w:after="0" w:line="271" w:lineRule="auto"/>
        <w:rPr>
          <w:sz w:val="20"/>
          <w:szCs w:val="20"/>
          <w:color w:val="auto"/>
        </w:rPr>
      </w:pPr>
      <w:r>
        <w:rPr>
          <w:rFonts w:ascii="Times New Roman" w:cs="Times New Roman" w:eastAsia="Times New Roman" w:hAnsi="Times New Roman"/>
          <w:sz w:val="22"/>
          <w:szCs w:val="22"/>
          <w:color w:val="auto"/>
        </w:rPr>
        <w:t>respect to any amount paid to Executive hereunder. The Company, in its sole and absolute discretion, shall make all determinations as to whether it is obligated to withhold any taxes hereunder and the amount thereof.</w:t>
      </w:r>
    </w:p>
    <w:p>
      <w:pPr>
        <w:spacing w:after="0" w:line="158" w:lineRule="exact"/>
        <w:rPr>
          <w:sz w:val="20"/>
          <w:szCs w:val="20"/>
          <w:color w:val="auto"/>
        </w:rPr>
      </w:pPr>
    </w:p>
    <w:p>
      <w:pPr>
        <w:ind w:left="644" w:right="120" w:hanging="644"/>
        <w:spacing w:after="0" w:line="247" w:lineRule="auto"/>
        <w:tabs>
          <w:tab w:leader="none" w:pos="6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xml:space="preserve">. The termination benefits described in Section 8(d)(ii) – (iv) of this Agreement shall be conditioned on Executive delivering to the Company, a signed release of claims in the form of Exhibit A hereto within forty-five (45) days or twenty-one (21) days, as may be applicable under the Age Discrimination in Employment Act of 1967, as amended by the Older Workers Benefit Protection Act, following Executive's termination date, and not revoking Executive's consent to such release of claims within seven (7) days of such execution;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Executive shall not be required to release any rights Executive may have to be indemnified by, or be covered under any directors' and officers' liability insurance of, the Company under Section 14(c) of this Agreement.</w:t>
      </w:r>
    </w:p>
    <w:p>
      <w:pPr>
        <w:spacing w:after="0" w:line="185" w:lineRule="exact"/>
        <w:rPr>
          <w:rFonts w:ascii="Times New Roman" w:cs="Times New Roman" w:eastAsia="Times New Roman" w:hAnsi="Times New Roman"/>
          <w:sz w:val="22"/>
          <w:szCs w:val="22"/>
          <w:color w:val="auto"/>
        </w:rPr>
      </w:pPr>
    </w:p>
    <w:p>
      <w:pPr>
        <w:ind w:left="644" w:right="40" w:hanging="644"/>
        <w:spacing w:after="0" w:line="250" w:lineRule="auto"/>
        <w:tabs>
          <w:tab w:leader="none" w:pos="644"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as Officer or Director.</w:t>
      </w:r>
      <w:r>
        <w:rPr>
          <w:rFonts w:ascii="Times New Roman" w:cs="Times New Roman" w:eastAsia="Times New Roman" w:hAnsi="Times New Roman"/>
          <w:sz w:val="22"/>
          <w:szCs w:val="22"/>
          <w:color w:val="auto"/>
        </w:rPr>
        <w:t xml:space="preserve"> Upon a termination of employment for any reason, Executive shall, resign each position (if any) that Executive then holds as an officer or director of the Company and any of its affiliates. Executive's execution of this Agreement shall be deemed the grant by Executive to the officers of the Company of a limited power of attorney to sign in Executive's name and on Executive's behalf any such documentation as may be required to be executed solely for the limited purposes of effectuating such resignations.</w:t>
      </w:r>
    </w:p>
    <w:p>
      <w:pPr>
        <w:spacing w:after="0" w:line="180" w:lineRule="exact"/>
        <w:rPr>
          <w:rFonts w:ascii="Times New Roman" w:cs="Times New Roman" w:eastAsia="Times New Roman" w:hAnsi="Times New Roman"/>
          <w:sz w:val="22"/>
          <w:szCs w:val="22"/>
          <w:color w:val="auto"/>
        </w:rPr>
      </w:pPr>
    </w:p>
    <w:p>
      <w:pPr>
        <w:ind w:left="644" w:right="80" w:hanging="644"/>
        <w:spacing w:after="0" w:line="257" w:lineRule="auto"/>
        <w:tabs>
          <w:tab w:leader="none" w:pos="6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Acknowledgement</w:t>
      </w:r>
      <w:r>
        <w:rPr>
          <w:rFonts w:ascii="Times New Roman" w:cs="Times New Roman" w:eastAsia="Times New Roman" w:hAnsi="Times New Roman"/>
          <w:sz w:val="22"/>
          <w:szCs w:val="22"/>
          <w:color w:val="auto"/>
        </w:rPr>
        <w:t>. Executive acknowledges the Common Stock Ownership Guidelines for Non-Employee Directors and Executive Management of Endo International plc, as may be amended from time to time, and Endo's compensation recoupment policy, as may be amended from time to time.</w:t>
      </w:r>
    </w:p>
    <w:p>
      <w:pPr>
        <w:spacing w:after="0" w:line="172" w:lineRule="exact"/>
        <w:rPr>
          <w:rFonts w:ascii="Times New Roman" w:cs="Times New Roman" w:eastAsia="Times New Roman" w:hAnsi="Times New Roman"/>
          <w:sz w:val="22"/>
          <w:szCs w:val="22"/>
          <w:color w:val="auto"/>
        </w:rPr>
      </w:pPr>
    </w:p>
    <w:p>
      <w:pPr>
        <w:ind w:left="644" w:hanging="644"/>
        <w:spacing w:after="0" w:line="248" w:lineRule="auto"/>
        <w:tabs>
          <w:tab w:leader="none" w:pos="6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No provision of this Agreement may be modified, waived or discharged unless such waiver, modification or discharge is agreed to in writing and signed by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181" w:lineRule="exact"/>
        <w:rPr>
          <w:rFonts w:ascii="Times New Roman" w:cs="Times New Roman" w:eastAsia="Times New Roman" w:hAnsi="Times New Roman"/>
          <w:sz w:val="22"/>
          <w:szCs w:val="22"/>
          <w:color w:val="auto"/>
        </w:rPr>
      </w:pPr>
    </w:p>
    <w:p>
      <w:pPr>
        <w:ind w:left="644" w:right="100" w:hanging="644"/>
        <w:spacing w:after="0" w:line="248" w:lineRule="auto"/>
        <w:tabs>
          <w:tab w:leader="none" w:pos="63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Other Law</w:t>
      </w:r>
      <w:r>
        <w:rPr>
          <w:rFonts w:ascii="Times New Roman" w:cs="Times New Roman" w:eastAsia="Times New Roman" w:hAnsi="Times New Roman"/>
          <w:sz w:val="22"/>
          <w:szCs w:val="22"/>
          <w:color w:val="auto"/>
        </w:rPr>
        <w:t>. Anything herein to the contrary notwithstanding, the terms of this Agreement shall be modified to the extent required to meet the provisions of the Sarbanes-Oxley Act of 2002, Section 409A of the Code, or other federal law applicable to the employment arrangements between Executive and the Company. Any delay in providing benefits or payments, any failure to provide a benefit or payment, or any repayment of compensation that is required under the preceding sentence shall not in and of itself constitute a breach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584"/>
          </w:cols>
          <w:pgMar w:left="976" w:top="1440" w:right="339" w:bottom="1440" w:gutter="0" w:footer="0" w:header="0"/>
        </w:sectPr>
      </w:pPr>
    </w:p>
    <w:bookmarkStart w:id="79" w:name="page80"/>
    <w:bookmarkEnd w:id="79"/>
    <w:p>
      <w:pPr>
        <w:spacing w:after="0" w:line="198" w:lineRule="exact"/>
        <w:rPr>
          <w:sz w:val="20"/>
          <w:szCs w:val="20"/>
          <w:color w:val="auto"/>
        </w:rPr>
      </w:pPr>
    </w:p>
    <w:p>
      <w:pPr>
        <w:ind w:left="644" w:right="40"/>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provide economically equivalent payments or benefits to Executive to the extent permitted by law.</w:t>
      </w:r>
    </w:p>
    <w:p>
      <w:pPr>
        <w:spacing w:after="0" w:line="158" w:lineRule="exact"/>
        <w:rPr>
          <w:sz w:val="20"/>
          <w:szCs w:val="20"/>
          <w:color w:val="auto"/>
        </w:rPr>
      </w:pPr>
    </w:p>
    <w:p>
      <w:pPr>
        <w:ind w:left="644" w:right="20" w:hanging="644"/>
        <w:spacing w:after="0" w:line="250" w:lineRule="auto"/>
        <w:tabs>
          <w:tab w:leader="none" w:pos="63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laws of the State of Delaware applicable to contracts executed in and to be performed entirely within such State, without giving effect to the conflict of law principles thereof. Any dispute hereunder may be adjudicated in any Federal or state court sitting in the State of Delaware or, at the Company's election, in any other state in which Executive maintains Executive's principal residence or Executive's principal place of business.</w:t>
      </w:r>
    </w:p>
    <w:p>
      <w:pPr>
        <w:spacing w:after="0" w:line="180" w:lineRule="exact"/>
        <w:rPr>
          <w:rFonts w:ascii="Times New Roman" w:cs="Times New Roman" w:eastAsia="Times New Roman" w:hAnsi="Times New Roman"/>
          <w:sz w:val="22"/>
          <w:szCs w:val="22"/>
          <w:color w:val="auto"/>
        </w:rPr>
      </w:pPr>
    </w:p>
    <w:p>
      <w:pPr>
        <w:ind w:left="644" w:hanging="644"/>
        <w:spacing w:after="0" w:line="246" w:lineRule="auto"/>
        <w:tabs>
          <w:tab w:leader="none" w:pos="63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Conflicts</w:t>
      </w:r>
      <w:r>
        <w:rPr>
          <w:rFonts w:ascii="Times New Roman" w:cs="Times New Roman" w:eastAsia="Times New Roman" w:hAnsi="Times New Roman"/>
          <w:sz w:val="22"/>
          <w:szCs w:val="22"/>
          <w:color w:val="auto"/>
        </w:rPr>
        <w:t>. (A) Executive represents and warrants to the Company that Executive is not a party to or otherwise bound by any agreement or arrangement (including any license, covenant, or commitment of any nature), or subject to any judgment, decree, or order of any court or administrative agency, that would conflict with or will be in conflict with or in any way preclude, limit or inhibit Executive's ability to execute this Agreement or to carry out Executive's duties and responsibilities hereunder. (B) The Company represents and warrants to Executive that the Company is not a party to or otherwise bound by any agreement or arrangement (including any license, covenant, or commitment of any nature), or subject to any judgment, decree, or order of any court or administrative agency, that would conflict with or will be in conflict with or in any way preclude, limit or inhibit the Company's ability to execute this Agreement or to carry out the Company's duties and responsibilities hereunder.</w:t>
      </w:r>
    </w:p>
    <w:p>
      <w:pPr>
        <w:spacing w:after="0" w:line="187" w:lineRule="exact"/>
        <w:rPr>
          <w:rFonts w:ascii="Times New Roman" w:cs="Times New Roman" w:eastAsia="Times New Roman" w:hAnsi="Times New Roman"/>
          <w:sz w:val="22"/>
          <w:szCs w:val="22"/>
          <w:color w:val="auto"/>
        </w:rPr>
      </w:pPr>
    </w:p>
    <w:p>
      <w:pPr>
        <w:ind w:left="644" w:right="20" w:hanging="644"/>
        <w:spacing w:after="0" w:line="271" w:lineRule="auto"/>
        <w:tabs>
          <w:tab w:leader="none" w:pos="63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The provisions of this Agreement shall be deemed severable and the invalidity or unenforceability of any provision shall not affect the validity or enforceability of the other provisions hereof.</w:t>
      </w:r>
    </w:p>
    <w:p>
      <w:pPr>
        <w:spacing w:after="0" w:line="157" w:lineRule="exact"/>
        <w:rPr>
          <w:rFonts w:ascii="Times New Roman" w:cs="Times New Roman" w:eastAsia="Times New Roman" w:hAnsi="Times New Roman"/>
          <w:sz w:val="22"/>
          <w:szCs w:val="22"/>
          <w:color w:val="auto"/>
        </w:rPr>
      </w:pPr>
    </w:p>
    <w:p>
      <w:pPr>
        <w:ind w:left="644" w:right="20" w:hanging="644"/>
        <w:spacing w:after="0" w:line="250" w:lineRule="auto"/>
        <w:tabs>
          <w:tab w:leader="none" w:pos="63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Inconsistencies</w:t>
      </w:r>
      <w:r>
        <w:rPr>
          <w:rFonts w:ascii="Times New Roman" w:cs="Times New Roman" w:eastAsia="Times New Roman" w:hAnsi="Times New Roman"/>
          <w:sz w:val="22"/>
          <w:szCs w:val="22"/>
          <w:color w:val="auto"/>
        </w:rPr>
        <w:t>. In the event of any inconsistency between any provision of this Agreement and any provision of any employee handbook, personnel manual, program, policy, or arrangement of the Company or its affiliates (including any provisions relating to notice requirements and post-employment restrictions), the provisions of this Agreement shall control, unless Executive otherwise agrees in a writing that expressly refers to the provision of this Agreement whose control Executive is waiving.</w:t>
      </w:r>
    </w:p>
    <w:p>
      <w:pPr>
        <w:spacing w:after="0" w:line="180" w:lineRule="exact"/>
        <w:rPr>
          <w:rFonts w:ascii="Times New Roman" w:cs="Times New Roman" w:eastAsia="Times New Roman" w:hAnsi="Times New Roman"/>
          <w:sz w:val="22"/>
          <w:szCs w:val="22"/>
          <w:color w:val="auto"/>
        </w:rPr>
      </w:pPr>
    </w:p>
    <w:p>
      <w:pPr>
        <w:ind w:left="644" w:right="860" w:hanging="644"/>
        <w:spacing w:after="0" w:line="257" w:lineRule="auto"/>
        <w:tabs>
          <w:tab w:leader="none" w:pos="63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Beneficiaries/References</w:t>
      </w:r>
      <w:r>
        <w:rPr>
          <w:rFonts w:ascii="Times New Roman" w:cs="Times New Roman" w:eastAsia="Times New Roman" w:hAnsi="Times New Roman"/>
          <w:sz w:val="22"/>
          <w:szCs w:val="22"/>
          <w:color w:val="auto"/>
        </w:rPr>
        <w:t>. In the event of Executive's death or a judicial determination of Executive’s incompetence, references in this Agreement to Executive shall be deemed, where appropriate, to refer to Executive’s beneficiary, estate or other legal representative.</w:t>
      </w:r>
    </w:p>
    <w:p>
      <w:pPr>
        <w:spacing w:after="0" w:line="172" w:lineRule="exact"/>
        <w:rPr>
          <w:rFonts w:ascii="Times New Roman" w:cs="Times New Roman" w:eastAsia="Times New Roman" w:hAnsi="Times New Roman"/>
          <w:sz w:val="22"/>
          <w:szCs w:val="22"/>
          <w:color w:val="auto"/>
        </w:rPr>
      </w:pPr>
    </w:p>
    <w:p>
      <w:pPr>
        <w:ind w:left="644" w:right="140" w:hanging="644"/>
        <w:spacing w:after="0" w:line="257" w:lineRule="auto"/>
        <w:tabs>
          <w:tab w:leader="none" w:pos="63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in this Agreement, the respective rights and obligations of the parties hereunder shall survive the Employment Term and any termination of Executive's employment. Without limiting the generality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524"/>
          </w:cols>
          <w:pgMar w:left="976" w:top="1440" w:right="399" w:bottom="1440" w:gutter="0" w:footer="0" w:header="0"/>
        </w:sectPr>
      </w:pPr>
    </w:p>
    <w:bookmarkStart w:id="80" w:name="page81"/>
    <w:bookmarkEnd w:id="80"/>
    <w:p>
      <w:pPr>
        <w:spacing w:after="0" w:line="198"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forgoing, the provisions of Section 8, 10, 11, and 12 shall survive the termination of the Employment Term.</w:t>
      </w:r>
    </w:p>
    <w:p>
      <w:pPr>
        <w:spacing w:after="0" w:line="220" w:lineRule="exact"/>
        <w:rPr>
          <w:sz w:val="20"/>
          <w:szCs w:val="20"/>
          <w:color w:val="auto"/>
        </w:rPr>
      </w:pPr>
    </w:p>
    <w:p>
      <w:pPr>
        <w:ind w:left="1292" w:right="240" w:hanging="644"/>
        <w:spacing w:after="0" w:line="252" w:lineRule="auto"/>
        <w:tabs>
          <w:tab w:leader="none" w:pos="128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hereto and, as of the Effective Date, supersedes all prior agreements, understandings and arrangements, oral or written, between the parties hereto with respect to the subject matter hereof, including the Executive Employment Agreement by and between Executive and the Company dated February 13, 2018.</w:t>
      </w:r>
    </w:p>
    <w:p>
      <w:pPr>
        <w:spacing w:after="0" w:line="179" w:lineRule="exact"/>
        <w:rPr>
          <w:rFonts w:ascii="Times New Roman" w:cs="Times New Roman" w:eastAsia="Times New Roman" w:hAnsi="Times New Roman"/>
          <w:sz w:val="22"/>
          <w:szCs w:val="22"/>
          <w:color w:val="auto"/>
        </w:rPr>
      </w:pPr>
    </w:p>
    <w:p>
      <w:pPr>
        <w:ind w:left="1292" w:hanging="644"/>
        <w:spacing w:after="0" w:line="257" w:lineRule="auto"/>
        <w:tabs>
          <w:tab w:leader="none" w:pos="128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will be deemed to be an original copy of this Agreement and all of which, when taken together, will be deemed to constitute one and the same agreement.</w:t>
      </w:r>
    </w:p>
    <w:p>
      <w:pPr>
        <w:spacing w:after="0" w:line="172"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Rules of Construction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292" w:right="200" w:hanging="644"/>
        <w:spacing w:after="0" w:line="271" w:lineRule="auto"/>
        <w:tabs>
          <w:tab w:leader="none" w:pos="1289"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and subheadings set forth in this Agreement are inserted for the convenience of reference only and are to be ignored in any construction of the terms set forth herein.</w:t>
      </w:r>
    </w:p>
    <w:p>
      <w:pPr>
        <w:spacing w:after="0" w:line="157" w:lineRule="exact"/>
        <w:rPr>
          <w:rFonts w:ascii="Times New Roman" w:cs="Times New Roman" w:eastAsia="Times New Roman" w:hAnsi="Times New Roman"/>
          <w:sz w:val="22"/>
          <w:szCs w:val="22"/>
          <w:color w:val="auto"/>
        </w:rPr>
      </w:pPr>
    </w:p>
    <w:p>
      <w:pPr>
        <w:ind w:left="1292" w:right="40" w:hanging="644"/>
        <w:spacing w:after="0" w:line="271" w:lineRule="auto"/>
        <w:tabs>
          <w:tab w:leader="none" w:pos="1287"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applicable, the neuter, feminine or masculine pronoun as used herein shall also include the masculine or feminine, as the case may be.</w:t>
      </w:r>
    </w:p>
    <w:p>
      <w:pPr>
        <w:spacing w:after="0" w:line="157"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"including" is not limiting and means "including without limitation."</w:t>
      </w:r>
    </w:p>
    <w:p>
      <w:pPr>
        <w:spacing w:after="0" w:line="219" w:lineRule="exact"/>
        <w:rPr>
          <w:rFonts w:ascii="Times New Roman" w:cs="Times New Roman" w:eastAsia="Times New Roman" w:hAnsi="Times New Roman"/>
          <w:sz w:val="22"/>
          <w:szCs w:val="22"/>
          <w:color w:val="auto"/>
        </w:rPr>
      </w:pPr>
    </w:p>
    <w:p>
      <w:pPr>
        <w:ind w:left="1292" w:right="20" w:hanging="644"/>
        <w:spacing w:after="0" w:line="252" w:lineRule="auto"/>
        <w:tabs>
          <w:tab w:leader="none" w:pos="1287"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in this Agreement to any statute or statutory provisions include a reference to such statute or statutory provisions as from time to time amended, modified, reenacted, extended, consolidated or replaced (whether before or after the date of this Agreement) and to any subordinate legislation made from time to time under such statute or statutory provision.</w:t>
      </w:r>
    </w:p>
    <w:p>
      <w:pPr>
        <w:spacing w:after="0" w:line="179" w:lineRule="exact"/>
        <w:rPr>
          <w:rFonts w:ascii="Times New Roman" w:cs="Times New Roman" w:eastAsia="Times New Roman" w:hAnsi="Times New Roman"/>
          <w:sz w:val="22"/>
          <w:szCs w:val="22"/>
          <w:color w:val="auto"/>
        </w:rPr>
      </w:pPr>
    </w:p>
    <w:p>
      <w:pPr>
        <w:ind w:left="1292" w:right="340" w:hanging="644"/>
        <w:spacing w:after="0" w:line="271" w:lineRule="auto"/>
        <w:tabs>
          <w:tab w:leader="none" w:pos="1289"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"writing" or "written" include any non-transient means of representing or copying words legibly, including by facsimile or electronic mail.</w:t>
      </w:r>
    </w:p>
    <w:p>
      <w:pPr>
        <w:spacing w:after="0" w:line="157"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 are to United States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12"/>
          </w:cols>
          <w:pgMar w:left="328" w:top="1440" w:right="359" w:bottom="1440" w:gutter="0" w:footer="0" w:header="0"/>
        </w:sectPr>
      </w:pPr>
    </w:p>
    <w:bookmarkStart w:id="81" w:name="page82"/>
    <w:bookmarkEnd w:id="81"/>
    <w:p>
      <w:pPr>
        <w:spacing w:after="0" w:line="198" w:lineRule="exact"/>
        <w:rPr>
          <w:sz w:val="20"/>
          <w:szCs w:val="20"/>
          <w:color w:val="auto"/>
        </w:rPr>
      </w:pPr>
    </w:p>
    <w:p>
      <w:pPr>
        <w:ind w:right="44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Agreement to be executed by its duly authorized officer and Executive has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ENDO HEALTH SOLUTIONS INC.</w:t>
      </w:r>
    </w:p>
    <w:p>
      <w:pPr>
        <w:spacing w:after="0" w:line="278" w:lineRule="exact"/>
        <w:rPr>
          <w:sz w:val="20"/>
          <w:szCs w:val="20"/>
          <w:color w:val="auto"/>
        </w:rPr>
      </w:pPr>
    </w:p>
    <w:tbl>
      <w:tblPr>
        <w:tblLayout w:type="fixed"/>
        <w:tblInd w:w="5700" w:type="dxa"/>
        <w:tblCellMar>
          <w:top w:w="0" w:type="dxa"/>
          <w:left w:w="0" w:type="dxa"/>
          <w:bottom w:w="0" w:type="dxa"/>
          <w:right w:w="0" w:type="dxa"/>
        </w:tblCellMar>
      </w:tblPr>
      <w:tr>
        <w:trPr>
          <w:trHeight w:val="291"/>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BLAISE COLEMAN</w:t>
            </w:r>
          </w:p>
        </w:tc>
      </w:tr>
      <w:tr>
        <w:trPr>
          <w:trHeight w:val="295"/>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Blaise Coleman</w:t>
            </w:r>
          </w:p>
        </w:tc>
      </w:tr>
      <w:tr>
        <w:trPr>
          <w:trHeight w:val="311"/>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78" w:lineRule="exact"/>
        <w:rPr>
          <w:sz w:val="20"/>
          <w:szCs w:val="20"/>
          <w:color w:val="auto"/>
        </w:rPr>
      </w:pPr>
    </w:p>
    <w:tbl>
      <w:tblPr>
        <w:tblLayout w:type="fixed"/>
        <w:tblInd w:w="5700" w:type="dxa"/>
        <w:tblCellMar>
          <w:top w:w="0" w:type="dxa"/>
          <w:left w:w="0" w:type="dxa"/>
          <w:bottom w:w="0" w:type="dxa"/>
          <w:right w:w="0" w:type="dxa"/>
        </w:tblCellMar>
      </w:tblPr>
      <w:tr>
        <w:trPr>
          <w:trHeight w:val="291"/>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MATTHEW J. MALETTA</w:t>
            </w:r>
          </w:p>
        </w:tc>
      </w:tr>
      <w:tr>
        <w:trPr>
          <w:trHeight w:val="296"/>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Matthew J. Maletta</w:t>
            </w:r>
          </w:p>
        </w:tc>
      </w:tr>
      <w:tr>
        <w:trPr>
          <w:trHeight w:val="285"/>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Executive Vice President,</w:t>
            </w:r>
          </w:p>
        </w:tc>
      </w:tr>
      <w:tr>
        <w:trPr>
          <w:trHeight w:val="282"/>
        </w:trPr>
        <w:tc>
          <w:tcPr>
            <w:tcW w:w="1000" w:type="dxa"/>
            <w:vAlign w:val="bottom"/>
          </w:tcPr>
          <w:p>
            <w:pPr>
              <w:spacing w:after="0"/>
              <w:rPr>
                <w:sz w:val="24"/>
                <w:szCs w:val="2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22"/>
                <w:szCs w:val="22"/>
                <w:color w:val="auto"/>
              </w:rPr>
              <w:t>Chief Legal Officer and 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w:t>
      </w:r>
    </w:p>
    <w:p>
      <w:pPr>
        <w:sectPr>
          <w:pgSz w:w="11900" w:h="16838" w:orient="portrait"/>
          <w:cols w:equalWidth="0" w:num="1">
            <w:col w:w="11240"/>
          </w:cols>
          <w:pgMar w:left="320" w:top="144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RELEASE AGREEMENT</w:t>
      </w:r>
    </w:p>
    <w:p>
      <w:pPr>
        <w:spacing w:after="0" w:line="224" w:lineRule="exact"/>
        <w:rPr>
          <w:sz w:val="20"/>
          <w:szCs w:val="20"/>
          <w:color w:val="auto"/>
        </w:rPr>
      </w:pPr>
    </w:p>
    <w:p>
      <w:pPr>
        <w:ind w:right="380" w:firstLine="648"/>
        <w:spacing w:after="0" w:line="271" w:lineRule="auto"/>
        <w:rPr>
          <w:sz w:val="20"/>
          <w:szCs w:val="20"/>
          <w:color w:val="auto"/>
        </w:rPr>
      </w:pPr>
      <w:r>
        <w:rPr>
          <w:rFonts w:ascii="Times New Roman" w:cs="Times New Roman" w:eastAsia="Times New Roman" w:hAnsi="Times New Roman"/>
          <w:sz w:val="22"/>
          <w:szCs w:val="22"/>
          <w:color w:val="auto"/>
        </w:rPr>
        <w:t>THIS RELEASE AGREEMENT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is made by and between Matthew J. Maletta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Endo Health Solutions,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hanging="652"/>
        <w:spacing w:after="0" w:line="244" w:lineRule="auto"/>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AND IN CONSIDERATION of the payments and benefits provided in Section 8(d) (excluding clause (i)) of the Employment Agreement between Executive and the Company dated as of February 13, 2020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Executive, for Executive, his successors and assigns, executors and administrators, now and forever hereby releases and discharges the Company, together with all of its past and present parents, subsidiaries, and affiliates, together with each of their officers, directors, stockholders, partners, employees, agents, representatives and attorneys, and each of their subsidiaries, affiliates, estates, predecessors, successors, and assigns (hereinafter collectively referred to as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xml:space="preserve">") from any and all rights, claims, charges, actions, causes of action, complaints, sums of money, suits, debts, covenants, contracts, agreements, promises, obligations, damages, demands or liabilities of every kind whatsoever, in law or in equity, whether known or unknown, suspected or unsuspected, which Executive or Executive's executors, administrators, successors or assigns ever had, now has or may hereafter claim to have by reason of any matter, cause or thing whatsoever; arising from the beginning of time up to the date Executive executes the Release: (i) relating in any way to Executive's employment relationship with the Company or any of the Releasees, or the termination of Executive's employment relationship with the Company or any of the Releasees; (ii) arising under or relating to the Employment Agreement; (iii) arising under any federal, local or state statute or regulation, including, without limitation, the Age Discrimination in Employment Act of 1967, as amended by the Older Workers Benefit Protection Act, Title VII of the Civil Rights Act of 1964, the Americans with Disabilities Act of 1990, the Employee Retirement Income Security Act of 1974, the Equal Pay Act, Sections 1981 through 1988 of Title 42 of the United States Code, the Immigration Reform and Control Act, the Workers Adjustment and Retraining Notification Act, the Occupational Safety and Health Act, the Family and Medical Leave Act, the Fair Labor Standards Act of 1938, Executive Order 11246, the Pennsylvania Human Relations Act, the Pennsylvania Whistleblower Law, the New York State Human Rights Law, the New York Labor Law and the New York Civil Rights Law and/or the applicable state or local law or ordinance against discrimination, each as amended; (iv) relating to wrongful employment termination or breach of contract; or (v) arising under or relating to any policy, agreement, understanding or promise, written or oral, formal or informal, between the Company and any of the Releasees and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the foregoing, nothing contained in the Release shall in any way diminish or impair: (a) any rights Executive may have, from and after the date the Release is executed; (b) any rights to indemnification that may exist from time to time under the Company's certificate of incorporation or bylaws, or state law or any other indemnification agreement entered into between Executive and the Company; (c) any rights Executive may have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18" w:right="339" w:bottom="1440" w:gutter="0" w:footer="0" w:header="0"/>
        </w:sectPr>
      </w:pPr>
    </w:p>
    <w:bookmarkStart w:id="83" w:name="page84"/>
    <w:bookmarkEnd w:id="83"/>
    <w:p>
      <w:pPr>
        <w:spacing w:after="0" w:line="198" w:lineRule="exact"/>
        <w:rPr>
          <w:sz w:val="20"/>
          <w:szCs w:val="20"/>
          <w:color w:val="auto"/>
        </w:rPr>
      </w:pPr>
    </w:p>
    <w:p>
      <w:pPr>
        <w:ind w:left="652" w:right="40"/>
        <w:spacing w:after="0" w:line="260" w:lineRule="auto"/>
        <w:rPr>
          <w:sz w:val="20"/>
          <w:szCs w:val="20"/>
          <w:color w:val="auto"/>
        </w:rPr>
      </w:pPr>
      <w:r>
        <w:rPr>
          <w:rFonts w:ascii="Times New Roman" w:cs="Times New Roman" w:eastAsia="Times New Roman" w:hAnsi="Times New Roman"/>
          <w:sz w:val="21"/>
          <w:szCs w:val="21"/>
          <w:color w:val="auto"/>
        </w:rPr>
        <w:t>applicable general liability and/or directors and officers insurance policy maintained by the Company; (d) any rights Executive may have to payments and benefits under Sections 8(a)(i) and (iii) of the Employment Agreement; (e) the right to receive the following payments and benefits: [SPECIFIC LIST OF COMPENSATION AND BENEFITS PAYABLE UNDER SECTIONS 8(a)(ii), (iv), (v) and (vi) OF THE EMPLOYMENT AGREEMENT TO BE INCLUDED]; (f) Executive's ability to bring appropriate proceedings to enforce the Release; and (g) any rights or claims Executive may have that cannot be waived under applicable law (collectively, the "</w:t>
      </w:r>
      <w:r>
        <w:rPr>
          <w:rFonts w:ascii="Times New Roman" w:cs="Times New Roman" w:eastAsia="Times New Roman" w:hAnsi="Times New Roman"/>
          <w:sz w:val="21"/>
          <w:szCs w:val="21"/>
          <w:u w:val="single" w:color="auto"/>
          <w:color w:val="auto"/>
        </w:rPr>
        <w:t>Excluded Claims</w:t>
      </w:r>
      <w:r>
        <w:rPr>
          <w:rFonts w:ascii="Times New Roman" w:cs="Times New Roman" w:eastAsia="Times New Roman" w:hAnsi="Times New Roman"/>
          <w:sz w:val="21"/>
          <w:szCs w:val="21"/>
          <w:color w:val="auto"/>
        </w:rPr>
        <w:t>"). Executive further acknowledges and agrees that, except with respect to Excluded Claims, the Company and the Releasees have fully satisfied any and all obligations whatsoever owed to Executive arising out of Executive's employment with the Company or any of the Releasees, and that no further payments or benefits are owed to Executive by the Company or any of the Releasees.</w:t>
      </w:r>
    </w:p>
    <w:p>
      <w:pPr>
        <w:spacing w:after="0" w:line="170" w:lineRule="exact"/>
        <w:rPr>
          <w:sz w:val="20"/>
          <w:szCs w:val="20"/>
          <w:color w:val="auto"/>
        </w:rPr>
      </w:pPr>
    </w:p>
    <w:p>
      <w:pPr>
        <w:ind w:left="652" w:right="80" w:hanging="652"/>
        <w:spacing w:after="0" w:line="259" w:lineRule="auto"/>
        <w:tabs>
          <w:tab w:leader="none" w:pos="65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and agrees that Executive has been advised to consult with an attorney of Executive's choosing prior to signing the Release. Executive understands and agrees that Executive has the right and has been given the opportunity to review the Release with an attorney of Executive's choice should Executive so desire. Executive also agrees that Executive has entered into the Release freely and voluntarily. Executive further acknowledges and agrees that Executive has had at least [twenty-one (21)][forty-five (45)] calendar days to consider the Release, although Executive may sign it sooner if Executive wishes, but in any case, not prior to the termination date. In addition, once Executive has signed the Release, Executive shall have seven (7) additional days from the date of execution to revoke Executive's consent and may do so by writing to: ___________. The Release shall not be effective, and no payments shall be due hereunder, earlier than the eighth (8th) day after Executive shall have executed the Release and returned it to the Company, assuming that Executive had not revoked Executive's consent to the Release prior to such date.</w:t>
      </w:r>
    </w:p>
    <w:p>
      <w:pPr>
        <w:spacing w:after="0" w:line="175" w:lineRule="exact"/>
        <w:rPr>
          <w:rFonts w:ascii="Times New Roman" w:cs="Times New Roman" w:eastAsia="Times New Roman" w:hAnsi="Times New Roman"/>
          <w:sz w:val="21"/>
          <w:szCs w:val="21"/>
          <w:color w:val="auto"/>
        </w:rPr>
      </w:pPr>
    </w:p>
    <w:p>
      <w:pPr>
        <w:ind w:left="652" w:right="100" w:hanging="652"/>
        <w:spacing w:after="0" w:line="295" w:lineRule="auto"/>
        <w:tabs>
          <w:tab w:leader="none" w:pos="65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understood and agreed by Executive that any payment made to Executive is not to be construed as an admission of any liability whatsoever on the part of the Company or any of the other Releasees, by whom liability is expressly denied.</w:t>
      </w:r>
    </w:p>
    <w:p>
      <w:pPr>
        <w:spacing w:after="0" w:line="135" w:lineRule="exact"/>
        <w:rPr>
          <w:rFonts w:ascii="Times New Roman" w:cs="Times New Roman" w:eastAsia="Times New Roman" w:hAnsi="Times New Roman"/>
          <w:sz w:val="21"/>
          <w:szCs w:val="21"/>
          <w:color w:val="auto"/>
        </w:rPr>
      </w:pPr>
    </w:p>
    <w:p>
      <w:pPr>
        <w:ind w:left="652" w:right="60" w:hanging="652"/>
        <w:spacing w:after="0" w:line="252" w:lineRule="auto"/>
        <w:tabs>
          <w:tab w:leader="none" w:pos="65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is executed by Executive voluntarily and is not based upon any representations or statements of any kind made by the Company or any of the other Releasees as to the merits, legal liabilities or value of Executive's claims. Executive further acknowledges that Executive has had a full and reasonable opportunity to consider the Release and that Executive has not been pressured or in any way coerced into executing the Release.</w:t>
      </w:r>
    </w:p>
    <w:p>
      <w:pPr>
        <w:spacing w:after="0" w:line="179" w:lineRule="exact"/>
        <w:rPr>
          <w:rFonts w:ascii="Times New Roman" w:cs="Times New Roman" w:eastAsia="Times New Roman" w:hAnsi="Times New Roman"/>
          <w:sz w:val="22"/>
          <w:szCs w:val="22"/>
          <w:color w:val="auto"/>
        </w:rPr>
      </w:pPr>
    </w:p>
    <w:p>
      <w:pPr>
        <w:ind w:left="652" w:hanging="652"/>
        <w:spacing w:after="0" w:line="252" w:lineRule="auto"/>
        <w:tabs>
          <w:tab w:leader="none" w:pos="65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exclusive venue for any disputes arising hereunder shall be the state or federal courts located in the State of Delaware or, at the Company's election, in any other state in which Executive maintains Executive's principal residence or Executive's principal place of business, and each of the parties hereto irrevocably waives, to the fullest extent permitted by law, any objection which it may now or hereafter have to the laying of the venue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192"/>
          </w:cols>
          <w:pgMar w:left="328" w:top="1440" w:right="379" w:bottom="1440" w:gutter="0" w:footer="0" w:header="0"/>
        </w:sectPr>
      </w:pPr>
    </w:p>
    <w:bookmarkStart w:id="84" w:name="page85"/>
    <w:bookmarkEnd w:id="84"/>
    <w:p>
      <w:pPr>
        <w:spacing w:after="0" w:line="198" w:lineRule="exact"/>
        <w:rPr>
          <w:sz w:val="20"/>
          <w:szCs w:val="20"/>
          <w:color w:val="auto"/>
        </w:rPr>
      </w:pPr>
    </w:p>
    <w:p>
      <w:pPr>
        <w:ind w:left="652" w:right="40"/>
        <w:spacing w:after="0" w:line="250" w:lineRule="auto"/>
        <w:rPr>
          <w:sz w:val="20"/>
          <w:szCs w:val="20"/>
          <w:color w:val="auto"/>
        </w:rPr>
      </w:pPr>
      <w:r>
        <w:rPr>
          <w:rFonts w:ascii="Times New Roman" w:cs="Times New Roman" w:eastAsia="Times New Roman" w:hAnsi="Times New Roman"/>
          <w:sz w:val="22"/>
          <w:szCs w:val="22"/>
          <w:color w:val="auto"/>
        </w:rPr>
        <w:t>any such proceeding brought in such a court and any claim that any such proceeding brought in such a court has been brought in an inconvenient forum. Each of the parties hereto also agrees that any final and unappealable judgment against a party hereto in connection with any action, suit or other proceeding may be enforced in any court of competent jurisdiction, either within or outside of the United States. A certified or exemplified copy of such award or judgment shall be conclusive evidence of the fact and amount of such award or judgment.</w:t>
      </w:r>
    </w:p>
    <w:p>
      <w:pPr>
        <w:spacing w:after="0" w:line="181" w:lineRule="exact"/>
        <w:rPr>
          <w:sz w:val="20"/>
          <w:szCs w:val="20"/>
          <w:color w:val="auto"/>
        </w:rPr>
      </w:pPr>
    </w:p>
    <w:p>
      <w:pPr>
        <w:ind w:left="652" w:hanging="652"/>
        <w:spacing w:after="0" w:line="248" w:lineRule="auto"/>
        <w:tabs>
          <w:tab w:leader="none" w:pos="65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and the rights and obligations of the parties hereto shall be governed and construed in accordance with the laws of the State of Delaware. If any provision hereof is unenforceable or is held to be unenforceable, such provision shall be fully severable, and this document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w:t>
      </w:r>
    </w:p>
    <w:p>
      <w:pPr>
        <w:spacing w:after="0" w:line="186"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 shall inure to the benefit of and be binding upon the Company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12"/>
          </w:cols>
          <w:pgMar w:left="328" w:top="1440" w:right="359" w:bottom="1440" w:gutter="0" w:footer="0" w:header="0"/>
        </w:sectPr>
      </w:pPr>
    </w:p>
    <w:bookmarkStart w:id="85" w:name="page86"/>
    <w:bookmarkEnd w:id="85"/>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IN WITNESS WHEREOF, Executive and the Company have executed the Release as of the date and year provided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92" w:lineRule="exact"/>
        <w:rPr>
          <w:sz w:val="20"/>
          <w:szCs w:val="20"/>
          <w:color w:val="auto"/>
        </w:rPr>
      </w:pPr>
    </w:p>
    <w:p>
      <w:pPr>
        <w:ind w:right="320"/>
        <w:spacing w:after="0" w:line="299" w:lineRule="auto"/>
        <w:rPr>
          <w:sz w:val="20"/>
          <w:szCs w:val="20"/>
          <w:color w:val="auto"/>
        </w:rPr>
      </w:pPr>
      <w:r>
        <w:rPr>
          <w:rFonts w:ascii="Times New Roman" w:cs="Times New Roman" w:eastAsia="Times New Roman" w:hAnsi="Times New Roman"/>
          <w:sz w:val="21"/>
          <w:szCs w:val="21"/>
          <w:b w:val="1"/>
          <w:bCs w:val="1"/>
          <w:color w:val="auto"/>
        </w:rPr>
        <w:t>IMPORTANT NOTICE: BY SIGNING BELOW YOU RELEASE AND GIVE UP ANY AND ALL LEGAL CLAIMS, KNOWN AND UNKNOWN, THAT YOU MAY HAVE AGAINST THE COMPANY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ENDO HEALTH SOLUTIONS INC.</w:t>
            </w:r>
          </w:p>
        </w:tc>
        <w:tc>
          <w:tcPr>
            <w:tcW w:w="5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MATTHEW J. MALETTA</w:t>
            </w:r>
          </w:p>
        </w:tc>
      </w:tr>
      <w:tr>
        <w:trPr>
          <w:trHeight w:val="285"/>
        </w:trPr>
        <w:tc>
          <w:tcPr>
            <w:tcW w:w="52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8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Dated:</w:t>
            </w:r>
          </w:p>
        </w:tc>
        <w:tc>
          <w:tcPr>
            <w:tcW w:w="5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Dated:</w:t>
            </w:r>
          </w:p>
        </w:tc>
      </w:tr>
    </w:tbl>
    <w:p>
      <w:pPr>
        <w:sectPr>
          <w:pgSz w:w="11900" w:h="16838" w:orient="portrait"/>
          <w:cols w:equalWidth="0" w:num="1">
            <w:col w:w="11240"/>
          </w:cols>
          <w:pgMar w:left="320" w:top="1440"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180" w:hanging="7"/>
        <w:spacing w:after="0" w:line="266" w:lineRule="auto"/>
        <w:tabs>
          <w:tab w:leader="none" w:pos="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140" w:hanging="7"/>
        <w:spacing w:after="0" w:line="282" w:lineRule="auto"/>
        <w:tabs>
          <w:tab w:leader="none" w:pos="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20" w:right="360" w:hanging="7"/>
        <w:spacing w:after="0" w:line="266" w:lineRule="auto"/>
        <w:tabs>
          <w:tab w:leader="none" w:pos="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09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420" w:right="300" w:firstLine="479"/>
        <w:spacing w:after="0" w:line="266" w:lineRule="auto"/>
        <w:tabs>
          <w:tab w:leader="none" w:pos="110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09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right="420" w:firstLine="479"/>
        <w:spacing w:after="0" w:line="266" w:lineRule="auto"/>
        <w:tabs>
          <w:tab w:leader="none" w:pos="110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60" w:hanging="7"/>
        <w:spacing w:after="0" w:line="282" w:lineRule="auto"/>
        <w:tabs>
          <w:tab w:leader="none" w:pos="6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420" w:right="680" w:firstLine="479"/>
        <w:spacing w:after="0" w:line="282" w:lineRule="auto"/>
        <w:tabs>
          <w:tab w:leader="none" w:pos="109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360" w:firstLine="479"/>
        <w:spacing w:after="0" w:line="282" w:lineRule="auto"/>
        <w:tabs>
          <w:tab w:leader="none" w:pos="110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Blaise Coleman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3"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2020</w:t>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Bradley, certify that:</w:t>
      </w:r>
    </w:p>
    <w:p>
      <w:pPr>
        <w:spacing w:after="0" w:line="104" w:lineRule="exact"/>
        <w:rPr>
          <w:sz w:val="20"/>
          <w:szCs w:val="20"/>
          <w:color w:val="auto"/>
        </w:rPr>
      </w:pPr>
    </w:p>
    <w:p>
      <w:pPr>
        <w:ind w:left="600" w:hanging="187"/>
        <w:spacing w:after="0"/>
        <w:tabs>
          <w:tab w:leader="none" w:pos="6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180" w:hanging="7"/>
        <w:spacing w:after="0" w:line="266" w:lineRule="auto"/>
        <w:tabs>
          <w:tab w:leader="none" w:pos="6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140" w:hanging="7"/>
        <w:spacing w:after="0" w:line="282" w:lineRule="auto"/>
        <w:tabs>
          <w:tab w:leader="none" w:pos="6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20" w:right="360" w:hanging="7"/>
        <w:spacing w:after="0" w:line="266" w:lineRule="auto"/>
        <w:tabs>
          <w:tab w:leader="none" w:pos="6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0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420" w:right="300" w:firstLine="479"/>
        <w:spacing w:after="0" w:line="266" w:lineRule="auto"/>
        <w:tabs>
          <w:tab w:leader="none" w:pos="110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0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right="420" w:firstLine="479"/>
        <w:spacing w:after="0" w:line="266" w:lineRule="auto"/>
        <w:tabs>
          <w:tab w:leader="none" w:pos="110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60" w:hanging="7"/>
        <w:spacing w:after="0" w:line="282" w:lineRule="auto"/>
        <w:tabs>
          <w:tab w:leader="none" w:pos="6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420" w:right="680" w:firstLine="479"/>
        <w:spacing w:after="0" w:line="282" w:lineRule="auto"/>
        <w:tabs>
          <w:tab w:leader="none" w:pos="109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360" w:firstLine="479"/>
        <w:spacing w:after="0" w:line="282" w:lineRule="auto"/>
        <w:tabs>
          <w:tab w:leader="none" w:pos="110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T. Bradley</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3"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2020</w:t>
      </w:r>
    </w:p>
    <w:p>
      <w:pPr>
        <w:sectPr>
          <w:pgSz w:w="11900" w:h="16838" w:orient="portrait"/>
          <w:cols w:equalWidth="0" w:num="1">
            <w:col w:w="11240"/>
          </w:cols>
          <w:pgMar w:left="32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Blaise Coleman, as President and Chief Executive Officer of Endo International plc (the Company),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w:t>
      </w:r>
    </w:p>
    <w:p>
      <w:pPr>
        <w:spacing w:after="0" w:line="85" w:lineRule="exact"/>
        <w:rPr>
          <w:sz w:val="20"/>
          <w:szCs w:val="20"/>
          <w:color w:val="auto"/>
        </w:rPr>
      </w:pPr>
    </w:p>
    <w:p>
      <w:pPr>
        <w:ind w:left="420" w:right="20" w:firstLine="398"/>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2020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500" w:firstLine="398"/>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BLAISE COLEMAN</w:t>
            </w: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Blaise Coleman</w:t>
            </w:r>
          </w:p>
        </w:tc>
        <w:tc>
          <w:tcPr>
            <w:tcW w:w="940" w:type="dxa"/>
            <w:vAlign w:val="bottom"/>
          </w:tcPr>
          <w:p>
            <w:pPr>
              <w:spacing w:after="0"/>
              <w:rPr>
                <w:sz w:val="21"/>
                <w:szCs w:val="21"/>
                <w:color w:val="auto"/>
              </w:rPr>
            </w:pPr>
          </w:p>
        </w:tc>
      </w:tr>
      <w:tr>
        <w:trPr>
          <w:trHeight w:val="180"/>
        </w:trPr>
        <w:tc>
          <w:tcPr>
            <w:tcW w:w="9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27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9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17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40" w:lineRule="exact"/>
        <w:rPr>
          <w:sz w:val="20"/>
          <w:szCs w:val="20"/>
          <w:color w:val="auto"/>
        </w:rPr>
      </w:pPr>
    </w:p>
    <w:p>
      <w:pPr>
        <w:ind w:left="420" w:right="20" w:firstLine="398"/>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2020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500" w:firstLine="398"/>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T. BRADLEY</w:t>
            </w: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T. Bradley</w:t>
            </w:r>
          </w:p>
        </w:tc>
        <w:tc>
          <w:tcPr>
            <w:tcW w:w="1720" w:type="dxa"/>
            <w:vAlign w:val="bottom"/>
          </w:tcPr>
          <w:p>
            <w:pPr>
              <w:spacing w:after="0"/>
              <w:rPr>
                <w:sz w:val="21"/>
                <w:szCs w:val="21"/>
                <w:color w:val="auto"/>
              </w:rPr>
            </w:pPr>
          </w:p>
        </w:tc>
      </w:tr>
      <w:tr>
        <w:trPr>
          <w:trHeight w:val="180"/>
        </w:trPr>
        <w:tc>
          <w:tcPr>
            <w:tcW w:w="9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5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r>
      <w:tr>
        <w:trPr>
          <w:trHeight w:val="234"/>
        </w:trPr>
        <w:tc>
          <w:tcPr>
            <w:tcW w:w="9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2020</w:t>
      </w:r>
    </w:p>
    <w:p>
      <w:pPr>
        <w:spacing w:after="0" w:line="17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decimal"/>
      <w:start w:val="1"/>
    </w:lvl>
  </w:abstractNum>
  <w:abstractNum w:abstractNumId="11">
    <w:nsid w:val="7644A45C"/>
    <w:multiLevelType w:val="hybridMultilevel"/>
    <w:lvl w:ilvl="0">
      <w:lvlJc w:val="left"/>
      <w:lvlText w:val="(%1)"/>
      <w:numFmt w:val="decimal"/>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1."/>
      <w:numFmt w:val="decimal"/>
      <w:start w:val="13"/>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2"/>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3"/>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decimal"/>
      <w:start w:val="9"/>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1."/>
      <w:numFmt w:val="decimal"/>
      <w:start w:val="1"/>
    </w:lvl>
    <w:lvl w:ilvl="1">
      <w:lvlJc w:val="left"/>
      <w:lvlText w:val="(%2)"/>
      <w:numFmt w:val="lowerLetter"/>
      <w:start w:val="1"/>
    </w:lvl>
  </w:abstractNum>
  <w:abstractNum w:abstractNumId="43">
    <w:nsid w:val="310C50B3"/>
    <w:multiLevelType w:val="hybridMultilevel"/>
    <w:lvl w:ilvl="0">
      <w:lvlJc w:val="left"/>
      <w:lvlText w:val="%1."/>
      <w:numFmt w:val="decimal"/>
      <w:start w:val="3"/>
    </w:lvl>
    <w:lvl w:ilvl="1">
      <w:lvlJc w:val="left"/>
      <w:lvlText w:val="(%2)"/>
      <w:numFmt w:val="lowerLetter"/>
      <w:start w:val="1"/>
    </w:lvl>
  </w:abstractNum>
  <w:abstractNum w:abstractNumId="44">
    <w:nsid w:val="5FF87E05"/>
    <w:multiLevelType w:val="hybridMultilevel"/>
    <w:lvl w:ilvl="0">
      <w:lvlJc w:val="left"/>
      <w:lvlText w:val="%1."/>
      <w:numFmt w:val="decimal"/>
      <w:start w:val="5"/>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7">
    <w:nsid w:val="1DBABF0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8">
    <w:nsid w:val="4AD084E9"/>
    <w:multiLevelType w:val="hybridMultilevel"/>
    <w:lvl w:ilvl="0">
      <w:lvlJc w:val="left"/>
      <w:lvlText w:val="(%1)"/>
      <w:numFmt w:val="lowerLetter"/>
      <w:start w:val="2"/>
    </w:lvl>
    <w:lvl w:ilvl="1">
      <w:lvlJc w:val="left"/>
      <w:lvlText w:val="(%2)"/>
      <w:numFmt w:val="lowerRoman"/>
      <w:start w:val="4"/>
    </w:lvl>
  </w:abstractNum>
  <w:abstractNum w:abstractNumId="49">
    <w:nsid w:val="1F48EAA1"/>
    <w:multiLevelType w:val="hybridMultilevel"/>
    <w:lvl w:ilvl="0">
      <w:lvlJc w:val="left"/>
      <w:lvlText w:val="%1"/>
      <w:numFmt w:val="lowerLetter"/>
      <w:start w:val="1"/>
    </w:lvl>
    <w:lvl w:ilvl="1">
      <w:lvlJc w:val="left"/>
      <w:lvlText w:val="(%2)"/>
      <w:numFmt w:val="lowerRoman"/>
      <w:start w:val="6"/>
    </w:lvl>
  </w:abstractNum>
  <w:abstractNum w:abstractNumId="50">
    <w:nsid w:val="1381823A"/>
    <w:multiLevelType w:val="hybridMultilevel"/>
    <w:lvl w:ilvl="0">
      <w:lvlJc w:val="left"/>
      <w:lvlText w:val="(%1)"/>
      <w:numFmt w:val="lowerLetter"/>
      <w:start w:val="4"/>
    </w:lvl>
    <w:lvl w:ilvl="1">
      <w:lvlJc w:val="left"/>
      <w:lvlText w:val="%2"/>
      <w:numFmt w:val="lowerRoman"/>
      <w:start w:val="1"/>
    </w:lvl>
  </w:abstractNum>
  <w:abstractNum w:abstractNumId="51">
    <w:nsid w:val="5DB70AE5"/>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52">
    <w:nsid w:val="100F8FC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53">
    <w:nsid w:val="6590700B"/>
    <w:multiLevelType w:val="hybridMultilevel"/>
    <w:lvl w:ilvl="0">
      <w:lvlJc w:val="left"/>
      <w:lvlText w:val="%1"/>
      <w:numFmt w:val="lowerLetter"/>
      <w:start w:val="1"/>
    </w:lvl>
    <w:lvl w:ilvl="1">
      <w:lvlJc w:val="left"/>
      <w:lvlText w:val="(%2)"/>
      <w:numFmt w:val="lowerRoman"/>
      <w:start w:val="2"/>
    </w:lvl>
  </w:abstractNum>
  <w:abstractNum w:abstractNumId="54">
    <w:nsid w:val="15014ACB"/>
    <w:multiLevelType w:val="hybridMultilevel"/>
    <w:lvl w:ilvl="0">
      <w:lvlJc w:val="left"/>
      <w:lvlText w:val="(%1)"/>
      <w:numFmt w:val="lowerLetter"/>
      <w:start w:val="2"/>
    </w:lvl>
    <w:lvl w:ilvl="1">
      <w:lvlJc w:val="left"/>
      <w:lvlText w:val="(%2)"/>
      <w:numFmt w:val="lowerRoman"/>
      <w:start w:val="1"/>
    </w:lvl>
  </w:abstractNum>
  <w:abstractNum w:abstractNumId="55">
    <w:nsid w:val="5F5E7FD0"/>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56">
    <w:nsid w:val="98A3148"/>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57">
    <w:nsid w:val="799D02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8">
    <w:nsid w:val="6B9476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9">
    <w:nsid w:val="42C296B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60">
    <w:nsid w:val="168E121F"/>
    <w:multiLevelType w:val="hybridMultilevel"/>
    <w:lvl w:ilvl="0">
      <w:lvlJc w:val="left"/>
      <w:lvlText w:val="(%1)"/>
      <w:numFmt w:val="lowerLetter"/>
      <w:start w:val="2"/>
    </w:lvl>
  </w:abstractNum>
  <w:abstractNum w:abstractNumId="61">
    <w:nsid w:val="1EBA5D23"/>
    <w:multiLevelType w:val="hybridMultilevel"/>
    <w:lvl w:ilvl="0">
      <w:lvlJc w:val="left"/>
      <w:lvlText w:val="%1."/>
      <w:numFmt w:val="decimal"/>
      <w:start w:val="10"/>
    </w:lvl>
    <w:lvl w:ilvl="1">
      <w:lvlJc w:val="left"/>
      <w:lvlText w:val="(%2)"/>
      <w:numFmt w:val="lowerLetter"/>
      <w:start w:val="1"/>
    </w:lvl>
  </w:abstractNum>
  <w:abstractNum w:abstractNumId="62">
    <w:nsid w:val="661E3F1E"/>
    <w:multiLevelType w:val="hybridMultilevel"/>
    <w:lvl w:ilvl="0">
      <w:lvlJc w:val="left"/>
      <w:lvlText w:val="(%1)"/>
      <w:numFmt w:val="lowerLetter"/>
      <w:start w:val="3"/>
    </w:lvl>
    <w:lvl w:ilvl="1">
      <w:lvlJc w:val="left"/>
      <w:lvlText w:val="(%2)"/>
      <w:numFmt w:val="lowerRoman"/>
      <w:start w:val="1"/>
    </w:lvl>
  </w:abstractNum>
  <w:abstractNum w:abstractNumId="63">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lowerRoman"/>
      <w:start w:val="1"/>
    </w:lvl>
  </w:abstractNum>
  <w:abstractNum w:abstractNumId="64">
    <w:nsid w:val="540A471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Roman"/>
      <w:start w:val="1"/>
    </w:lvl>
  </w:abstractNum>
  <w:abstractNum w:abstractNumId="65">
    <w:nsid w:val="7BD3EE7B"/>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6">
    <w:nsid w:val="51D9C564"/>
    <w:multiLevelType w:val="hybridMultilevel"/>
    <w:lvl w:ilvl="0">
      <w:lvlJc w:val="left"/>
      <w:lvlText w:val="(%1)"/>
      <w:numFmt w:val="lowerLetter"/>
      <w:start w:val="1"/>
    </w:lvl>
    <w:lvl w:ilvl="1">
      <w:lvlJc w:val="left"/>
      <w:lvlText w:val="(%2)"/>
      <w:numFmt w:val="lowerRoman"/>
      <w:start w:val="1"/>
    </w:lvl>
  </w:abstractNum>
  <w:abstractNum w:abstractNumId="67">
    <w:nsid w:val="613EFDC5"/>
    <w:multiLevelType w:val="hybridMultilevel"/>
    <w:lvl w:ilvl="0">
      <w:lvlJc w:val="left"/>
      <w:lvlText w:val="(%1)"/>
      <w:numFmt w:val="lowerRoman"/>
      <w:start w:val="2"/>
    </w:lvl>
  </w:abstractNum>
  <w:abstractNum w:abstractNumId="68">
    <w:nsid w:val="BF72B14"/>
    <w:multiLevelType w:val="hybridMultilevel"/>
    <w:lvl w:ilvl="0">
      <w:lvlJc w:val="left"/>
      <w:lvlText w:val="(%1)"/>
      <w:numFmt w:val="lowerLetter"/>
      <w:start w:val="3"/>
    </w:lvl>
  </w:abstractNum>
  <w:abstractNum w:abstractNumId="69">
    <w:nsid w:val="11447B73"/>
    <w:multiLevelType w:val="hybridMultilevel"/>
    <w:lvl w:ilvl="0">
      <w:lvlJc w:val="left"/>
      <w:lvlText w:val="(%1)"/>
      <w:numFmt w:val="lowerLetter"/>
      <w:start w:val="5"/>
    </w:lvl>
  </w:abstractNum>
  <w:abstractNum w:abstractNumId="70">
    <w:nsid w:val="42963E5A"/>
    <w:multiLevelType w:val="hybridMultilevel"/>
    <w:lvl w:ilvl="0">
      <w:lvlJc w:val="left"/>
      <w:lvlText w:val="%1."/>
      <w:numFmt w:val="decimal"/>
      <w:start w:val="12"/>
    </w:lvl>
    <w:lvl w:ilvl="1">
      <w:lvlJc w:val="left"/>
      <w:lvlText w:val="(%2)"/>
      <w:numFmt w:val="lowerLetter"/>
      <w:start w:val="1"/>
    </w:lvl>
  </w:abstractNum>
  <w:abstractNum w:abstractNumId="71">
    <w:nsid w:val="A0382C5"/>
    <w:multiLevelType w:val="hybridMultilevel"/>
    <w:lvl w:ilvl="0">
      <w:lvlJc w:val="left"/>
      <w:lvlText w:val="%1"/>
      <w:numFmt w:val="lowerLetter"/>
      <w:start w:val="1"/>
    </w:lvl>
    <w:lvl w:ilvl="1">
      <w:lvlJc w:val="left"/>
      <w:lvlText w:val="(%2)"/>
      <w:numFmt w:val="lowerRoman"/>
      <w:start w:val="1"/>
    </w:lvl>
  </w:abstractNum>
  <w:abstractNum w:abstractNumId="72">
    <w:nsid w:val="8F2B15E"/>
    <w:multiLevelType w:val="hybridMultilevel"/>
    <w:lvl w:ilvl="0">
      <w:lvlJc w:val="left"/>
      <w:lvlText w:val="(%1)"/>
      <w:numFmt w:val="lowerLetter"/>
      <w:start w:val="2"/>
    </w:lvl>
    <w:lvl w:ilvl="1">
      <w:lvlJc w:val="left"/>
      <w:lvlText w:val="%2"/>
      <w:numFmt w:val="lowerRoman"/>
      <w:start w:val="1"/>
    </w:lvl>
  </w:abstractNum>
  <w:abstractNum w:abstractNumId="73">
    <w:nsid w:val="1A32234B"/>
    <w:multiLevelType w:val="hybridMultilevel"/>
    <w:lvl w:ilvl="0">
      <w:lvlJc w:val="left"/>
      <w:lvlText w:val="(%1)"/>
      <w:numFmt w:val="lowerLetter"/>
      <w:start w:val="5"/>
    </w:lvl>
  </w:abstractNum>
  <w:abstractNum w:abstractNumId="74">
    <w:nsid w:val="3B0FD379"/>
    <w:multiLevelType w:val="hybridMultilevel"/>
    <w:lvl w:ilvl="0">
      <w:lvlJc w:val="left"/>
      <w:lvlText w:val="(%1)"/>
      <w:numFmt w:val="lowerLetter"/>
      <w:start w:val="10"/>
    </w:lvl>
  </w:abstractNum>
  <w:abstractNum w:abstractNumId="75">
    <w:nsid w:val="68EB2F63"/>
    <w:multiLevelType w:val="hybridMultilevel"/>
    <w:lvl w:ilvl="0">
      <w:lvlJc w:val="left"/>
      <w:lvlText w:val="%1"/>
      <w:numFmt w:val="decimal"/>
      <w:start w:val="1"/>
    </w:lvl>
    <w:lvl w:ilvl="1">
      <w:lvlJc w:val="left"/>
      <w:lvlText w:val="(%2)"/>
      <w:numFmt w:val="lowerLetter"/>
      <w:start w:val="16"/>
    </w:lvl>
  </w:abstractNum>
  <w:abstractNum w:abstractNumId="76">
    <w:nsid w:val="4962813B"/>
    <w:multiLevelType w:val="hybridMultilevel"/>
    <w:lvl w:ilvl="0">
      <w:lvlJc w:val="left"/>
      <w:lvlText w:val="%1."/>
      <w:numFmt w:val="decimal"/>
      <w:start w:val="15"/>
    </w:lvl>
    <w:lvl w:ilvl="1">
      <w:lvlJc w:val="left"/>
      <w:lvlText w:val="(%2)"/>
      <w:numFmt w:val="lowerLetter"/>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2"/>
    </w:lvl>
  </w:abstractNum>
  <w:abstractNum w:abstractNumId="79">
    <w:nsid w:val="14330624"/>
    <w:multiLevelType w:val="hybridMultilevel"/>
    <w:lvl w:ilvl="0">
      <w:lvlJc w:val="left"/>
      <w:lvlText w:val="%1."/>
      <w:numFmt w:val="decimal"/>
      <w:start w:val="6"/>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97" Type="http://schemas.openxmlformats.org/officeDocument/2006/relationships/hyperlink" Target="http://www.sec.gov/Archives/edgar/data/1593034/000119312520271732/d87354dex21.htm" TargetMode="External"/><Relationship Id="rId98" Type="http://schemas.openxmlformats.org/officeDocument/2006/relationships/hyperlink" Target="http://www.sec.gov/Archives/edgar/data/1593034/000119312520271732/d8735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2020-11-06T09:26:12Z</dcterms:created>
  <dcterms:modified xsi:type="dcterms:W3CDTF">2020-11-06T09:26:12Z</dcterms:modified>
</cp:coreProperties>
</file>