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95"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23"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3320" w:right="860" w:hanging="2453"/>
        <w:spacing w:after="0" w:line="249" w:lineRule="auto"/>
        <w:tabs>
          <w:tab w:leader="none" w:pos="1204"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right="400"/>
        <w:spacing w:after="0"/>
        <w:rPr>
          <w:sz w:val="20"/>
          <w:szCs w:val="20"/>
          <w:color w:val="auto"/>
        </w:rPr>
      </w:pPr>
      <w:r>
        <w:rPr>
          <w:rFonts w:ascii="Arial" w:cs="Arial" w:eastAsia="Arial" w:hAnsi="Arial"/>
          <w:sz w:val="20"/>
          <w:szCs w:val="20"/>
          <w:b w:val="1"/>
          <w:bCs w:val="1"/>
          <w:color w:val="auto"/>
        </w:rPr>
        <w:t>or</w:t>
      </w:r>
    </w:p>
    <w:p>
      <w:pPr>
        <w:spacing w:after="0" w:line="35" w:lineRule="exact"/>
        <w:rPr>
          <w:sz w:val="24"/>
          <w:szCs w:val="24"/>
          <w:color w:val="auto"/>
        </w:rPr>
      </w:pPr>
    </w:p>
    <w:p>
      <w:pPr>
        <w:ind w:left="1220" w:hanging="393"/>
        <w:spacing w:after="0"/>
        <w:tabs>
          <w:tab w:leader="none" w:pos="12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ind w:left="3540"/>
              <w:spacing w:after="0"/>
              <w:rPr>
                <w:sz w:val="20"/>
                <w:szCs w:val="20"/>
                <w:color w:val="auto"/>
              </w:rPr>
            </w:pPr>
            <w:r>
              <w:rPr>
                <w:rFonts w:ascii="Arial" w:cs="Arial" w:eastAsia="Arial" w:hAnsi="Arial"/>
                <w:sz w:val="18"/>
                <w:szCs w:val="18"/>
                <w:b w:val="1"/>
                <w:bCs w:val="1"/>
                <w:color w:val="auto"/>
              </w:rPr>
              <w:t>FOR THE TRANSITION PERIOD FROM</w:t>
            </w:r>
          </w:p>
        </w:tc>
        <w:tc>
          <w:tcPr>
            <w:tcW w:w="3060" w:type="dxa"/>
            <w:vAlign w:val="bottom"/>
          </w:tcPr>
          <w:p>
            <w:pPr>
              <w:ind w:left="100"/>
              <w:spacing w:after="0"/>
              <w:rPr>
                <w:sz w:val="20"/>
                <w:szCs w:val="20"/>
                <w:color w:val="auto"/>
              </w:rPr>
            </w:pPr>
            <w:r>
              <w:rPr>
                <w:rFonts w:ascii="Arial" w:cs="Arial" w:eastAsia="Arial" w:hAnsi="Arial"/>
                <w:sz w:val="18"/>
                <w:szCs w:val="18"/>
                <w:b w:val="1"/>
                <w:bCs w:val="1"/>
                <w:color w:val="auto"/>
              </w:rPr>
              <w:t>TO</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00" w:type="dxa"/>
            <w:vAlign w:val="bottom"/>
          </w:tcPr>
          <w:p>
            <w:pPr>
              <w:jc w:val="center"/>
              <w:ind w:left="3840"/>
              <w:spacing w:after="0"/>
              <w:rPr>
                <w:sz w:val="20"/>
                <w:szCs w:val="20"/>
                <w:color w:val="auto"/>
              </w:rPr>
            </w:pPr>
            <w:r>
              <w:rPr>
                <w:rFonts w:ascii="Arial" w:cs="Arial" w:eastAsia="Arial" w:hAnsi="Arial"/>
                <w:sz w:val="20"/>
                <w:szCs w:val="20"/>
                <w:b w:val="1"/>
                <w:bCs w:val="1"/>
                <w:color w:val="auto"/>
                <w:w w:val="89"/>
              </w:rPr>
              <w:t>Commission File Number: 001-36326</w:t>
            </w:r>
          </w:p>
        </w:tc>
        <w:tc>
          <w:tcPr>
            <w:tcW w:w="3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7300" w:type="dxa"/>
            <w:vAlign w:val="bottom"/>
          </w:tcPr>
          <w:p>
            <w:pPr>
              <w:jc w:val="center"/>
              <w:ind w:left="382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7300" w:type="dxa"/>
            <w:vAlign w:val="bottom"/>
          </w:tcPr>
          <w:p>
            <w:pPr>
              <w:jc w:val="center"/>
              <w:ind w:left="3820"/>
              <w:spacing w:after="0"/>
              <w:rPr>
                <w:sz w:val="20"/>
                <w:szCs w:val="20"/>
                <w:color w:val="auto"/>
              </w:rPr>
            </w:pPr>
            <w:r>
              <w:rPr>
                <w:rFonts w:ascii="Arial" w:cs="Arial" w:eastAsia="Arial" w:hAnsi="Arial"/>
                <w:sz w:val="29"/>
                <w:szCs w:val="29"/>
                <w:b w:val="1"/>
                <w:bCs w:val="1"/>
                <w:color w:val="auto"/>
                <w:w w:val="91"/>
              </w:rPr>
              <w:t>Endo International plc</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60" w:type="dxa"/>
            <w:vAlign w:val="bottom"/>
            <w:gridSpan w:val="2"/>
          </w:tcPr>
          <w:p>
            <w:pPr>
              <w:jc w:val="center"/>
              <w:ind w:left="7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300" w:type="dxa"/>
            <w:vAlign w:val="bottom"/>
          </w:tcPr>
          <w:p>
            <w:pPr>
              <w:jc w:val="center"/>
              <w:ind w:left="3820"/>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3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7300" w:type="dxa"/>
            <w:vAlign w:val="bottom"/>
          </w:tcPr>
          <w:p>
            <w:pPr>
              <w:jc w:val="center"/>
              <w:ind w:right="1380"/>
              <w:spacing w:after="0"/>
              <w:rPr>
                <w:sz w:val="20"/>
                <w:szCs w:val="20"/>
                <w:color w:val="auto"/>
              </w:rPr>
            </w:pPr>
            <w:r>
              <w:rPr>
                <w:rFonts w:ascii="Arial" w:cs="Arial" w:eastAsia="Arial" w:hAnsi="Arial"/>
                <w:sz w:val="14"/>
                <w:szCs w:val="14"/>
                <w:b w:val="1"/>
                <w:bCs w:val="1"/>
                <w:color w:val="auto"/>
                <w:w w:val="95"/>
              </w:rPr>
              <w:t>Ireland</w:t>
            </w:r>
          </w:p>
        </w:tc>
        <w:tc>
          <w:tcPr>
            <w:tcW w:w="3060" w:type="dxa"/>
            <w:vAlign w:val="bottom"/>
          </w:tcPr>
          <w:p>
            <w:pPr>
              <w:jc w:val="center"/>
              <w:ind w:right="524"/>
              <w:spacing w:after="0"/>
              <w:rPr>
                <w:sz w:val="20"/>
                <w:szCs w:val="20"/>
                <w:color w:val="auto"/>
              </w:rPr>
            </w:pPr>
            <w:r>
              <w:rPr>
                <w:rFonts w:ascii="Arial" w:cs="Arial" w:eastAsia="Arial" w:hAnsi="Arial"/>
                <w:sz w:val="14"/>
                <w:szCs w:val="14"/>
                <w:b w:val="1"/>
                <w:bCs w:val="1"/>
                <w:color w:val="auto"/>
                <w:w w:val="93"/>
              </w:rPr>
              <w:t>68-0683755</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300" w:type="dxa"/>
            <w:vAlign w:val="bottom"/>
          </w:tcPr>
          <w:p>
            <w:pPr>
              <w:jc w:val="center"/>
              <w:ind w:right="138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060" w:type="dxa"/>
            <w:vAlign w:val="bottom"/>
          </w:tcPr>
          <w:p>
            <w:pPr>
              <w:jc w:val="center"/>
              <w:ind w:right="524"/>
              <w:spacing w:after="0"/>
              <w:rPr>
                <w:sz w:val="20"/>
                <w:szCs w:val="20"/>
                <w:color w:val="auto"/>
              </w:rPr>
            </w:pPr>
            <w:r>
              <w:rPr>
                <w:rFonts w:ascii="Arial" w:cs="Arial" w:eastAsia="Arial" w:hAnsi="Arial"/>
                <w:sz w:val="14"/>
                <w:szCs w:val="14"/>
                <w:color w:val="auto"/>
                <w:w w:val="97"/>
              </w:rPr>
              <w:t>(I.R.S. Employer Identification No.)</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00" w:type="dxa"/>
            <w:vAlign w:val="bottom"/>
          </w:tcPr>
          <w:p>
            <w:pPr>
              <w:jc w:val="center"/>
              <w:ind w:right="1380"/>
              <w:spacing w:after="0"/>
              <w:rPr>
                <w:sz w:val="20"/>
                <w:szCs w:val="20"/>
                <w:color w:val="auto"/>
              </w:rPr>
            </w:pPr>
            <w:r>
              <w:rPr>
                <w:rFonts w:ascii="Arial" w:cs="Arial" w:eastAsia="Arial" w:hAnsi="Arial"/>
                <w:sz w:val="14"/>
                <w:szCs w:val="14"/>
                <w:b w:val="1"/>
                <w:bCs w:val="1"/>
                <w:color w:val="auto"/>
                <w:w w:val="93"/>
              </w:rPr>
              <w:t>First Floor, Minerva House, Simmonscourt Road</w:t>
            </w:r>
          </w:p>
        </w:tc>
        <w:tc>
          <w:tcPr>
            <w:tcW w:w="3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520"/>
              <w:spacing w:after="0"/>
              <w:rPr>
                <w:sz w:val="20"/>
                <w:szCs w:val="20"/>
                <w:color w:val="auto"/>
              </w:rPr>
            </w:pPr>
            <w:r>
              <w:rPr>
                <w:rFonts w:ascii="Arial" w:cs="Arial" w:eastAsia="Arial" w:hAnsi="Arial"/>
                <w:sz w:val="14"/>
                <w:szCs w:val="14"/>
                <w:b w:val="1"/>
                <w:bCs w:val="1"/>
                <w:color w:val="auto"/>
              </w:rPr>
              <w:t>Ballsbridge, Dublin 4,  Ireland</w:t>
            </w:r>
          </w:p>
        </w:tc>
        <w:tc>
          <w:tcPr>
            <w:tcW w:w="3060" w:type="dxa"/>
            <w:vAlign w:val="bottom"/>
          </w:tcPr>
          <w:p>
            <w:pPr>
              <w:jc w:val="center"/>
              <w:ind w:right="504"/>
              <w:spacing w:after="0"/>
              <w:rPr>
                <w:sz w:val="20"/>
                <w:szCs w:val="20"/>
                <w:color w:val="auto"/>
              </w:rPr>
            </w:pPr>
            <w:r>
              <w:rPr>
                <w:rFonts w:ascii="Arial" w:cs="Arial" w:eastAsia="Arial" w:hAnsi="Arial"/>
                <w:sz w:val="14"/>
                <w:szCs w:val="14"/>
                <w:b w:val="1"/>
                <w:bCs w:val="1"/>
                <w:color w:val="auto"/>
                <w:w w:val="93"/>
              </w:rPr>
              <w:t>Not Applicable</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jc w:val="center"/>
              <w:ind w:right="1380"/>
              <w:spacing w:after="0"/>
              <w:rPr>
                <w:sz w:val="20"/>
                <w:szCs w:val="20"/>
                <w:color w:val="auto"/>
              </w:rPr>
            </w:pPr>
            <w:r>
              <w:rPr>
                <w:rFonts w:ascii="Arial" w:cs="Arial" w:eastAsia="Arial" w:hAnsi="Arial"/>
                <w:sz w:val="14"/>
                <w:szCs w:val="14"/>
                <w:color w:val="auto"/>
                <w:w w:val="95"/>
              </w:rPr>
              <w:t>(Address of Principal Executive Offices)</w:t>
            </w:r>
          </w:p>
        </w:tc>
        <w:tc>
          <w:tcPr>
            <w:tcW w:w="3060" w:type="dxa"/>
            <w:vAlign w:val="bottom"/>
          </w:tcPr>
          <w:p>
            <w:pPr>
              <w:jc w:val="center"/>
              <w:ind w:right="504"/>
              <w:spacing w:after="0"/>
              <w:rPr>
                <w:sz w:val="20"/>
                <w:szCs w:val="20"/>
                <w:color w:val="auto"/>
              </w:rPr>
            </w:pPr>
            <w:r>
              <w:rPr>
                <w:rFonts w:ascii="Arial" w:cs="Arial" w:eastAsia="Arial" w:hAnsi="Arial"/>
                <w:sz w:val="14"/>
                <w:szCs w:val="14"/>
                <w:color w:val="auto"/>
                <w:w w:val="96"/>
              </w:rPr>
              <w:t>(Zip Code)</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300" w:type="dxa"/>
            <w:vAlign w:val="bottom"/>
          </w:tcPr>
          <w:p>
            <w:pPr>
              <w:jc w:val="center"/>
              <w:ind w:left="3820"/>
              <w:spacing w:after="0"/>
              <w:rPr>
                <w:sz w:val="20"/>
                <w:szCs w:val="20"/>
                <w:color w:val="auto"/>
              </w:rPr>
            </w:pPr>
            <w:r>
              <w:rPr>
                <w:rFonts w:ascii="Arial" w:cs="Arial" w:eastAsia="Arial" w:hAnsi="Arial"/>
                <w:sz w:val="18"/>
                <w:szCs w:val="18"/>
                <w:b w:val="1"/>
                <w:bCs w:val="1"/>
                <w:color w:val="auto"/>
                <w:w w:val="90"/>
              </w:rPr>
              <w:t>011-353-1-268-2000</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300" w:type="dxa"/>
            <w:vAlign w:val="bottom"/>
          </w:tcPr>
          <w:p>
            <w:pPr>
              <w:jc w:val="center"/>
              <w:ind w:left="3820"/>
              <w:spacing w:after="0"/>
              <w:rPr>
                <w:sz w:val="20"/>
                <w:szCs w:val="20"/>
                <w:color w:val="auto"/>
              </w:rPr>
            </w:pPr>
            <w:r>
              <w:rPr>
                <w:rFonts w:ascii="Arial" w:cs="Arial" w:eastAsia="Arial" w:hAnsi="Arial"/>
                <w:sz w:val="14"/>
                <w:szCs w:val="14"/>
                <w:color w:val="auto"/>
                <w:w w:val="92"/>
              </w:rPr>
              <w:t>(Registrant’s telephone number, including area code)</w:t>
            </w:r>
          </w:p>
        </w:tc>
        <w:tc>
          <w:tcPr>
            <w:tcW w:w="3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0360" w:type="dxa"/>
            <w:vAlign w:val="bottom"/>
            <w:gridSpan w:val="2"/>
          </w:tcPr>
          <w:p>
            <w:pPr>
              <w:spacing w:after="0"/>
              <w:rPr>
                <w:sz w:val="20"/>
                <w:szCs w:val="20"/>
                <w:color w:val="auto"/>
              </w:rPr>
            </w:pPr>
            <w:r>
              <w:rPr>
                <w:rFonts w:ascii="Arial" w:cs="Arial" w:eastAsia="Arial" w:hAnsi="Arial"/>
                <w:sz w:val="17"/>
                <w:szCs w:val="17"/>
                <w:color w:val="auto"/>
                <w:w w:val="94"/>
              </w:rPr>
              <w:t>Indicate by check mark whether the registrant (1) has filed all reports required to be filed by Section 13 or 15(d) of the Securities Exchange Act of</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2"/>
        </w:trPr>
        <w:tc>
          <w:tcPr>
            <w:tcW w:w="10360" w:type="dxa"/>
            <w:vAlign w:val="bottom"/>
            <w:gridSpan w:val="2"/>
          </w:tcPr>
          <w:p>
            <w:pPr>
              <w:spacing w:after="0" w:line="162" w:lineRule="exact"/>
              <w:rPr>
                <w:sz w:val="20"/>
                <w:szCs w:val="20"/>
                <w:color w:val="auto"/>
              </w:rPr>
            </w:pPr>
            <w:r>
              <w:rPr>
                <w:rFonts w:ascii="Arial" w:cs="Arial" w:eastAsia="Arial" w:hAnsi="Arial"/>
                <w:sz w:val="17"/>
                <w:szCs w:val="17"/>
                <w:color w:val="auto"/>
                <w:w w:val="91"/>
              </w:rPr>
              <w:t>1934 during the preceding 12 months (or for such shorter period that the registrant was required to file such reports), and (2) has been subject to such</w:t>
            </w:r>
          </w:p>
        </w:tc>
        <w:tc>
          <w:tcPr>
            <w:tcW w:w="540" w:type="dxa"/>
            <w:vAlign w:val="bottom"/>
            <w:vMerge w:val="restart"/>
          </w:tcPr>
          <w:p>
            <w:pPr>
              <w:jc w:val="right"/>
              <w:ind w:right="35"/>
              <w:spacing w:after="0"/>
              <w:rPr>
                <w:sz w:val="20"/>
                <w:szCs w:val="20"/>
                <w:color w:val="auto"/>
              </w:rPr>
            </w:pPr>
            <w:r>
              <w:rPr>
                <w:rFonts w:ascii="Arial" w:cs="Arial" w:eastAsia="Arial" w:hAnsi="Arial"/>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2"/>
        </w:trPr>
        <w:tc>
          <w:tcPr>
            <w:tcW w:w="7300" w:type="dxa"/>
            <w:vAlign w:val="bottom"/>
          </w:tcPr>
          <w:p>
            <w:pPr>
              <w:spacing w:after="0"/>
              <w:rPr>
                <w:sz w:val="20"/>
                <w:szCs w:val="20"/>
                <w:color w:val="auto"/>
              </w:rPr>
            </w:pPr>
            <w:r>
              <w:rPr>
                <w:rFonts w:ascii="Arial" w:cs="Arial" w:eastAsia="Arial" w:hAnsi="Arial"/>
                <w:sz w:val="17"/>
                <w:szCs w:val="17"/>
                <w:color w:val="auto"/>
              </w:rPr>
              <w:t>filing requirements for the past 90 days.</w:t>
            </w:r>
          </w:p>
        </w:tc>
        <w:tc>
          <w:tcPr>
            <w:tcW w:w="30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0360" w:type="dxa"/>
            <w:vAlign w:val="bottom"/>
            <w:gridSpan w:val="2"/>
          </w:tcPr>
          <w:p>
            <w:pPr>
              <w:spacing w:after="0"/>
              <w:rPr>
                <w:sz w:val="20"/>
                <w:szCs w:val="20"/>
                <w:color w:val="auto"/>
              </w:rPr>
            </w:pPr>
            <w:r>
              <w:rPr>
                <w:rFonts w:ascii="Arial" w:cs="Arial" w:eastAsia="Arial" w:hAnsi="Arial"/>
                <w:sz w:val="17"/>
                <w:szCs w:val="17"/>
                <w:color w:val="auto"/>
                <w:w w:val="93"/>
              </w:rPr>
              <w:t>Indicate by check mark whether the registrant has submitted electronically every Interactive Data File required to be submitted pursuant to Rule 405</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2"/>
        </w:trPr>
        <w:tc>
          <w:tcPr>
            <w:tcW w:w="10360" w:type="dxa"/>
            <w:vAlign w:val="bottom"/>
            <w:gridSpan w:val="2"/>
          </w:tcPr>
          <w:p>
            <w:pPr>
              <w:spacing w:after="0" w:line="162" w:lineRule="exact"/>
              <w:rPr>
                <w:sz w:val="20"/>
                <w:szCs w:val="20"/>
                <w:color w:val="auto"/>
              </w:rPr>
            </w:pPr>
            <w:r>
              <w:rPr>
                <w:rFonts w:ascii="Arial" w:cs="Arial" w:eastAsia="Arial" w:hAnsi="Arial"/>
                <w:sz w:val="17"/>
                <w:szCs w:val="17"/>
                <w:color w:val="auto"/>
                <w:w w:val="95"/>
              </w:rPr>
              <w:t>of Regulation S-T (§232.405 of this chapter) during the preceding 12 months (or for such shorter period that the registrant was required to submit</w:t>
            </w:r>
          </w:p>
        </w:tc>
        <w:tc>
          <w:tcPr>
            <w:tcW w:w="540" w:type="dxa"/>
            <w:vAlign w:val="bottom"/>
            <w:vMerge w:val="restart"/>
          </w:tcPr>
          <w:p>
            <w:pPr>
              <w:jc w:val="right"/>
              <w:ind w:right="35"/>
              <w:spacing w:after="0"/>
              <w:rPr>
                <w:sz w:val="20"/>
                <w:szCs w:val="20"/>
                <w:color w:val="auto"/>
              </w:rPr>
            </w:pPr>
            <w:r>
              <w:rPr>
                <w:rFonts w:ascii="Arial" w:cs="Arial" w:eastAsia="Arial" w:hAnsi="Arial"/>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2"/>
        </w:trPr>
        <w:tc>
          <w:tcPr>
            <w:tcW w:w="7300" w:type="dxa"/>
            <w:vAlign w:val="bottom"/>
          </w:tcPr>
          <w:p>
            <w:pPr>
              <w:spacing w:after="0"/>
              <w:rPr>
                <w:sz w:val="20"/>
                <w:szCs w:val="20"/>
                <w:color w:val="auto"/>
              </w:rPr>
            </w:pPr>
            <w:r>
              <w:rPr>
                <w:rFonts w:ascii="Arial" w:cs="Arial" w:eastAsia="Arial" w:hAnsi="Arial"/>
                <w:sz w:val="17"/>
                <w:szCs w:val="17"/>
                <w:color w:val="auto"/>
              </w:rPr>
              <w:t>such files).</w:t>
            </w:r>
          </w:p>
        </w:tc>
        <w:tc>
          <w:tcPr>
            <w:tcW w:w="30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4"/>
          <w:szCs w:val="24"/>
          <w:color w:val="auto"/>
        </w:rPr>
      </w:pPr>
    </w:p>
    <w:p>
      <w:pPr>
        <w:jc w:val="both"/>
        <w:ind w:right="140"/>
        <w:spacing w:after="0" w:line="22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Arial" w:cs="Arial" w:eastAsia="Arial" w:hAnsi="Arial"/>
                <w:sz w:val="17"/>
                <w:szCs w:val="17"/>
                <w:color w:val="auto"/>
              </w:rPr>
              <w:t>Accelerated filer</w:t>
            </w:r>
          </w:p>
        </w:tc>
        <w:tc>
          <w:tcPr>
            <w:tcW w:w="920" w:type="dxa"/>
            <w:vAlign w:val="bottom"/>
          </w:tcPr>
          <w:p>
            <w:pPr>
              <w:spacing w:after="0"/>
              <w:rPr>
                <w:sz w:val="23"/>
                <w:szCs w:val="23"/>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Arial" w:cs="Arial" w:eastAsia="Arial" w:hAnsi="Arial"/>
                <w:sz w:val="17"/>
                <w:szCs w:val="17"/>
                <w:color w:val="auto"/>
              </w:rPr>
              <w:t>Smaller reporting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Arial" w:cs="Arial" w:eastAsia="Arial" w:hAnsi="Arial"/>
                <w:sz w:val="17"/>
                <w:szCs w:val="17"/>
                <w:color w:val="auto"/>
              </w:rPr>
              <w:t>Emerging growth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8"/>
        </w:trPr>
        <w:tc>
          <w:tcPr>
            <w:tcW w:w="10900" w:type="dxa"/>
            <w:vAlign w:val="bottom"/>
            <w:gridSpan w:val="4"/>
          </w:tcPr>
          <w:p>
            <w:pPr>
              <w:spacing w:after="0"/>
              <w:rPr>
                <w:sz w:val="20"/>
                <w:szCs w:val="20"/>
                <w:color w:val="auto"/>
              </w:rPr>
            </w:pPr>
            <w:r>
              <w:rPr>
                <w:rFonts w:ascii="Arial" w:cs="Arial" w:eastAsia="Arial" w:hAnsi="Arial"/>
                <w:sz w:val="17"/>
                <w:szCs w:val="17"/>
                <w:color w:val="auto"/>
                <w:w w:val="93"/>
              </w:rPr>
              <w:t>If an emerging growth company, indicate by check mark if the registrant has elected not to use the extended transition period for complying with any new or</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7040" w:type="dxa"/>
            <w:vAlign w:val="bottom"/>
            <w:gridSpan w:val="2"/>
          </w:tcPr>
          <w:p>
            <w:pPr>
              <w:spacing w:after="0"/>
              <w:rPr>
                <w:sz w:val="20"/>
                <w:szCs w:val="20"/>
                <w:color w:val="auto"/>
              </w:rPr>
            </w:pPr>
            <w:r>
              <w:rPr>
                <w:rFonts w:ascii="Arial" w:cs="Arial" w:eastAsia="Arial" w:hAnsi="Arial"/>
                <w:sz w:val="17"/>
                <w:szCs w:val="17"/>
                <w:color w:val="auto"/>
                <w:w w:val="98"/>
              </w:rPr>
              <w:t>revised financial accounting standards provided pursuant to Section 13(a) of the Exchange Act.</w:t>
            </w:r>
          </w:p>
        </w:tc>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53"/>
        </w:trPr>
        <w:tc>
          <w:tcPr>
            <w:tcW w:w="9980" w:type="dxa"/>
            <w:vAlign w:val="bottom"/>
            <w:gridSpan w:val="3"/>
          </w:tcPr>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59" w:lineRule="exact"/>
        <w:rPr>
          <w:sz w:val="24"/>
          <w:szCs w:val="24"/>
          <w:color w:val="auto"/>
        </w:rPr>
      </w:pPr>
    </w:p>
    <w:tbl>
      <w:tblPr>
        <w:tblLayout w:type="fixed"/>
        <w:tblInd w:w="60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2000" w:type="dxa"/>
            <w:vAlign w:val="bottom"/>
          </w:tcPr>
          <w:p>
            <w:pPr>
              <w:spacing w:after="0"/>
              <w:rPr>
                <w:sz w:val="16"/>
                <w:szCs w:val="16"/>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89"/>
              </w:rPr>
              <w:t>Trading symbol(s)</w:t>
            </w:r>
          </w:p>
        </w:tc>
        <w:tc>
          <w:tcPr>
            <w:tcW w:w="3700" w:type="dxa"/>
            <w:vAlign w:val="bottom"/>
            <w:gridSpan w:val="2"/>
          </w:tcPr>
          <w:p>
            <w:pPr>
              <w:jc w:val="center"/>
              <w:ind w:left="435"/>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3"/>
        </w:trPr>
        <w:tc>
          <w:tcPr>
            <w:tcW w:w="4340" w:type="dxa"/>
            <w:vAlign w:val="bottom"/>
            <w:gridSpan w:val="3"/>
          </w:tcPr>
          <w:p>
            <w:pPr>
              <w:jc w:val="center"/>
              <w:ind w:right="940"/>
              <w:spacing w:after="0"/>
              <w:rPr>
                <w:sz w:val="20"/>
                <w:szCs w:val="20"/>
                <w:color w:val="auto"/>
              </w:rPr>
            </w:pPr>
            <w:r>
              <w:rPr>
                <w:rFonts w:ascii="Arial" w:cs="Arial" w:eastAsia="Arial" w:hAnsi="Arial"/>
                <w:sz w:val="17"/>
                <w:szCs w:val="17"/>
                <w:color w:val="auto"/>
                <w:w w:val="89"/>
              </w:rPr>
              <w:t>Ordinary shares, nominal value $0.0001 per share</w:t>
            </w:r>
          </w:p>
        </w:tc>
        <w:tc>
          <w:tcPr>
            <w:tcW w:w="1860" w:type="dxa"/>
            <w:vAlign w:val="bottom"/>
            <w:gridSpan w:val="2"/>
          </w:tcPr>
          <w:p>
            <w:pPr>
              <w:jc w:val="center"/>
              <w:ind w:right="540"/>
              <w:spacing w:after="0"/>
              <w:rPr>
                <w:sz w:val="20"/>
                <w:szCs w:val="20"/>
                <w:color w:val="auto"/>
              </w:rPr>
            </w:pPr>
            <w:r>
              <w:rPr>
                <w:rFonts w:ascii="Arial" w:cs="Arial" w:eastAsia="Arial" w:hAnsi="Arial"/>
                <w:sz w:val="17"/>
                <w:szCs w:val="17"/>
                <w:color w:val="auto"/>
                <w:w w:val="93"/>
              </w:rPr>
              <w:t>ENDP</w:t>
            </w:r>
          </w:p>
        </w:tc>
        <w:tc>
          <w:tcPr>
            <w:tcW w:w="52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7"/>
                <w:szCs w:val="17"/>
                <w:color w:val="auto"/>
                <w:w w:val="94"/>
              </w:rPr>
              <w:t>The NASDAQ Global Select Market</w:t>
            </w:r>
          </w:p>
        </w:tc>
      </w:tr>
    </w:tbl>
    <w:p>
      <w:pPr>
        <w:spacing w:after="0" w:line="121"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ordinary shares, nominal value $0.0001 per share outstanding as of July 29, 2021 was 233,500,280.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542925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6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gridSpan w:val="10"/>
          </w:tcPr>
          <w:p>
            <w:pPr>
              <w:jc w:val="center"/>
              <w:ind w:right="3120"/>
              <w:spacing w:after="0"/>
              <w:rPr>
                <w:sz w:val="20"/>
                <w:szCs w:val="20"/>
                <w:color w:val="auto"/>
              </w:rPr>
            </w:pPr>
            <w:r>
              <w:rPr>
                <w:rFonts w:ascii="Arial" w:cs="Arial" w:eastAsia="Arial" w:hAnsi="Arial"/>
                <w:sz w:val="18"/>
                <w:szCs w:val="18"/>
                <w:b w:val="1"/>
                <w:bCs w:val="1"/>
                <w:color w:val="auto"/>
              </w:rPr>
              <w:t>ENDO INTERNATIONAL PLC</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4920"/>
              <w:spacing w:after="0"/>
              <w:rPr>
                <w:sz w:val="20"/>
                <w:szCs w:val="20"/>
                <w:color w:val="auto"/>
              </w:rPr>
            </w:pPr>
            <w:r>
              <w:rPr>
                <w:rFonts w:ascii="Arial" w:cs="Arial" w:eastAsia="Arial" w:hAnsi="Arial"/>
                <w:sz w:val="18"/>
                <w:szCs w:val="18"/>
                <w:b w:val="1"/>
                <w:bCs w:val="1"/>
                <w:color w:val="auto"/>
              </w:rPr>
              <w:t>INDEX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40" w:type="dxa"/>
            <w:vAlign w:val="bottom"/>
            <w:gridSpan w:val="2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Forward-Looking Statements</w:t>
              </w:r>
            </w:hyperlink>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12"/>
          </w:tcPr>
          <w:p>
            <w:pPr>
              <w:jc w:val="center"/>
              <w:ind w:right="4320"/>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Item 1.</w:t>
              </w:r>
            </w:hyperlink>
          </w:p>
        </w:tc>
        <w:tc>
          <w:tcPr>
            <w:tcW w:w="420" w:type="dxa"/>
            <w:vAlign w:val="bottom"/>
            <w:gridSpan w:val="3"/>
          </w:tcPr>
          <w:p>
            <w:pPr>
              <w:spacing w:after="0"/>
              <w:rPr>
                <w:sz w:val="18"/>
                <w:szCs w:val="18"/>
                <w:color w:val="auto"/>
              </w:rPr>
            </w:pPr>
          </w:p>
        </w:tc>
        <w:tc>
          <w:tcPr>
            <w:tcW w:w="2420" w:type="dxa"/>
            <w:vAlign w:val="bottom"/>
            <w:gridSpan w:val="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3060" w:type="dxa"/>
            <w:vAlign w:val="bottom"/>
            <w:tcBorders>
              <w:top w:val="single" w:sz="8" w:color="0000FF"/>
            </w:tcBorders>
            <w:gridSpan w:val="8"/>
          </w:tcPr>
          <w:p>
            <w:pPr>
              <w:spacing w:after="0"/>
              <w:rPr>
                <w:sz w:val="18"/>
                <w:szCs w:val="18"/>
                <w:color w:val="auto"/>
              </w:rPr>
            </w:pPr>
          </w:p>
        </w:tc>
        <w:tc>
          <w:tcPr>
            <w:tcW w:w="4420" w:type="dxa"/>
            <w:vAlign w:val="bottom"/>
            <w:gridSpan w:val="3"/>
          </w:tcPr>
          <w:p>
            <w:pPr>
              <w:spacing w:after="0"/>
              <w:rPr>
                <w:sz w:val="18"/>
                <w:szCs w:val="18"/>
                <w:color w:val="auto"/>
              </w:rPr>
            </w:pPr>
          </w:p>
        </w:tc>
        <w:tc>
          <w:tcPr>
            <w:tcW w:w="3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3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(Unaudited)</w:t>
              </w:r>
            </w:hyperlink>
          </w:p>
        </w:tc>
        <w:tc>
          <w:tcPr>
            <w:tcW w:w="3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0" w:type="dxa"/>
            <w:vAlign w:val="bottom"/>
            <w:gridSpan w:val="1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(Loss) Income (Unaudited)</w:t>
              </w:r>
            </w:hyperlink>
          </w:p>
        </w:tc>
        <w:tc>
          <w:tcPr>
            <w:tcW w:w="3900" w:type="dxa"/>
            <w:vAlign w:val="bottom"/>
            <w:gridSpan w:val="2"/>
          </w:tcPr>
          <w:p>
            <w:pPr>
              <w:spacing w:after="0"/>
              <w:rPr>
                <w:sz w:val="18"/>
                <w:szCs w:val="18"/>
                <w:color w:val="auto"/>
              </w:rPr>
            </w:pPr>
          </w:p>
        </w:tc>
        <w:tc>
          <w:tcPr>
            <w:tcW w:w="36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3900" w:type="dxa"/>
            <w:vAlign w:val="bottom"/>
            <w:gridSpan w:val="2"/>
          </w:tcPr>
          <w:p>
            <w:pPr>
              <w:spacing w:after="0"/>
              <w:rPr>
                <w:sz w:val="18"/>
                <w:szCs w:val="18"/>
                <w:color w:val="auto"/>
              </w:rPr>
            </w:pPr>
          </w:p>
        </w:tc>
        <w:tc>
          <w:tcPr>
            <w:tcW w:w="36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36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2.</w:t>
              </w:r>
            </w:hyperlink>
          </w:p>
        </w:tc>
        <w:tc>
          <w:tcPr>
            <w:tcW w:w="420" w:type="dxa"/>
            <w:vAlign w:val="bottom"/>
            <w:gridSpan w:val="3"/>
          </w:tcPr>
          <w:p>
            <w:pPr>
              <w:spacing w:after="0"/>
              <w:rPr>
                <w:sz w:val="18"/>
                <w:szCs w:val="18"/>
                <w:color w:val="auto"/>
              </w:rPr>
            </w:pPr>
          </w:p>
        </w:tc>
        <w:tc>
          <w:tcPr>
            <w:tcW w:w="646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Management’s Discussion and Analysis of Financial Condition and Results of Operations</w:t>
              </w:r>
            </w:hyperlink>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33</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Item 3.</w:t>
              </w:r>
            </w:hyperlink>
          </w:p>
        </w:tc>
        <w:tc>
          <w:tcPr>
            <w:tcW w:w="420" w:type="dxa"/>
            <w:vAlign w:val="bottom"/>
            <w:gridSpan w:val="3"/>
          </w:tcPr>
          <w:p>
            <w:pPr>
              <w:spacing w:after="0"/>
              <w:rPr>
                <w:sz w:val="18"/>
                <w:szCs w:val="18"/>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Quantitative and Qualitative Disclosures About Market Risk</w:t>
              </w:r>
            </w:hyperlink>
          </w:p>
        </w:tc>
        <w:tc>
          <w:tcPr>
            <w:tcW w:w="5540" w:type="dxa"/>
            <w:vAlign w:val="bottom"/>
            <w:gridSpan w:val="7"/>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46</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4.</w:t>
              </w:r>
            </w:hyperlink>
          </w:p>
        </w:tc>
        <w:tc>
          <w:tcPr>
            <w:tcW w:w="9900" w:type="dxa"/>
            <w:vAlign w:val="bottom"/>
            <w:gridSpan w:val="2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Controls and Procedures</w:t>
              </w:r>
            </w:hyperlink>
          </w:p>
        </w:tc>
        <w:tc>
          <w:tcPr>
            <w:tcW w:w="36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6"/>
          </w:tcPr>
          <w:p>
            <w:pPr>
              <w:jc w:val="cente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PART II. OTHER INFORMATION</w:t>
              </w:r>
            </w:hyperlink>
          </w:p>
        </w:tc>
        <w:tc>
          <w:tcPr>
            <w:tcW w:w="45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1.</w:t>
              </w:r>
            </w:hyperlink>
          </w:p>
        </w:tc>
        <w:tc>
          <w:tcPr>
            <w:tcW w:w="300" w:type="dxa"/>
            <w:vAlign w:val="bottom"/>
            <w:gridSpan w:val="2"/>
          </w:tcPr>
          <w:p>
            <w:pPr>
              <w:spacing w:after="0"/>
              <w:rPr>
                <w:sz w:val="18"/>
                <w:szCs w:val="18"/>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51">
              <w:r>
                <w:rPr>
                  <w:rFonts w:ascii="Arial" w:cs="Arial" w:eastAsia="Arial" w:hAnsi="Arial"/>
                  <w:sz w:val="18"/>
                  <w:szCs w:val="18"/>
                  <w:color w:val="0000FF"/>
                  <w:w w:val="88"/>
                </w:rPr>
                <w:t>Legal Proceedings</w:t>
              </w:r>
            </w:hyperlink>
          </w:p>
        </w:tc>
        <w:tc>
          <w:tcPr>
            <w:tcW w:w="8560" w:type="dxa"/>
            <w:vAlign w:val="bottom"/>
            <w:gridSpan w:val="15"/>
          </w:tcPr>
          <w:p>
            <w:pPr>
              <w:spacing w:after="0"/>
              <w:rPr>
                <w:sz w:val="18"/>
                <w:szCs w:val="18"/>
                <w:color w:val="auto"/>
              </w:rPr>
            </w:pPr>
          </w:p>
        </w:tc>
        <w:tc>
          <w:tcPr>
            <w:tcW w:w="36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1A.</w:t>
              </w:r>
            </w:hyperlink>
          </w:p>
        </w:tc>
        <w:tc>
          <w:tcPr>
            <w:tcW w:w="990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Risk Factors</w:t>
              </w:r>
            </w:hyperlink>
          </w:p>
        </w:tc>
        <w:tc>
          <w:tcPr>
            <w:tcW w:w="36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2.</w:t>
              </w:r>
            </w:hyperlink>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900" w:type="dxa"/>
            <w:vAlign w:val="bottom"/>
            <w:gridSpan w:val="2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3.</w:t>
              </w:r>
            </w:hyperlink>
          </w:p>
        </w:tc>
        <w:tc>
          <w:tcPr>
            <w:tcW w:w="420" w:type="dxa"/>
            <w:vAlign w:val="bottom"/>
            <w:gridSpan w:val="3"/>
          </w:tcPr>
          <w:p>
            <w:pPr>
              <w:spacing w:after="0"/>
              <w:rPr>
                <w:sz w:val="18"/>
                <w:szCs w:val="18"/>
                <w:color w:val="auto"/>
              </w:rPr>
            </w:pPr>
          </w:p>
        </w:tc>
        <w:tc>
          <w:tcPr>
            <w:tcW w:w="4340" w:type="dxa"/>
            <w:vAlign w:val="bottom"/>
            <w:tcBorders>
              <w:top w:val="single" w:sz="8" w:color="0000FF"/>
            </w:tcBorders>
            <w:gridSpan w:val="12"/>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Defaults Upon Senior Securities</w:t>
              </w:r>
            </w:hyperlink>
          </w:p>
        </w:tc>
        <w:tc>
          <w:tcPr>
            <w:tcW w:w="5560" w:type="dxa"/>
            <w:vAlign w:val="bottom"/>
            <w:gridSpan w:val="8"/>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51</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4.</w:t>
              </w:r>
            </w:hyperlink>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Borders>
              <w:top w:val="single" w:sz="8" w:color="0000FF"/>
            </w:tcBorders>
            <w:gridSpan w:val="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Mine Safety Disclosures</w:t>
              </w:r>
            </w:hyperlink>
          </w:p>
        </w:tc>
        <w:tc>
          <w:tcPr>
            <w:tcW w:w="7580" w:type="dxa"/>
            <w:vAlign w:val="bottom"/>
            <w:gridSpan w:val="1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51</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Item 5.</w:t>
              </w:r>
            </w:hyperlink>
          </w:p>
        </w:tc>
        <w:tc>
          <w:tcPr>
            <w:tcW w:w="24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3"/>
          </w:tcPr>
          <w:p>
            <w:pPr>
              <w:spacing w:after="0"/>
              <w:rPr>
                <w:sz w:val="18"/>
                <w:szCs w:val="18"/>
                <w:color w:val="auto"/>
              </w:rPr>
            </w:pPr>
          </w:p>
        </w:tc>
        <w:tc>
          <w:tcPr>
            <w:tcW w:w="8140" w:type="dxa"/>
            <w:vAlign w:val="bottom"/>
            <w:gridSpan w:val="13"/>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52</w:t>
              </w:r>
            </w:hyperlink>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Item 6.</w:t>
              </w:r>
            </w:hyperlink>
          </w:p>
        </w:tc>
        <w:tc>
          <w:tcPr>
            <w:tcW w:w="420" w:type="dxa"/>
            <w:vAlign w:val="bottom"/>
            <w:gridSpan w:val="3"/>
          </w:tcPr>
          <w:p>
            <w:pPr>
              <w:spacing w:after="0"/>
              <w:rPr>
                <w:sz w:val="18"/>
                <w:szCs w:val="18"/>
                <w:color w:val="auto"/>
              </w:rPr>
            </w:pP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Exhibits</w:t>
              </w:r>
            </w:hyperlink>
          </w:p>
        </w:tc>
        <w:tc>
          <w:tcPr>
            <w:tcW w:w="9300" w:type="dxa"/>
            <w:vAlign w:val="bottom"/>
            <w:gridSpan w:val="19"/>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52</w:t>
              </w:r>
            </w:hyperlink>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940" w:type="dxa"/>
            <w:vAlign w:val="bottom"/>
            <w:gridSpan w:val="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20" w:type="dxa"/>
            <w:vAlign w:val="bottom"/>
          </w:tcPr>
          <w:p>
            <w:pPr>
              <w:spacing w:after="0"/>
              <w:rPr>
                <w:sz w:val="24"/>
                <w:szCs w:val="24"/>
                <w:color w:val="auto"/>
              </w:rPr>
            </w:pPr>
          </w:p>
        </w:tc>
      </w:tr>
      <w:tr>
        <w:trPr>
          <w:trHeight w:val="1121"/>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6"/>
        <w:spacing w:after="0" w:line="281"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any statements relating to the status and outcome of litigation, any future financial results, cost savings, revenues, expenses, net income and income per share, as well as future financing activities, the impact of the novel strain of coronavirus referred to as COVID-19 on the health and welfare of our employees and on our business (including any response to COVID-19 such as anticipated return to historical purchasing decisions by customers, the economic impact of COVID-19, changes in consumer spending, decisions to engage in certain medical procedures, future governmental orders that could impact our operations and the ability of our manufacturing facilities and suppliers to fulfill their obligations to us), and any other statements that refer to Endo’s expected, estimated or anticipated future results. We have tried, whenever possible, to identify such statements by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related to the impact of COVID-19 (such as, without limitation, the scope and duration of the pandemic and the resulting economic crisis and levels of unemployment, governmental actions and restrictive measures implemented in response, material delays and cancellations of certain medical procedures, potential manufacturing and supply chain disruptions and other potential impacts to our business as a result of COVID-19); the timing or results of any pending or future litigation, investigations or claims or actual or contingent liabilities, settlement discussions, negotiations or other adverse proceedings, including proceedings involving opioid-related matters, tax matters with the United States (U.S.) Internal Revenue Service (IRS) and key products such as VASOSTRICT</w:t>
      </w:r>
      <w:r>
        <w:rPr>
          <w:rFonts w:ascii="Arial" w:cs="Arial" w:eastAsia="Arial" w:hAnsi="Arial"/>
          <w:sz w:val="20"/>
          <w:szCs w:val="20"/>
          <w:color w:val="auto"/>
          <w:vertAlign w:val="superscript"/>
        </w:rPr>
        <w:t>®</w:t>
      </w:r>
      <w:r>
        <w:rPr>
          <w:rFonts w:ascii="Arial" w:cs="Arial" w:eastAsia="Arial" w:hAnsi="Arial"/>
          <w:sz w:val="16"/>
          <w:szCs w:val="16"/>
          <w:color w:val="auto"/>
        </w:rPr>
        <w:t>; unfavorable publicity regarding the misuse of opioids; changing competitive, market and regulatory conditions; changes in legislation;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and the other risks and uncertainties more fully described under the caption “Risk Factors” in Part I, Item 1A of the Annual Report on Form 10-K for the year ended December 31, 2020 filed with the Securities and Exchange Commission (SEC) on February 26, 2021 (the Annual Report), in Part II, Item 1A of the Quarterly Report on Form 10-Q for the quarterly period ended March 31, 2021 filed with the SEC on May 7, 2021 (the First Quarter 2021 Form 10-Q), in Part II, Item 1A of this report and in other reports that we file with the SEC.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opioid-related proceedings or any other litigation; our ability to adjust to changing market conditions; our ability to attract and retain key personnel; our ability to maintain compliance with our financial obligations under certain of our outstanding debt obligations and avoid related downgrades of our debt and long-term corporate credit ratings (which could increase our cost of capital) and/or potential events of default (if not cured or waived) under financial and operating covenants contained in our or our subsidiaries’ outstanding indebtedness; our ability to incur additional borrowings in compliance with the covenants in our then-existing facilities or to obtain additional debt or equity financing for working capital, capital expenditures, business development, debt service requirements, acquisitions or general corporate or other purposes, or to refinance our indebtedness; and/or the potential for a significant reduction in our short-term and long-term revenues and/or any other factor that could cause us to be unable to fund our operations and liquidity needs, such as future capital expenditures and payment of our indebtedness. The occurrence or possibility of any such result may cause us to engage in a strategic review that ultimately results in our pursuing one or more significant corporate transactions or other remedial measures, including on a preventative or proactive basis.</w:t>
      </w:r>
    </w:p>
    <w:p>
      <w:pPr>
        <w:spacing w:after="0" w:line="200" w:lineRule="exact"/>
        <w:rPr>
          <w:sz w:val="20"/>
          <w:szCs w:val="20"/>
          <w:color w:val="auto"/>
        </w:rPr>
      </w:pPr>
    </w:p>
    <w:p>
      <w:pPr>
        <w:spacing w:after="0" w:line="309"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of the Annual Report, Part II, Item 1A of the First Quarter 2021 Form 10-Q and Part II, Item 1A of this report,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 and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16"/>
        </w:trPr>
        <w:tc>
          <w:tcPr>
            <w:tcW w:w="8400" w:type="dxa"/>
            <w:vAlign w:val="bottom"/>
            <w:tcBorders>
              <w:top w:val="single" w:sz="8" w:color="CCEEFF"/>
            </w:tcBorders>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1,213,437</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128,558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171,563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511,262</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338,456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352,260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100,899</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receivable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63,837</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2,569,329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2,413,258</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446,052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458,471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3,560,011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2,548,655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2,740,808</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53,235</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9,206,257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9,264,637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0" w:type="dxa"/>
            <w:vAlign w:val="bottom"/>
            <w:shd w:val="clear" w:color="auto" w:fill="CCEEFF"/>
          </w:tcPr>
          <w:p>
            <w:pPr>
              <w:ind w:left="2240"/>
              <w:spacing w:after="0" w:line="196" w:lineRule="exact"/>
              <w:rPr>
                <w:sz w:val="20"/>
                <w:szCs w:val="20"/>
                <w:color w:val="auto"/>
              </w:rPr>
            </w:pPr>
            <w:r>
              <w:rPr>
                <w:rFonts w:ascii="Arial" w:cs="Arial" w:eastAsia="Arial" w:hAnsi="Arial"/>
                <w:sz w:val="18"/>
                <w:szCs w:val="18"/>
                <w:b w:val="1"/>
                <w:bCs w:val="1"/>
                <w:color w:val="auto"/>
              </w:rPr>
              <w:t>LIABILITIES AND SHAREHOLDERS’ DEFICIT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835,940</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Current portion of legal settlement accrual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349,177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372,121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1,409,212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1,253,824</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26,066</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LONG-TERM DEBT, LESS CURRENT PORTION,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8,052,815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8,280,578</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38,132</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305,467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313,976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SHAREHOLDERS’ DEFICIT: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Euro deferred shares, $0.01 par value; 4,000,000 shares authorized and issued at both June 30, 2021 and</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2020</w:t>
            </w: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140"/>
              <w:spacing w:after="0" w:line="176" w:lineRule="exact"/>
              <w:rPr>
                <w:sz w:val="20"/>
                <w:szCs w:val="20"/>
                <w:color w:val="auto"/>
              </w:rPr>
            </w:pPr>
            <w:r>
              <w:rPr>
                <w:rFonts w:ascii="Arial" w:cs="Arial" w:eastAsia="Arial" w:hAnsi="Arial"/>
                <w:sz w:val="18"/>
                <w:szCs w:val="18"/>
                <w:color w:val="auto"/>
                <w:w w:val="89"/>
              </w:rPr>
              <w:t>Ordinary shares, $0.0001 par value; 1,000,000,000 shares authorized; 233,496,634 and 230,315,768 shares issued</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and outstanding at June 30, 2021 and December 31, 2020, respectively</w:t>
            </w:r>
          </w:p>
        </w:tc>
        <w:tc>
          <w:tcPr>
            <w:tcW w:w="2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8,938,957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8,938,012</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(9,342,246)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(9,368,270)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(217,753)</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deficit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(647,939)</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9,264,637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90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8400" w:type="dxa"/>
            <w:vAlign w:val="bottom"/>
          </w:tcPr>
          <w:p>
            <w:pPr>
              <w:ind w:left="55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and shares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1,507,993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724,895</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177,619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364,793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340,026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62,110</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Litigation-related and other contingencies,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(25,748)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charges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97,785</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and integration items,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262,041</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line="156" w:lineRule="exact"/>
              <w:rPr>
                <w:sz w:val="20"/>
                <w:szCs w:val="20"/>
                <w:color w:val="auto"/>
              </w:rPr>
            </w:pPr>
            <w:r>
              <w:rPr>
                <w:rFonts w:ascii="Arial" w:cs="Arial" w:eastAsia="Arial" w:hAnsi="Arial"/>
                <w:sz w:val="18"/>
                <w:szCs w:val="18"/>
                <w:color w:val="auto"/>
              </w:rPr>
              <w:t>INCOME FROM CONTINUING OPERATIONS BEFORE INCOME</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25,252</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48,699</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46,501</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w:t>
            </w:r>
          </w:p>
        </w:tc>
        <w:tc>
          <w:tcPr>
            <w:tcW w:w="3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(128,690)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INCOME FROM CONTINUING OPERATIONS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175,191</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 NET OF TAX (NOTE 3)</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(34,703)</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140,488</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PER SHARE—BASIC:</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PER SHARE—DILUTED:</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233,331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231,941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228,457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233,348</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140,488</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unrealized gain (loss) on foreign currency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r>
      <w:tr>
        <w:trPr>
          <w:trHeight w:val="223"/>
        </w:trPr>
        <w:tc>
          <w:tcPr>
            <w:tcW w:w="5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131,675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8420" w:type="dxa"/>
            <w:vAlign w:val="bottom"/>
            <w:gridSpan w:val="7"/>
          </w:tcPr>
          <w:p>
            <w:pPr>
              <w:ind w:left="290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729"/>
        </w:trPr>
        <w:tc>
          <w:tcPr>
            <w:tcW w:w="54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11"/>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26,024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140,488</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237,703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264,198</w:t>
            </w:r>
          </w:p>
        </w:tc>
      </w:tr>
      <w:tr>
        <w:trPr>
          <w:trHeight w:val="230"/>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26,867</w:t>
            </w:r>
          </w:p>
        </w:tc>
      </w:tr>
      <w:tr>
        <w:trPr>
          <w:trHeight w:val="229"/>
        </w:trPr>
        <w:tc>
          <w:tcPr>
            <w:tcW w:w="840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discount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8,551</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18,507</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Acquired in-process research and development charges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 charges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97,785</w:t>
            </w:r>
          </w:p>
        </w:tc>
      </w:tr>
      <w:tr>
        <w:trPr>
          <w:trHeight w:val="229"/>
        </w:trPr>
        <w:tc>
          <w:tcPr>
            <w:tcW w:w="8400" w:type="dxa"/>
            <w:vAlign w:val="bottom"/>
          </w:tcPr>
          <w:p>
            <w:pPr>
              <w:ind w:left="220"/>
              <w:spacing w:after="0"/>
              <w:rPr>
                <w:sz w:val="20"/>
                <w:szCs w:val="20"/>
                <w:color w:val="auto"/>
              </w:rPr>
            </w:pPr>
            <w:r>
              <w:rPr>
                <w:rFonts w:ascii="Arial" w:cs="Arial" w:eastAsia="Arial" w:hAnsi="Arial"/>
                <w:sz w:val="18"/>
                <w:szCs w:val="18"/>
                <w:color w:val="auto"/>
              </w:rPr>
              <w:t>Loss (gain) on sale of business and 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(14,842)</w:t>
            </w:r>
          </w:p>
        </w:tc>
      </w:tr>
      <w:tr>
        <w:trPr>
          <w:trHeight w:val="23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 which provided (used)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192,599</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Prepaid and 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(15,123)</w:t>
            </w: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(228,861)</w:t>
            </w:r>
          </w:p>
        </w:tc>
      </w:tr>
      <w:tr>
        <w:trPr>
          <w:trHeight w:val="230"/>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taxes payable/receivable,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(112,018)</w:t>
            </w:r>
          </w:p>
        </w:tc>
      </w:tr>
      <w:tr>
        <w:trPr>
          <w:trHeight w:val="22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366,888</w:t>
            </w:r>
          </w:p>
        </w:tc>
      </w:tr>
      <w:tr>
        <w:trPr>
          <w:trHeight w:val="210"/>
        </w:trPr>
        <w:tc>
          <w:tcPr>
            <w:tcW w:w="840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excluding capitalized interest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(36,305)</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Capitalized interest payments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acquisition costs and license fees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sale of business and other assets,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w:t>
            </w:r>
          </w:p>
        </w:tc>
      </w:tr>
      <w:tr>
        <w:trPr>
          <w:trHeight w:val="22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(31,413)</w:t>
            </w:r>
          </w:p>
        </w:tc>
      </w:tr>
      <w:tr>
        <w:trPr>
          <w:trHeight w:val="723"/>
        </w:trPr>
        <w:tc>
          <w:tcPr>
            <w:tcW w:w="8400" w:type="dxa"/>
            <w:vAlign w:val="bottom"/>
          </w:tcPr>
          <w:p>
            <w:pPr>
              <w:ind w:left="55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40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8"/>
        </w:trPr>
        <w:tc>
          <w:tcPr>
            <w:tcW w:w="1080" w:type="dxa"/>
            <w:vAlign w:val="bottom"/>
            <w:tcBorders>
              <w:top w:val="single" w:sz="8" w:color="0000FF"/>
            </w:tcBorders>
          </w:tcPr>
          <w:p>
            <w:pPr>
              <w:spacing w:after="0"/>
              <w:rPr>
                <w:sz w:val="24"/>
                <w:szCs w:val="24"/>
                <w:color w:val="auto"/>
              </w:rPr>
            </w:pPr>
          </w:p>
        </w:tc>
        <w:tc>
          <w:tcPr>
            <w:tcW w:w="7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 of notes,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term loans,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notes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(47,218)</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Repayments of term loans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(3,300,475)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(17,074)</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other indebtedness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Payments for debt issuance and extinguishment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for contingent consideration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29"/>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Payments of tax withholding for restricted shares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(6,865)</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exercise of options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(75,731)</w:t>
            </w:r>
          </w:p>
        </w:tc>
        <w:tc>
          <w:tcPr>
            <w:tcW w:w="0" w:type="dxa"/>
            <w:vAlign w:val="bottom"/>
          </w:tcPr>
          <w:p>
            <w:pPr>
              <w:spacing w:after="0"/>
              <w:rPr>
                <w:sz w:val="1"/>
                <w:szCs w:val="1"/>
                <w:color w:val="auto"/>
              </w:rPr>
            </w:pPr>
          </w:p>
        </w:tc>
      </w:tr>
      <w:tr>
        <w:trPr>
          <w:trHeight w:val="22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155"/>
        </w:trPr>
        <w:tc>
          <w:tcPr>
            <w:tcW w:w="840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NET INCREASE IN CASH, CASH EQUIVALENTS, RESTRICTED CASH AND RESTRICTED CASH</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288,730</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258,829</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EQUIVALENTS</w:t>
            </w:r>
          </w:p>
        </w:tc>
        <w:tc>
          <w:tcPr>
            <w:tcW w:w="3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4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CASH, CASH EQUIVALENTS, RESTRICTED CASH AND RESTRICTED CASH EQUIVALENTS,</w:t>
            </w: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1,385,000</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1,720,388</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40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8"/>
              </w:rPr>
              <w:t>CASH, CASH EQUIVALENTS, RESTRICTED CASH AND RESTRICTED CASH EQUIVALENTS, END OF</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1,673,730</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1,979,217</w:t>
            </w:r>
          </w:p>
        </w:tc>
        <w:tc>
          <w:tcPr>
            <w:tcW w:w="0" w:type="dxa"/>
            <w:vAlign w:val="bottom"/>
          </w:tcPr>
          <w:p>
            <w:pPr>
              <w:spacing w:after="0"/>
              <w:rPr>
                <w:sz w:val="1"/>
                <w:szCs w:val="1"/>
                <w:color w:val="auto"/>
              </w:rPr>
            </w:pPr>
          </w:p>
        </w:tc>
      </w:tr>
      <w:tr>
        <w:trPr>
          <w:trHeight w:val="208"/>
        </w:trPr>
        <w:tc>
          <w:tcPr>
            <w:tcW w:w="8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PERIOD</w:t>
            </w: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INFORMATION: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Cash paid into Qualified Settlement Funds for mesh legal settlements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paid out of Qualified Settlement Funds for mesh legal settlements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67,733</w:t>
            </w:r>
          </w:p>
        </w:tc>
        <w:tc>
          <w:tcPr>
            <w:tcW w:w="0" w:type="dxa"/>
            <w:vAlign w:val="bottom"/>
          </w:tcPr>
          <w:p>
            <w:pPr>
              <w:spacing w:after="0"/>
              <w:rPr>
                <w:sz w:val="1"/>
                <w:szCs w:val="1"/>
                <w:color w:val="auto"/>
              </w:rPr>
            </w:pPr>
          </w:p>
        </w:tc>
      </w:tr>
      <w:tr>
        <w:trPr>
          <w:trHeight w:val="230"/>
        </w:trPr>
        <w:tc>
          <w:tcPr>
            <w:tcW w:w="8400" w:type="dxa"/>
            <w:vAlign w:val="bottom"/>
            <w:gridSpan w:val="2"/>
          </w:tcPr>
          <w:p>
            <w:pPr>
              <w:ind w:left="140"/>
              <w:spacing w:after="0"/>
              <w:rPr>
                <w:sz w:val="20"/>
                <w:szCs w:val="20"/>
                <w:color w:val="auto"/>
              </w:rPr>
            </w:pPr>
            <w:r>
              <w:rPr>
                <w:rFonts w:ascii="Arial" w:cs="Arial" w:eastAsia="Arial" w:hAnsi="Arial"/>
                <w:sz w:val="18"/>
                <w:szCs w:val="18"/>
                <w:color w:val="auto"/>
              </w:rPr>
              <w:t>Other cash distributions for mesh legal settlements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8,617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bl>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2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7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Endo International plc and its subsidiaries have been prepared in accordance with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June 30, 2021 and the results of its operations and its cash flows for the periods presented. Operating results for the three and six months ended June 30, 2021 are not necessarily indicative of the results that may be expected for the year ending December 31, 2021. The year-end Condensed Consolidated Balance Sheet data as of December 31, 2020 was derived from audited financial statements but does not include all disclosures required by U.S. GAAP.</w:t>
      </w:r>
    </w:p>
    <w:p>
      <w:pPr>
        <w:spacing w:after="0" w:line="7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the Annual Report.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 preparation of our Condensed Consolidated Financial Statements in conformity with U.S. GAAP requires us to make estimates and assumptions that affect the amounts and disclosures in our Condensed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COVID-19.</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Added or Updated since December 31, 2020</w:t>
      </w:r>
    </w:p>
    <w:p>
      <w:pPr>
        <w:spacing w:after="0" w:line="121"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There have been no significant changes to our significant accounting policies since December 31, 2020. For additional discussion of the Company’s significant accounting policies, see Note 2. Summary of Significant Accounting Policies in the Consolidated Financial Statements included in Part IV, Item 15 of the Annual Report.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Astora</w:t>
      </w:r>
    </w:p>
    <w:p>
      <w:pPr>
        <w:spacing w:after="0" w:line="121" w:lineRule="exact"/>
        <w:rPr>
          <w:sz w:val="20"/>
          <w:szCs w:val="20"/>
          <w:color w:val="auto"/>
        </w:rPr>
      </w:pPr>
    </w:p>
    <w:p>
      <w:pPr>
        <w:jc w:val="both"/>
        <w:ind w:right="300" w:firstLine="486"/>
        <w:spacing w:after="0" w:line="295" w:lineRule="auto"/>
        <w:rPr>
          <w:sz w:val="20"/>
          <w:szCs w:val="20"/>
          <w:color w:val="auto"/>
        </w:rPr>
      </w:pPr>
      <w:r>
        <w:rPr>
          <w:rFonts w:ascii="Arial" w:cs="Arial" w:eastAsia="Arial" w:hAnsi="Arial"/>
          <w:sz w:val="16"/>
          <w:szCs w:val="16"/>
          <w:color w:val="auto"/>
        </w:rPr>
        <w:t>The operating results of the Company’s Astora business, which the board of directors (the Board) resolved to wind down in 2016, are reported as Discontinued operations, net of tax in the Condensed Consolidated Statements of Operations for all periods presented. The following table provides the operating results of Astora Discontinued operations, net of tax, for the three and six months ended June 30, 2021 and 2020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28,351</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(12,094)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(40,024)</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(34,703)</w:t>
            </w:r>
          </w:p>
        </w:tc>
      </w:tr>
    </w:tbl>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$10.9 million and $34.7 million for the six months ended June 30, 2021 and 2020,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121"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Set forth below are disclosures relating to restructuring initiatives for which amounts recognized or cash expenditures during the three- or six-month periods ended June 30, 2021 or 2020 were material or that had material restructuring liabilities at either June 30, 2021 or December 31, 2020.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Initiative</w:t>
      </w:r>
    </w:p>
    <w:p>
      <w:pPr>
        <w:spacing w:after="0" w:line="121"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On November 5, 2020, the Company announced the initiation of several strategic actions to further optimize the Company’s operations and increase overall efficiency (the 2020 Restructuring Initiative). These actions are expected to generate significant cost savings that will be reinvested, among other things, to support the Company’s key strategic priority to expand and enhance its product portfolio. These actions include the following:</w:t>
      </w:r>
    </w:p>
    <w:p>
      <w:pPr>
        <w:ind w:left="900" w:right="20" w:hanging="244"/>
        <w:spacing w:after="0" w:line="265" w:lineRule="auto"/>
        <w:tabs>
          <w:tab w:leader="none" w:pos="895" w:val="left"/>
        </w:tabs>
        <w:numPr>
          <w:ilvl w:val="0"/>
          <w:numId w:val="3"/>
        </w:numPr>
        <w:rPr>
          <w:rFonts w:ascii="Arial" w:cs="Arial" w:eastAsia="Arial" w:hAnsi="Arial"/>
          <w:sz w:val="17"/>
          <w:szCs w:val="17"/>
          <w:color w:val="auto"/>
        </w:rPr>
      </w:pPr>
      <w:r>
        <w:rPr>
          <w:rFonts w:ascii="Arial" w:cs="Arial" w:eastAsia="Arial" w:hAnsi="Arial"/>
          <w:sz w:val="17"/>
          <w:szCs w:val="17"/>
          <w:color w:val="auto"/>
        </w:rPr>
        <w:t>Optimizing the Company’s retail generics business cost structure by exiting manufacturing sites in Irvine, California and Chestnut Ridge, New York, as well as active pharmaceutical ingredient manufacturing and bioequivalence study sites in India. The sites will be exited in a phased approach that is expected to be completed in the second half of 2022. Certain products currently manufactured at the Irvine and Chestnut Ridge sites are expected to be transferred to other internal and external sites within the Company’s manufacturing network.</w:t>
      </w:r>
    </w:p>
    <w:p>
      <w:pPr>
        <w:ind w:left="900" w:right="160" w:hanging="244"/>
        <w:spacing w:after="0" w:line="250"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operating flexibility and reducing general and administrative costs by transferring certain transaction processing activities to third-party global business process service providers.</w:t>
      </w:r>
    </w:p>
    <w:p>
      <w:pPr>
        <w:ind w:left="900" w:right="100" w:hanging="244"/>
        <w:spacing w:after="0" w:line="260"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77" w:lineRule="exact"/>
        <w:rPr>
          <w:sz w:val="20"/>
          <w:szCs w:val="20"/>
          <w:color w:val="auto"/>
        </w:rPr>
      </w:pPr>
    </w:p>
    <w:p>
      <w:pPr>
        <w:ind w:right="520" w:firstLine="486"/>
        <w:spacing w:after="0" w:line="291" w:lineRule="auto"/>
        <w:rPr>
          <w:sz w:val="20"/>
          <w:szCs w:val="20"/>
          <w:color w:val="auto"/>
        </w:rPr>
      </w:pPr>
      <w:r>
        <w:rPr>
          <w:rFonts w:ascii="Arial" w:cs="Arial" w:eastAsia="Arial" w:hAnsi="Arial"/>
          <w:sz w:val="16"/>
          <w:szCs w:val="16"/>
          <w:color w:val="auto"/>
        </w:rPr>
        <w:t>As a result of the 2020 Restructuring Initiative, the Company’s global workforce is expected to be reduced by approximately 525 net full-time positions. The Company expects to realize annualized pre-tax cash savings (without giving effect to the costs described below) of approximately</w:t>
      </w:r>
    </w:p>
    <w:p>
      <w:pPr>
        <w:ind w:right="340"/>
        <w:spacing w:after="0" w:line="323" w:lineRule="auto"/>
        <w:rPr>
          <w:sz w:val="20"/>
          <w:szCs w:val="20"/>
          <w:color w:val="auto"/>
        </w:rPr>
      </w:pPr>
      <w:r>
        <w:rPr>
          <w:rFonts w:ascii="Arial" w:cs="Arial" w:eastAsia="Arial" w:hAnsi="Arial"/>
          <w:sz w:val="16"/>
          <w:szCs w:val="16"/>
          <w:color w:val="auto"/>
        </w:rPr>
        <w:t>$85 million to $95 million by the first half of 2023, primarily related to reductions in Cost of revenues of approximately $65 million to $70 million and other expenses, including Selling, general and administrative and Research and development expenses, of approximately $20 million to $25 million.</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a result of the 2020 Restructuring Initiative, the Company expects to incur total pre-tax restructuring-related expenses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$163 million to $183 million, of which approximately $135 million to $150 million relates to the Generic Pharmaceuticals segment, with the remaining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relating to our other segments and certain corporate unallocated costs. These estimated restructuring charges consist of accelerated depreciation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charges of approximately $56 million to $66 million, asset impairment charges of approximately $7 million, employee separation, continuity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benefit-related costs of approximately $85 million to $90 million and certain other restructuring costs of approximately $15 million to $20 million. Cash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outlays associated with the 2020 Restructuring Initiative are expected to be approximately $100 million and consist primarily of employee separation,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continuity and other benefit-related costs and certain other restructuring costs. The Company anticipates these actions will be substantially completed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end of 2022, with substantially all cash payments made by then.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2020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six months ended June 30, 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related to:</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Accelerated depreciation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9,072</w:t>
            </w:r>
          </w:p>
        </w:tc>
        <w:tc>
          <w:tcPr>
            <w:tcW w:w="10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1,755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15,979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8,385</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inventory reserves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Employee separation, continuity and other benefit-related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other restructuring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12,474</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1,755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8,385</w:t>
            </w:r>
          </w:p>
        </w:tc>
      </w:tr>
      <w:tr>
        <w:trPr>
          <w:trHeight w:val="21"/>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486"/>
        <w:spacing w:after="0" w:line="311" w:lineRule="auto"/>
        <w:rPr>
          <w:sz w:val="20"/>
          <w:szCs w:val="20"/>
          <w:color w:val="auto"/>
        </w:rPr>
      </w:pPr>
      <w:r>
        <w:rPr>
          <w:rFonts w:ascii="Arial" w:cs="Arial" w:eastAsia="Arial" w:hAnsi="Arial"/>
          <w:sz w:val="16"/>
          <w:szCs w:val="16"/>
          <w:color w:val="auto"/>
        </w:rPr>
        <w:t>These pre-tax net amounts were primarily attributable to our Generic Pharmaceuticals segment, which incurred $7.6 million and $22.5 million of pre-tax net charges during the three and six months ended June 30, 2021, respectively, and $1.8 million and $8.4 million of pre-tax net charges during the three and six months ended June 30, 2020, respectively. The remaining amounts related to our other segments and certain corporate unallocated costs.</w:t>
      </w:r>
    </w:p>
    <w:p>
      <w:pPr>
        <w:spacing w:after="0" w:line="41"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As of June 30, 2021, cumulative amounts incurred to date include charges related to accelerated depreciation of approximately $38.4 million, asset impairments related to identifiable intangible assets and certain operating lease assets of approximately $7.4 million, excess inventory reserves of approximately $8.9 million, employee separation, continuity and other benefit-related costs of approximately $68.4 million and certain other restructuring costs of approximately $2.5 million. Of these amounts, approximately $101.5 million were attributable to the Generic Pharmaceuticals segment, with the remaining amounts relating to our other segments and certain corporate unallocated costs.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2020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six months ended June 30, 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included in: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Cost of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1,261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20,344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6,026</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r>
      <w:tr>
        <w:trPr>
          <w:trHeight w:val="230"/>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to the liability for the 2020 Restructuring Initiative during the six months ended June 30, 2021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Employee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Separation,</w:t>
            </w: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Continuity and</w:t>
            </w:r>
          </w:p>
        </w:tc>
        <w:tc>
          <w:tcPr>
            <w:tcW w:w="18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Certain Other</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 Benefit-</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Related Costs</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59,002</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Net charges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(18,140)</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Liability balance as of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Of the liability at June 30, 2021, $38.2 million is classified as current and is included in Accounts payable and accrued expenses in the Condensed Consolidated Balance Sheets, with the remaining amount classified as noncurrent and included in Other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RESULTS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We evaluate segment performance based on Segment adjusted income from continuing operations before income tax, which we define as Income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and certain other items.</w:t>
      </w:r>
    </w:p>
    <w:p>
      <w:pPr>
        <w:spacing w:after="0" w:line="69"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Pharmaceuticals</w:t>
      </w:r>
    </w:p>
    <w:p>
      <w:pPr>
        <w:spacing w:after="0" w:line="121" w:lineRule="exact"/>
        <w:rPr>
          <w:sz w:val="20"/>
          <w:szCs w:val="20"/>
          <w:color w:val="auto"/>
        </w:rPr>
      </w:pPr>
    </w:p>
    <w:p>
      <w:pPr>
        <w:ind w:right="40" w:firstLine="486"/>
        <w:spacing w:after="0" w:line="238" w:lineRule="auto"/>
        <w:rPr>
          <w:sz w:val="20"/>
          <w:szCs w:val="20"/>
          <w:color w:val="auto"/>
        </w:rPr>
      </w:pPr>
      <w:r>
        <w:rPr>
          <w:rFonts w:ascii="Arial" w:cs="Arial" w:eastAsia="Arial" w:hAnsi="Arial"/>
          <w:sz w:val="18"/>
          <w:szCs w:val="18"/>
          <w:color w:val="auto"/>
        </w:rPr>
        <w:t>Our Branded Pharmaceuticals segment includes a variety of branded products in the areas of urology, orthopedics, endocrinology, medical aesthetics and bariatrics, among others. The products in this segment include 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AVEED</w:t>
      </w:r>
      <w:r>
        <w:rPr>
          <w:rFonts w:ascii="Arial" w:cs="Arial" w:eastAsia="Arial" w:hAnsi="Arial"/>
          <w:sz w:val="23"/>
          <w:szCs w:val="23"/>
          <w:color w:val="auto"/>
          <w:vertAlign w:val="superscript"/>
        </w:rPr>
        <w:t>®</w:t>
      </w:r>
      <w:r>
        <w:rPr>
          <w:rFonts w:ascii="Arial" w:cs="Arial" w:eastAsia="Arial" w:hAnsi="Arial"/>
          <w:sz w:val="18"/>
          <w:szCs w:val="18"/>
          <w:color w:val="auto"/>
        </w:rPr>
        <w:t>, QWO</w:t>
      </w:r>
      <w:r>
        <w:rPr>
          <w:rFonts w:ascii="Arial" w:cs="Arial" w:eastAsia="Arial" w:hAnsi="Arial"/>
          <w:sz w:val="23"/>
          <w:szCs w:val="23"/>
          <w:color w:val="auto"/>
          <w:vertAlign w:val="superscript"/>
        </w:rPr>
        <w:t>®</w:t>
      </w:r>
      <w:r>
        <w:rPr>
          <w:rFonts w:ascii="Arial" w:cs="Arial" w:eastAsia="Arial" w:hAnsi="Arial"/>
          <w:sz w:val="18"/>
          <w:szCs w:val="18"/>
          <w:color w:val="auto"/>
        </w:rPr>
        <w:t>, PERCOCET</w:t>
      </w:r>
      <w:r>
        <w:rPr>
          <w:rFonts w:ascii="Arial" w:cs="Arial" w:eastAsia="Arial" w:hAnsi="Arial"/>
          <w:sz w:val="23"/>
          <w:szCs w:val="23"/>
          <w:color w:val="auto"/>
          <w:vertAlign w:val="superscript"/>
        </w:rPr>
        <w:t>®</w:t>
      </w:r>
      <w:r>
        <w:rPr>
          <w:rFonts w:ascii="Arial" w:cs="Arial" w:eastAsia="Arial" w:hAnsi="Arial"/>
          <w:sz w:val="18"/>
          <w:szCs w:val="18"/>
          <w:color w:val="auto"/>
        </w:rPr>
        <w:t>, TESTOPEL</w:t>
      </w:r>
      <w:r>
        <w:rPr>
          <w:rFonts w:ascii="Arial" w:cs="Arial" w:eastAsia="Arial" w:hAnsi="Arial"/>
          <w:sz w:val="23"/>
          <w:szCs w:val="23"/>
          <w:color w:val="auto"/>
          <w:vertAlign w:val="superscript"/>
        </w:rPr>
        <w:t>®</w:t>
      </w:r>
      <w:r>
        <w:rPr>
          <w:rFonts w:ascii="Arial" w:cs="Arial" w:eastAsia="Arial" w:hAnsi="Arial"/>
          <w:sz w:val="18"/>
          <w:szCs w:val="18"/>
          <w:color w:val="auto"/>
        </w:rPr>
        <w:t>, EDEX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LIDODERM</w:t>
      </w:r>
      <w:r>
        <w:rPr>
          <w:rFonts w:ascii="Arial" w:cs="Arial" w:eastAsia="Arial" w:hAnsi="Arial"/>
          <w:sz w:val="23"/>
          <w:szCs w:val="23"/>
          <w:color w:val="auto"/>
          <w:vertAlign w:val="superscript"/>
        </w:rPr>
        <w:t>®</w:t>
      </w:r>
      <w:r>
        <w:rPr>
          <w:rFonts w:ascii="Arial" w:cs="Arial" w:eastAsia="Arial" w:hAnsi="Arial"/>
          <w:sz w:val="18"/>
          <w:szCs w:val="18"/>
          <w:color w:val="auto"/>
        </w:rPr>
        <w:t>, among others.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Sterile Injectables</w:t>
      </w:r>
    </w:p>
    <w:p>
      <w:pPr>
        <w:spacing w:after="0" w:line="116" w:lineRule="exact"/>
        <w:rPr>
          <w:sz w:val="20"/>
          <w:szCs w:val="20"/>
          <w:color w:val="auto"/>
        </w:rPr>
      </w:pPr>
    </w:p>
    <w:p>
      <w:pPr>
        <w:jc w:val="both"/>
        <w:ind w:right="200" w:firstLine="486"/>
        <w:spacing w:after="0" w:line="222"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3"/>
          <w:szCs w:val="23"/>
          <w:color w:val="auto"/>
          <w:vertAlign w:val="superscript"/>
        </w:rPr>
        <w:t>®</w:t>
      </w:r>
      <w:r>
        <w:rPr>
          <w:rFonts w:ascii="Arial" w:cs="Arial" w:eastAsia="Arial" w:hAnsi="Arial"/>
          <w:sz w:val="18"/>
          <w:szCs w:val="18"/>
          <w:color w:val="auto"/>
        </w:rPr>
        <w:t>,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APLISOL</w:t>
      </w:r>
      <w:r>
        <w:rPr>
          <w:rFonts w:ascii="Arial" w:cs="Arial" w:eastAsia="Arial" w:hAnsi="Arial"/>
          <w:sz w:val="23"/>
          <w:szCs w:val="23"/>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 Sharp &amp; Dohme Corp.’s (Merck) Invanz</w:t>
      </w:r>
      <w:r>
        <w:rPr>
          <w:rFonts w:ascii="Arial" w:cs="Arial" w:eastAsia="Arial" w:hAnsi="Arial"/>
          <w:sz w:val="23"/>
          <w:szCs w:val="23"/>
          <w:color w:val="auto"/>
          <w:vertAlign w:val="superscript"/>
        </w:rPr>
        <w:t>®</w:t>
      </w:r>
      <w:r>
        <w:rPr>
          <w:rFonts w:ascii="Arial" w:cs="Arial" w:eastAsia="Arial" w:hAnsi="Arial"/>
          <w:sz w:val="18"/>
          <w:szCs w:val="18"/>
          <w:color w:val="auto"/>
        </w:rPr>
        <w:t>) and ephedrine sulfate injection, among others.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21"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Our Generic Pharmaceuticals segment consists of a product portfolio including solid oral extended-release, solid oral immediate-release, liquids, semi-solids, patches, powders, ophthalmics and sprays and includes products that treat and manage a wide of medical conditions.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Pharmaceuticals</w:t>
      </w:r>
    </w:p>
    <w:p>
      <w:pPr>
        <w:spacing w:after="0" w:line="12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oncology and transplantation.</w:t>
      </w:r>
    </w:p>
    <w:p>
      <w:pPr>
        <w:spacing w:after="0" w:line="76" w:lineRule="exact"/>
        <w:rPr>
          <w:sz w:val="20"/>
          <w:szCs w:val="20"/>
          <w:color w:val="auto"/>
        </w:rPr>
      </w:pPr>
    </w:p>
    <w:p>
      <w:pPr>
        <w:ind w:right="20" w:firstLine="486"/>
        <w:spacing w:after="0" w:line="269" w:lineRule="auto"/>
        <w:rPr>
          <w:sz w:val="20"/>
          <w:szCs w:val="20"/>
          <w:color w:val="auto"/>
        </w:rPr>
      </w:pPr>
      <w:r>
        <w:rPr>
          <w:rFonts w:ascii="Arial" w:cs="Arial" w:eastAsia="Arial" w:hAnsi="Arial"/>
          <w:sz w:val="18"/>
          <w:szCs w:val="18"/>
          <w:color w:val="auto"/>
        </w:rPr>
        <w:t>The following represents selected information for the Company’s reportable segments for the three and six months ended June 30, 2021 and 2020 (in thousands):</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from external customers: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228,040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129,521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434,675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333,594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655,604</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167,272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348,145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467,162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 (1)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51,633</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net revenues from external customers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713,830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1,431,749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1,507,993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Segment adjusted income from continuing operations before income tax:</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101,659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49,174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195,428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147,596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505,649</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104,721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23,501</w:t>
            </w:r>
          </w:p>
        </w:tc>
        <w:tc>
          <w:tcPr>
            <w:tcW w:w="0" w:type="dxa"/>
            <w:vAlign w:val="bottom"/>
          </w:tcPr>
          <w:p>
            <w:pPr>
              <w:spacing w:after="0"/>
              <w:rPr>
                <w:sz w:val="1"/>
                <w:szCs w:val="1"/>
                <w:color w:val="auto"/>
              </w:rPr>
            </w:pPr>
          </w:p>
        </w:tc>
      </w:tr>
      <w:tr>
        <w:trPr>
          <w:trHeight w:val="155"/>
        </w:trPr>
        <w:tc>
          <w:tcPr>
            <w:tcW w:w="5480" w:type="dxa"/>
            <w:vAlign w:val="bottom"/>
          </w:tcPr>
          <w:p>
            <w:pPr>
              <w:ind w:left="20"/>
              <w:spacing w:after="0" w:line="156" w:lineRule="exact"/>
              <w:rPr>
                <w:sz w:val="20"/>
                <w:szCs w:val="20"/>
                <w:color w:val="auto"/>
              </w:rPr>
            </w:pPr>
            <w:r>
              <w:rPr>
                <w:rFonts w:ascii="Arial" w:cs="Arial" w:eastAsia="Arial" w:hAnsi="Arial"/>
                <w:sz w:val="18"/>
                <w:szCs w:val="18"/>
                <w:color w:val="auto"/>
                <w:w w:val="92"/>
              </w:rPr>
              <w:t>Total segment adjusted income from continuing operations before income</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359,666</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347,625</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737,649</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781,467</w:t>
            </w:r>
          </w:p>
        </w:tc>
        <w:tc>
          <w:tcPr>
            <w:tcW w:w="0" w:type="dxa"/>
            <w:vAlign w:val="bottom"/>
          </w:tcPr>
          <w:p>
            <w:pPr>
              <w:spacing w:after="0"/>
              <w:rPr>
                <w:sz w:val="1"/>
                <w:szCs w:val="1"/>
                <w:color w:val="auto"/>
              </w:rPr>
            </w:pPr>
          </w:p>
        </w:tc>
      </w:tr>
      <w:tr>
        <w:trPr>
          <w:trHeight w:val="208"/>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tax</w:t>
            </w: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table below provides reconciliations of our Total consolidated income from continuing operations before income tax, which is determined in accordance with U.S. GAAP, to our Total segment adjusted income from continuing operations before income tax for the three and six months ended June 30, 2021 and 2020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Total consolidated income from continuing operations before income tax</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46,501</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141,553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129,164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275,894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262,041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unallocated costs (1)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76,912</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94,070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189,200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221,735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Upfront and milestone payments to partners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w w:val="94"/>
              </w:rPr>
              <w:t>Continuity and separation benefits and other cost reduction initiatives (2)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32,664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litigation-related and other contingencies, net (3)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(25,748)</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Certain legal costs (4)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33,541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charges (5)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97,785</w:t>
            </w:r>
          </w:p>
        </w:tc>
        <w:tc>
          <w:tcPr>
            <w:tcW w:w="0" w:type="dxa"/>
            <w:vAlign w:val="bottom"/>
          </w:tcPr>
          <w:p>
            <w:pPr>
              <w:spacing w:after="0"/>
              <w:rPr>
                <w:sz w:val="1"/>
                <w:szCs w:val="1"/>
                <w:color w:val="auto"/>
              </w:rPr>
            </w:pP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rPr>
              <w:t>Acquisition-related and integration items, net (6)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480" w:type="dxa"/>
            <w:vAlign w:val="bottom"/>
          </w:tcPr>
          <w:p>
            <w:pPr>
              <w:ind w:left="40"/>
              <w:spacing w:after="0" w:line="176" w:lineRule="exact"/>
              <w:rPr>
                <w:sz w:val="20"/>
                <w:szCs w:val="20"/>
                <w:color w:val="auto"/>
              </w:rPr>
            </w:pPr>
            <w:r>
              <w:rPr>
                <w:rFonts w:ascii="Arial" w:cs="Arial" w:eastAsia="Arial" w:hAnsi="Arial"/>
                <w:sz w:val="18"/>
                <w:szCs w:val="18"/>
                <w:color w:val="auto"/>
                <w:w w:val="95"/>
              </w:rPr>
              <w:t>Foreign currency impact related to the remeasurement of intercompany</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debt instruments</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 (7)</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19,424</w:t>
            </w:r>
          </w:p>
        </w:tc>
        <w:tc>
          <w:tcPr>
            <w:tcW w:w="0" w:type="dxa"/>
            <w:vAlign w:val="bottom"/>
          </w:tcPr>
          <w:p>
            <w:pPr>
              <w:spacing w:after="0"/>
              <w:rPr>
                <w:sz w:val="1"/>
                <w:szCs w:val="1"/>
                <w:color w:val="auto"/>
              </w:rPr>
            </w:pPr>
          </w:p>
        </w:tc>
      </w:tr>
      <w:tr>
        <w:trPr>
          <w:trHeight w:val="156"/>
        </w:trPr>
        <w:tc>
          <w:tcPr>
            <w:tcW w:w="5480" w:type="dxa"/>
            <w:vAlign w:val="bottom"/>
          </w:tcPr>
          <w:p>
            <w:pPr>
              <w:ind w:left="140"/>
              <w:spacing w:after="0" w:line="156" w:lineRule="exact"/>
              <w:rPr>
                <w:sz w:val="20"/>
                <w:szCs w:val="20"/>
                <w:color w:val="auto"/>
              </w:rPr>
            </w:pPr>
            <w:r>
              <w:rPr>
                <w:rFonts w:ascii="Arial" w:cs="Arial" w:eastAsia="Arial" w:hAnsi="Arial"/>
                <w:sz w:val="18"/>
                <w:szCs w:val="18"/>
                <w:color w:val="auto"/>
                <w:w w:val="90"/>
              </w:rPr>
              <w:t>Total segment adjusted income from continuing operations before income</w:t>
            </w:r>
          </w:p>
        </w:tc>
        <w:tc>
          <w:tcPr>
            <w:tcW w:w="3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359,666</w:t>
            </w:r>
          </w:p>
        </w:tc>
        <w:tc>
          <w:tcPr>
            <w:tcW w:w="12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347,625</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737,649</w:t>
            </w:r>
          </w:p>
        </w:tc>
        <w:tc>
          <w:tcPr>
            <w:tcW w:w="12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781,467</w:t>
            </w:r>
          </w:p>
        </w:tc>
        <w:tc>
          <w:tcPr>
            <w:tcW w:w="0" w:type="dxa"/>
            <w:vAlign w:val="bottom"/>
          </w:tcPr>
          <w:p>
            <w:pPr>
              <w:spacing w:after="0"/>
              <w:rPr>
                <w:sz w:val="1"/>
                <w:szCs w:val="1"/>
                <w:color w:val="auto"/>
              </w:rPr>
            </w:pPr>
          </w:p>
        </w:tc>
      </w:tr>
      <w:tr>
        <w:trPr>
          <w:trHeight w:val="208"/>
        </w:trPr>
        <w:tc>
          <w:tcPr>
            <w:tcW w:w="5480" w:type="dxa"/>
            <w:vAlign w:val="bottom"/>
          </w:tcPr>
          <w:p>
            <w:pPr>
              <w:ind w:left="140"/>
              <w:spacing w:after="0" w:line="202" w:lineRule="exact"/>
              <w:rPr>
                <w:sz w:val="20"/>
                <w:szCs w:val="20"/>
                <w:color w:val="auto"/>
              </w:rPr>
            </w:pPr>
            <w:r>
              <w:rPr>
                <w:rFonts w:ascii="Arial" w:cs="Arial" w:eastAsia="Arial" w:hAnsi="Arial"/>
                <w:sz w:val="18"/>
                <w:szCs w:val="18"/>
                <w:color w:val="auto"/>
              </w:rPr>
              <w:t>tax</w:t>
            </w:r>
          </w:p>
        </w:tc>
        <w:tc>
          <w:tcPr>
            <w:tcW w:w="3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 w:lineRule="exact"/>
        <w:rPr>
          <w:rFonts w:ascii="Arial" w:cs="Arial" w:eastAsia="Arial" w:hAnsi="Arial"/>
          <w:sz w:val="14"/>
          <w:szCs w:val="14"/>
          <w:color w:val="auto"/>
        </w:rPr>
      </w:pPr>
    </w:p>
    <w:p>
      <w:pPr>
        <w:ind w:left="580" w:right="60" w:hanging="329"/>
        <w:spacing w:after="0" w:line="260" w:lineRule="auto"/>
        <w:tabs>
          <w:tab w:leader="none" w:pos="572" w:val="left"/>
        </w:tabs>
        <w:numPr>
          <w:ilvl w:val="0"/>
          <w:numId w:val="5"/>
        </w:numPr>
        <w:rPr>
          <w:rFonts w:ascii="Arial" w:cs="Arial" w:eastAsia="Arial" w:hAnsi="Arial"/>
          <w:sz w:val="13"/>
          <w:szCs w:val="13"/>
          <w:color w:val="auto"/>
        </w:rPr>
      </w:pPr>
      <w:r>
        <w:rPr>
          <w:rFonts w:ascii="Arial" w:cs="Arial" w:eastAsia="Arial" w:hAnsi="Arial"/>
          <w:sz w:val="13"/>
          <w:szCs w:val="13"/>
          <w:color w:val="auto"/>
        </w:rPr>
        <w:t>Amounts for the three months ended June 30, 2021 include employee separation, continuity and other benefit-related costs of $1.6 million, accelerated depreciation charges of $9.1 million and miscellaneous charges of $4.4 million. Amounts for the six months ended June 30, 2021 include employee separation, continuity and other benefit-related costs of $10.1 million, accelerated depreciation charges of $16.0 million and miscellaneous charges of $12.7 million. Amounts for the three months ended June 30, 2020 include employee separation, continuity and other benefit-related costs of $4.1 million, accelerated depreciation charges of $1.8 million and miscellaneous charges of $3.6 million. Amounts for the six months ended June 30, 2020 include employee separation, continuity and other benefit-related costs of $17.9 million, accelerated depreciation charges of $8.4 million and miscellaneous charges of $6.4 million. These costs relate primarily to our restructuring activities as further described in Note 4. Restructuring, certain continuity and transitional compensation arrangements for certain senior management of the Company and certain other cost reduction initiatives.</w:t>
      </w:r>
    </w:p>
    <w:p>
      <w:pPr>
        <w:ind w:left="580" w:right="520" w:hanging="329"/>
        <w:spacing w:after="0" w:line="241" w:lineRule="auto"/>
        <w:tabs>
          <w:tab w:leader="none" w:pos="572"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13. Commitments and Contingencies.</w:t>
      </w: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relate to opioid-related legal expenses.</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9. Goodwill and Other Intangibles.</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 w:lineRule="exact"/>
        <w:rPr>
          <w:rFonts w:ascii="Arial" w:cs="Arial" w:eastAsia="Arial" w:hAnsi="Arial"/>
          <w:sz w:val="14"/>
          <w:szCs w:val="14"/>
          <w:color w:val="auto"/>
        </w:rPr>
      </w:pPr>
    </w:p>
    <w:p>
      <w:pPr>
        <w:ind w:left="580" w:right="60" w:hanging="329"/>
        <w:spacing w:after="0" w:line="246" w:lineRule="auto"/>
        <w:tabs>
          <w:tab w:leader="none" w:pos="572"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Amounts for the six months ended June 30, 2021 primarily relate to $3.9 million of third party fees incurred in connection with the March 2021 Refinancing Transactions, which were accounted for as debt modification costs. Amounts for the three and six months ended June 30, 2020 primarily relate to $30.7 million of third party fees incurred in connection with the June 2020 Refinancing Transactions, which were accounted for as debt modification costs. Refer to Note 12. Debt for additional information. Other amounts in this row primarily relate to gains on sales of businesses and other assets.</w:t>
      </w:r>
    </w:p>
    <w:p>
      <w:pPr>
        <w:spacing w:after="0" w:line="88"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During the three and six months ended June 30, 2021 and 2020,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Branded Pharmaceuticals: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i w:val="1"/>
                <w:iCs w:val="1"/>
                <w:color w:val="auto"/>
              </w:rPr>
              <w:t>Specialty Products: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122,855</w:t>
            </w:r>
          </w:p>
        </w:tc>
      </w:tr>
      <w:tr>
        <w:trPr>
          <w:trHeight w:val="230"/>
        </w:trPr>
        <w:tc>
          <w:tcPr>
            <w:tcW w:w="5480" w:type="dxa"/>
            <w:vAlign w:val="bottom"/>
          </w:tcPr>
          <w:p>
            <w:pPr>
              <w:ind w:left="240"/>
              <w:spacing w:after="0" w:line="230" w:lineRule="exact"/>
              <w:rPr>
                <w:sz w:val="20"/>
                <w:szCs w:val="20"/>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55,596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35,115</w:t>
            </w:r>
          </w:p>
        </w:tc>
      </w:tr>
      <w:tr>
        <w:trPr>
          <w:trHeight w:val="229"/>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Specialty (1)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45,071</w:t>
            </w:r>
          </w:p>
        </w:tc>
      </w:tr>
      <w:tr>
        <w:trPr>
          <w:trHeight w:val="223"/>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Specialty Products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203,041</w:t>
            </w:r>
          </w:p>
        </w:tc>
      </w:tr>
      <w:tr>
        <w:trPr>
          <w:trHeight w:val="20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Established Products: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240"/>
              <w:spacing w:after="0" w:line="230" w:lineRule="exact"/>
              <w:rPr>
                <w:sz w:val="20"/>
                <w:szCs w:val="20"/>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51,781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55,281</w:t>
            </w: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8,809</w:t>
            </w:r>
          </w:p>
        </w:tc>
      </w:tr>
      <w:tr>
        <w:trPr>
          <w:trHeight w:val="229"/>
        </w:trPr>
        <w:tc>
          <w:tcPr>
            <w:tcW w:w="5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Established (2)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66,463</w:t>
            </w:r>
          </w:p>
        </w:tc>
      </w:tr>
      <w:tr>
        <w:trPr>
          <w:trHeight w:val="223"/>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Established Products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130,553</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Branded Pharmaceuticals (3)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333,594</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Sterile Injectables: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240"/>
              <w:spacing w:after="0" w:line="230"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197,121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214,214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421,067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417,118</w:t>
            </w:r>
          </w:p>
        </w:tc>
      </w:tr>
      <w:tr>
        <w:trPr>
          <w:trHeight w:val="230"/>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89,673</w:t>
            </w:r>
          </w:p>
        </w:tc>
      </w:tr>
      <w:tr>
        <w:trPr>
          <w:trHeight w:val="229"/>
        </w:trPr>
        <w:tc>
          <w:tcPr>
            <w:tcW w:w="5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Sterile Injectables (4)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148,813</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Sterile Injectables (3)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655,604</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Generic Pharmaceuticals (5)</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467,162</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International Pharmaceuticals (6)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51,633</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1,431,749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1,507,993</w:t>
            </w: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60" w:hanging="309"/>
        <w:spacing w:after="0" w:line="202"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Products included within Other Specialty include NASCOBAL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AVEED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QWO</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60" w:hanging="309"/>
        <w:spacing w:after="0" w:line="187"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LIDODERM</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80" w:right="400" w:hanging="329"/>
        <w:spacing w:after="0" w:line="241" w:lineRule="auto"/>
        <w:tabs>
          <w:tab w:leader="none" w:pos="57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six months ended June 30, 2021 and/or any product having revenues in excess of $25 million during any quarterly period in 2021 or 2020.</w:t>
      </w:r>
    </w:p>
    <w:p>
      <w:pPr>
        <w:ind w:left="560" w:hanging="309"/>
        <w:spacing w:after="0" w:line="187"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ertapenem for injection, APLISOL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others.</w:t>
      </w:r>
    </w:p>
    <w:p>
      <w:pPr>
        <w:ind w:left="580" w:right="60" w:hanging="329"/>
        <w:spacing w:after="0" w:line="241" w:lineRule="auto"/>
        <w:tabs>
          <w:tab w:leader="none" w:pos="57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No individual product within this segment has exceeded 5% of consolidated total revenues for the periods presented.</w:t>
      </w:r>
    </w:p>
    <w:p>
      <w:pPr>
        <w:spacing w:after="0" w:line="1" w:lineRule="exact"/>
        <w:rPr>
          <w:rFonts w:ascii="Arial" w:cs="Arial" w:eastAsia="Arial" w:hAnsi="Arial"/>
          <w:sz w:val="14"/>
          <w:szCs w:val="14"/>
          <w:color w:val="auto"/>
        </w:rPr>
      </w:pPr>
    </w:p>
    <w:p>
      <w:pPr>
        <w:ind w:left="580" w:right="720" w:hanging="329"/>
        <w:spacing w:after="0" w:line="255" w:lineRule="auto"/>
        <w:tabs>
          <w:tab w:leader="none" w:pos="57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our operating company Paladin.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20" w:hanging="244"/>
        <w:spacing w:after="0" w:line="250"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right="660" w:hanging="244"/>
        <w:spacing w:after="0" w:line="260"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financial instruments recorded in our Condensed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Amounts reported as Restricted cash and cash equivalents in our Condensed Consolidated Balance Sheets primarily relate to litigation-related matters, including approximately $102.8 million and $127.0 million held in Qualified Settlement Funds (QSFs) for mesh-related matters at June 30, 2021 and December 31, 2020, respectively. See Note 13. Commitments and Contingencies for further information about mesh-related and other litigation-related matters. Additionally, at June 30, 2021 and December 31, 2020, approximately $25.0 million of restricted cash and cash equivalents related to certain insurance-related matters.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June 30, 2021 and December 31, 2020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Fair Value Measurements at June 30, 2021 using:</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Level 1 Inputs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185,922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185,922</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5,651</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21,796</w:t>
            </w:r>
          </w:p>
        </w:tc>
      </w:tr>
      <w:tr>
        <w:trPr>
          <w:trHeight w:val="291"/>
        </w:trPr>
        <w:tc>
          <w:tcPr>
            <w:tcW w:w="5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9"/>
          </w:tcPr>
          <w:p>
            <w:pPr>
              <w:jc w:val="center"/>
              <w:ind w:left="756"/>
              <w:spacing w:after="0"/>
              <w:rPr>
                <w:sz w:val="20"/>
                <w:szCs w:val="20"/>
                <w:color w:val="auto"/>
              </w:rPr>
            </w:pPr>
            <w:r>
              <w:rPr>
                <w:rFonts w:ascii="Arial" w:cs="Arial" w:eastAsia="Arial" w:hAnsi="Arial"/>
                <w:sz w:val="14"/>
                <w:szCs w:val="14"/>
                <w:b w:val="1"/>
                <w:bCs w:val="1"/>
                <w:color w:val="auto"/>
                <w:w w:val="93"/>
              </w:rPr>
              <w:t>Fair Value Measurements at December 31, 2020 using:</w:t>
            </w:r>
          </w:p>
        </w:tc>
        <w:tc>
          <w:tcPr>
            <w:tcW w:w="1020" w:type="dxa"/>
            <w:vAlign w:val="bottom"/>
            <w:tcBorders>
              <w:bottom w:val="single" w:sz="8" w:color="auto"/>
            </w:tcBorders>
          </w:tcPr>
          <w:p>
            <w:pPr>
              <w:spacing w:after="0"/>
              <w:rPr>
                <w:sz w:val="24"/>
                <w:szCs w:val="24"/>
                <w:color w:val="auto"/>
              </w:rPr>
            </w:pPr>
          </w:p>
        </w:tc>
      </w:tr>
      <w:tr>
        <w:trPr>
          <w:trHeight w:val="187"/>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Level 1 Inputs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214,120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214,120</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8,566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8,566</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r>
    </w:tbl>
    <w:p>
      <w:pPr>
        <w:spacing w:after="0" w:line="188"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At June 30, 2021 and December 31, 2020, money market funds include $22.3 million and $26.5 million, respectively, in QSFs to be disbursed to mesh-related or other product liability claimants. Amounts in QSFs are considered restricted cash equivalents. See Note 13. Commitments and Contingencies for further discussion of our product liability cases. At June 30, 2021 and December 31, 2020, the differences between the amortized cost and the fair value of our money market funds were not material, individually or in the aggregate.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firstLine="486"/>
        <w:spacing w:after="0" w:line="284"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is measured at fair value on a recurring basis using significant unobservable inputs (Level 3), for the three and six months ended June 30, 2021 and 2020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29,657</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Amounts settled</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(5,682)</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18,507</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currency translation</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716"/>
        </w:trPr>
        <w:tc>
          <w:tcPr>
            <w:tcW w:w="5480" w:type="dxa"/>
            <w:vAlign w:val="bottom"/>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At June 30, 2021, the fair value measurements of the contingent consideration obligations were determined using risk-adjusted discount rates ranging from approximately 10.0% to 15.0% (weighted average rate of approximately 11%, weighted based on relative fair value). Changes in fair value recorded in earnings related to acquisition-related contingent consideration are included in our Condensed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Condensed Consolidated Balance Sheets.</w:t>
      </w:r>
    </w:p>
    <w:p>
      <w:pPr>
        <w:spacing w:after="0" w:line="53" w:lineRule="exact"/>
        <w:rPr>
          <w:sz w:val="20"/>
          <w:szCs w:val="20"/>
          <w:color w:val="auto"/>
        </w:rPr>
      </w:pPr>
    </w:p>
    <w:p>
      <w:pPr>
        <w:ind w:right="240" w:firstLine="486"/>
        <w:spacing w:after="0" w:line="269"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six months ended June 30, 2021 by acquisition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Auxilium acquisition</w:t>
      </w:r>
    </w:p>
    <w:p>
      <w:pPr>
        <w:spacing w:after="0" w:line="23" w:lineRule="exact"/>
        <w:rPr>
          <w:sz w:val="20"/>
          <w:szCs w:val="20"/>
          <w:color w:val="auto"/>
        </w:rPr>
      </w:pPr>
    </w:p>
    <w:p>
      <w:pPr>
        <w:ind w:left="20" w:right="1440"/>
        <w:spacing w:after="0" w:line="289" w:lineRule="auto"/>
        <w:rPr>
          <w:sz w:val="20"/>
          <w:szCs w:val="20"/>
          <w:color w:val="auto"/>
        </w:rPr>
      </w:pPr>
      <w:r>
        <w:rPr>
          <w:rFonts w:ascii="Arial" w:cs="Arial" w:eastAsia="Arial" w:hAnsi="Arial"/>
          <w:sz w:val="18"/>
          <w:szCs w:val="18"/>
          <w:color w:val="auto"/>
        </w:rPr>
        <w:t>Lehigh Valley Technologies, Inc. acquisitions Other</w:t>
      </w:r>
    </w:p>
    <w:p>
      <w:pPr>
        <w:ind w:left="140"/>
        <w:spacing w:after="0"/>
        <w:rPr>
          <w:sz w:val="20"/>
          <w:szCs w:val="20"/>
          <w:color w:val="auto"/>
        </w:rPr>
      </w:pPr>
      <w:r>
        <w:rPr>
          <w:rFonts w:ascii="Arial" w:cs="Arial" w:eastAsia="Arial" w:hAnsi="Arial"/>
          <w:sz w:val="18"/>
          <w:szCs w:val="18"/>
          <w:color w:val="auto"/>
        </w:rPr>
        <w:t>Total</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Nonrecurring Fair Value Measurements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Settled and</w:t>
            </w:r>
          </w:p>
        </w:tc>
        <w:tc>
          <w:tcPr>
            <w:tcW w:w="100" w:type="dxa"/>
            <w:vAlign w:val="bottom"/>
          </w:tcPr>
          <w:p>
            <w:pPr>
              <w:spacing w:after="0"/>
              <w:rPr>
                <w:sz w:val="12"/>
                <w:szCs w:val="12"/>
                <w:color w:val="auto"/>
              </w:rPr>
            </w:pPr>
          </w:p>
        </w:tc>
        <w:tc>
          <w:tcPr>
            <w:tcW w:w="12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8"/>
              </w:rPr>
              <w:t>Balance as of June</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Value Recorded in</w:t>
            </w:r>
          </w:p>
        </w:tc>
        <w:tc>
          <w:tcPr>
            <w:tcW w:w="14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260" w:type="dxa"/>
            <w:vAlign w:val="bottom"/>
          </w:tcPr>
          <w:p>
            <w:pPr>
              <w:jc w:val="right"/>
              <w:ind w:right="336"/>
              <w:spacing w:after="0"/>
              <w:rPr>
                <w:sz w:val="20"/>
                <w:szCs w:val="20"/>
                <w:color w:val="auto"/>
              </w:rPr>
            </w:pPr>
            <w:r>
              <w:rPr>
                <w:rFonts w:ascii="Arial" w:cs="Arial" w:eastAsia="Arial" w:hAnsi="Arial"/>
                <w:sz w:val="14"/>
                <w:szCs w:val="14"/>
                <w:b w:val="1"/>
                <w:bCs w:val="1"/>
                <w:color w:val="auto"/>
              </w:rPr>
              <w:t>30, 2021</w:t>
            </w:r>
          </w:p>
        </w:tc>
        <w:tc>
          <w:tcPr>
            <w:tcW w:w="0" w:type="dxa"/>
            <w:vAlign w:val="bottom"/>
          </w:tcPr>
          <w:p>
            <w:pPr>
              <w:spacing w:after="0"/>
              <w:rPr>
                <w:sz w:val="1"/>
                <w:szCs w:val="1"/>
                <w:color w:val="auto"/>
              </w:rPr>
            </w:pPr>
          </w:p>
        </w:tc>
      </w:tr>
      <w:tr>
        <w:trPr>
          <w:trHeight w:val="224"/>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14,484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27,447</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-633730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-333375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p>
      <w:pPr>
        <w:ind w:right="36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six months ended June 30, 2021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during the Six Months Ended June 30,</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81"/>
        </w:trPr>
        <w:tc>
          <w:tcPr>
            <w:tcW w:w="5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2021 (1) using:</w:t>
            </w: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5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2"/>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jc w:val="right"/>
              <w:ind w:right="39"/>
              <w:spacing w:after="0" w:line="107" w:lineRule="exact"/>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 Inputs</w:t>
            </w:r>
          </w:p>
        </w:tc>
        <w:tc>
          <w:tcPr>
            <w:tcW w:w="18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10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excluding goodwill (2)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Certain property, plant and equipment</w:t>
            </w:r>
          </w:p>
        </w:tc>
        <w:tc>
          <w:tcPr>
            <w:tcW w:w="14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80" w:hanging="329"/>
        <w:spacing w:after="0" w:line="241" w:lineRule="auto"/>
        <w:tabs>
          <w:tab w:leader="none" w:pos="57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80" w:right="500" w:hanging="329"/>
        <w:spacing w:after="0" w:line="255" w:lineRule="auto"/>
        <w:tabs>
          <w:tab w:leader="none" w:pos="572"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fair value measurements were determined using risk-adjusted discount rates ranging from approximately 10.0% to 12.0% (weighted average rate of approximately 11.1%, weighted based on relative fair value).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 of the following at June 30, 2021 and December 31, 2020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102,030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99,495</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Work-in-process (1)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90,301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98,753</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146,125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154,012</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338,456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352,260</w:t>
            </w: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components of inventory shown in the table above are net of allowance for obsolescence.</w:t>
      </w:r>
    </w:p>
    <w:p>
      <w:pPr>
        <w:spacing w:after="0" w:line="101"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Inventory that is in excess of the amount expected to be sold within one year is classified as noncurrent inventory and is not included in the table above. At June 30, 2021 and December 31, 2020, $7.2 million and $13.2 million, respectively, of noncurrent inventory was included in Other assets in the Condensed Consolidated Balance Sheets. As of June 30, 2021 and December 31, 2020, the Company’s Condensed Consolidated Balance Sheets included approximately $12.5 million and $37.5 million, respectively, of capitalized pre-launch inventories related to products that were not yet available to be sold.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right="200" w:firstLine="486"/>
        <w:spacing w:after="0" w:line="269" w:lineRule="auto"/>
        <w:rPr>
          <w:sz w:val="20"/>
          <w:szCs w:val="20"/>
          <w:color w:val="auto"/>
        </w:rPr>
      </w:pPr>
      <w:r>
        <w:rPr>
          <w:rFonts w:ascii="Arial" w:cs="Arial" w:eastAsia="Arial" w:hAnsi="Arial"/>
          <w:sz w:val="18"/>
          <w:szCs w:val="18"/>
          <w:color w:val="auto"/>
        </w:rPr>
        <w:t>The following table presents information about the Company’s right-of-use assets and lease liabilities at June 30, 2021 and December 31, 2020 (in thousands):</w:t>
      </w: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Balance Sheet Line Items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6"/>
                <w:szCs w:val="16"/>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31, 2020</w:t>
            </w: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6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2720" w:type="dxa"/>
            <w:vAlign w:val="bottom"/>
          </w:tcPr>
          <w:p>
            <w:pPr>
              <w:ind w:left="140"/>
              <w:spacing w:after="0"/>
              <w:rPr>
                <w:sz w:val="20"/>
                <w:szCs w:val="20"/>
                <w:color w:val="auto"/>
              </w:rPr>
            </w:pPr>
            <w:r>
              <w:rPr>
                <w:rFonts w:ascii="Arial" w:cs="Arial" w:eastAsia="Arial" w:hAnsi="Arial"/>
                <w:sz w:val="18"/>
                <w:szCs w:val="18"/>
                <w:color w:val="auto"/>
                <w:w w:val="91"/>
              </w:rPr>
              <w:t>Operating lease right-of-use assets</w:t>
            </w:r>
          </w:p>
        </w:tc>
        <w:tc>
          <w:tcPr>
            <w:tcW w:w="1680" w:type="dxa"/>
            <w:vAlign w:val="bottom"/>
          </w:tcPr>
          <w:p>
            <w:pPr>
              <w:spacing w:after="0"/>
              <w:rPr>
                <w:sz w:val="19"/>
                <w:szCs w:val="19"/>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color w:val="auto"/>
              </w:rPr>
              <w:t>Operating lease assets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31,945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37,030</w:t>
            </w:r>
          </w:p>
        </w:tc>
      </w:tr>
      <w:tr>
        <w:trPr>
          <w:trHeight w:val="229"/>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Finance lease right-of-use assets</w:t>
            </w:r>
          </w:p>
        </w:tc>
        <w:tc>
          <w:tcPr>
            <w:tcW w:w="1680" w:type="dxa"/>
            <w:vAlign w:val="bottom"/>
            <w:shd w:val="clear" w:color="auto" w:fill="CCEEFF"/>
          </w:tcPr>
          <w:p>
            <w:pPr>
              <w:spacing w:after="0"/>
              <w:rPr>
                <w:sz w:val="19"/>
                <w:szCs w:val="19"/>
                <w:color w:val="auto"/>
              </w:rPr>
            </w:pPr>
          </w:p>
        </w:tc>
        <w:tc>
          <w:tcPr>
            <w:tcW w:w="25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1"/>
              </w:rPr>
              <w:t>Property, plant and equipment, net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47,549</w:t>
            </w:r>
          </w:p>
        </w:tc>
      </w:tr>
      <w:tr>
        <w:trPr>
          <w:trHeight w:val="223"/>
        </w:trPr>
        <w:tc>
          <w:tcPr>
            <w:tcW w:w="2720" w:type="dxa"/>
            <w:vAlign w:val="bottom"/>
          </w:tcPr>
          <w:p>
            <w:pPr>
              <w:ind w:left="220"/>
              <w:spacing w:after="0"/>
              <w:rPr>
                <w:sz w:val="20"/>
                <w:szCs w:val="20"/>
                <w:color w:val="auto"/>
              </w:rPr>
            </w:pPr>
            <w:r>
              <w:rPr>
                <w:rFonts w:ascii="Arial" w:cs="Arial" w:eastAsia="Arial" w:hAnsi="Arial"/>
                <w:sz w:val="18"/>
                <w:szCs w:val="18"/>
                <w:color w:val="auto"/>
              </w:rPr>
              <w:t>Total right-of-use assets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84,579</w:t>
            </w: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2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liabilities:</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2720" w:type="dxa"/>
            <w:vAlign w:val="bottom"/>
          </w:tcPr>
          <w:p>
            <w:pPr>
              <w:ind w:left="140"/>
              <w:spacing w:after="0"/>
              <w:rPr>
                <w:sz w:val="20"/>
                <w:szCs w:val="20"/>
                <w:color w:val="auto"/>
              </w:rPr>
            </w:pPr>
            <w:r>
              <w:rPr>
                <w:rFonts w:ascii="Arial" w:cs="Arial" w:eastAsia="Arial" w:hAnsi="Arial"/>
                <w:sz w:val="18"/>
                <w:szCs w:val="18"/>
                <w:color w:val="auto"/>
                <w:w w:val="98"/>
              </w:rPr>
              <w:t>Current operating lease liabilities</w:t>
            </w:r>
          </w:p>
        </w:tc>
        <w:tc>
          <w:tcPr>
            <w:tcW w:w="1680" w:type="dxa"/>
            <w:vAlign w:val="bottom"/>
          </w:tcPr>
          <w:p>
            <w:pPr>
              <w:spacing w:after="0"/>
              <w:rPr>
                <w:sz w:val="19"/>
                <w:szCs w:val="19"/>
                <w:color w:val="auto"/>
              </w:rPr>
            </w:pPr>
          </w:p>
        </w:tc>
        <w:tc>
          <w:tcPr>
            <w:tcW w:w="3440" w:type="dxa"/>
            <w:vAlign w:val="bottom"/>
            <w:gridSpan w:val="6"/>
          </w:tcPr>
          <w:p>
            <w:pPr>
              <w:ind w:left="20"/>
              <w:spacing w:after="0"/>
              <w:rPr>
                <w:sz w:val="20"/>
                <w:szCs w:val="20"/>
                <w:color w:val="auto"/>
              </w:rPr>
            </w:pPr>
            <w:r>
              <w:rPr>
                <w:rFonts w:ascii="Arial" w:cs="Arial" w:eastAsia="Arial" w:hAnsi="Arial"/>
                <w:sz w:val="18"/>
                <w:szCs w:val="18"/>
                <w:color w:val="auto"/>
                <w:w w:val="99"/>
              </w:rPr>
              <w:t>Current portion of operating lease liabilities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11,613</w:t>
            </w:r>
          </w:p>
        </w:tc>
      </w:tr>
      <w:tr>
        <w:trPr>
          <w:trHeight w:val="229"/>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34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3"/>
              </w:rPr>
              <w:t>Operating lease liabilities, less current portion</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38,132</w:t>
            </w:r>
          </w:p>
        </w:tc>
      </w:tr>
      <w:tr>
        <w:trPr>
          <w:trHeight w:val="223"/>
        </w:trPr>
        <w:tc>
          <w:tcPr>
            <w:tcW w:w="272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49,745</w:t>
            </w: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2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Finance lease liabilities:</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2720" w:type="dxa"/>
            <w:vAlign w:val="bottom"/>
          </w:tcPr>
          <w:p>
            <w:pPr>
              <w:ind w:left="140"/>
              <w:spacing w:after="0"/>
              <w:rPr>
                <w:sz w:val="20"/>
                <w:szCs w:val="20"/>
                <w:color w:val="auto"/>
              </w:rPr>
            </w:pPr>
            <w:r>
              <w:rPr>
                <w:rFonts w:ascii="Arial" w:cs="Arial" w:eastAsia="Arial" w:hAnsi="Arial"/>
                <w:sz w:val="18"/>
                <w:szCs w:val="18"/>
                <w:color w:val="auto"/>
              </w:rPr>
              <w:t>Current finance lease liabilities</w:t>
            </w:r>
          </w:p>
        </w:tc>
        <w:tc>
          <w:tcPr>
            <w:tcW w:w="1680" w:type="dxa"/>
            <w:vAlign w:val="bottom"/>
          </w:tcPr>
          <w:p>
            <w:pPr>
              <w:spacing w:after="0"/>
              <w:rPr>
                <w:sz w:val="19"/>
                <w:szCs w:val="19"/>
                <w:color w:val="auto"/>
              </w:rPr>
            </w:pPr>
          </w:p>
        </w:tc>
        <w:tc>
          <w:tcPr>
            <w:tcW w:w="3440" w:type="dxa"/>
            <w:vAlign w:val="bottom"/>
            <w:gridSpan w:val="6"/>
          </w:tcPr>
          <w:p>
            <w:pPr>
              <w:ind w:left="2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6,227</w:t>
            </w:r>
          </w:p>
        </w:tc>
      </w:tr>
      <w:tr>
        <w:trPr>
          <w:trHeight w:val="230"/>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Noncurrent finance lease liabilities</w:t>
            </w:r>
          </w:p>
        </w:tc>
        <w:tc>
          <w:tcPr>
            <w:tcW w:w="16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25,027</w:t>
            </w:r>
          </w:p>
        </w:tc>
      </w:tr>
      <w:tr>
        <w:trPr>
          <w:trHeight w:val="223"/>
        </w:trPr>
        <w:tc>
          <w:tcPr>
            <w:tcW w:w="272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31,254</w:t>
            </w:r>
          </w:p>
        </w:tc>
      </w:tr>
      <w:tr>
        <w:trPr>
          <w:trHeight w:val="21"/>
        </w:trPr>
        <w:tc>
          <w:tcPr>
            <w:tcW w:w="5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398"/>
        </w:trPr>
        <w:tc>
          <w:tcPr>
            <w:tcW w:w="11240" w:type="dxa"/>
            <w:vAlign w:val="bottom"/>
            <w:gridSpan w:val="18"/>
          </w:tcPr>
          <w:p>
            <w:pPr>
              <w:ind w:left="500"/>
              <w:spacing w:after="0"/>
              <w:rPr>
                <w:sz w:val="20"/>
                <w:szCs w:val="20"/>
                <w:color w:val="auto"/>
              </w:rPr>
            </w:pPr>
            <w:r>
              <w:rPr>
                <w:rFonts w:ascii="Arial" w:cs="Arial" w:eastAsia="Arial" w:hAnsi="Arial"/>
                <w:sz w:val="18"/>
                <w:szCs w:val="18"/>
                <w:color w:val="auto"/>
                <w:w w:val="89"/>
              </w:rPr>
              <w:t>The following table presents information about lease costs and expenses and sublease income for the three and six months ended June 30, 2021 and</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2020 (in thousands):</w:t>
            </w: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0"/>
        </w:trPr>
        <w:tc>
          <w:tcPr>
            <w:tcW w:w="27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2720" w:type="dxa"/>
            <w:vAlign w:val="bottom"/>
          </w:tcPr>
          <w:p>
            <w:pPr>
              <w:spacing w:after="0"/>
              <w:rPr>
                <w:sz w:val="16"/>
                <w:szCs w:val="16"/>
                <w:color w:val="auto"/>
              </w:rPr>
            </w:pPr>
          </w:p>
        </w:tc>
        <w:tc>
          <w:tcPr>
            <w:tcW w:w="2800" w:type="dxa"/>
            <w:vAlign w:val="bottom"/>
            <w:gridSpan w:val="3"/>
          </w:tcPr>
          <w:p>
            <w:pPr>
              <w:ind w:left="20"/>
              <w:spacing w:after="0"/>
              <w:rPr>
                <w:sz w:val="20"/>
                <w:szCs w:val="20"/>
                <w:color w:val="auto"/>
              </w:rPr>
            </w:pPr>
            <w:r>
              <w:rPr>
                <w:rFonts w:ascii="Arial" w:cs="Arial" w:eastAsia="Arial" w:hAnsi="Arial"/>
                <w:sz w:val="14"/>
                <w:szCs w:val="14"/>
                <w:b w:val="1"/>
                <w:bCs w:val="1"/>
                <w:color w:val="auto"/>
              </w:rPr>
              <w:t>Statement of Operations Line Items</w:t>
            </w: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24"/>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3,112</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 Various (1)</w:t>
            </w:r>
          </w:p>
        </w:tc>
        <w:tc>
          <w:tcPr>
            <w:tcW w:w="15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2,311</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r>
      <w:tr>
        <w:trPr>
          <w:trHeight w:val="229"/>
        </w:trPr>
        <w:tc>
          <w:tcPr>
            <w:tcW w:w="272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1680" w:type="dxa"/>
            <w:vAlign w:val="bottom"/>
          </w:tcPr>
          <w:p>
            <w:pPr>
              <w:ind w:left="20"/>
              <w:spacing w:after="0"/>
              <w:rPr>
                <w:sz w:val="20"/>
                <w:szCs w:val="20"/>
                <w:color w:val="auto"/>
              </w:rPr>
            </w:pPr>
            <w:r>
              <w:rPr>
                <w:rFonts w:ascii="Arial" w:cs="Arial" w:eastAsia="Arial" w:hAnsi="Arial"/>
                <w:sz w:val="18"/>
                <w:szCs w:val="18"/>
                <w:color w:val="auto"/>
                <w:w w:val="97"/>
              </w:rPr>
              <w:t>Interest expense, net</w:t>
            </w:r>
          </w:p>
        </w:tc>
        <w:tc>
          <w:tcPr>
            <w:tcW w:w="158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1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720" w:type="dxa"/>
            <w:vAlign w:val="bottom"/>
          </w:tcPr>
          <w:p>
            <w:pPr>
              <w:ind w:left="140"/>
              <w:spacing w:after="0"/>
              <w:rPr>
                <w:sz w:val="20"/>
                <w:szCs w:val="20"/>
                <w:color w:val="auto"/>
              </w:rPr>
            </w:pPr>
            <w:r>
              <w:rPr>
                <w:rFonts w:ascii="Arial" w:cs="Arial" w:eastAsia="Arial" w:hAnsi="Arial"/>
                <w:sz w:val="18"/>
                <w:szCs w:val="18"/>
                <w:color w:val="auto"/>
              </w:rPr>
              <w:t>Variable lease costs (2)</w:t>
            </w:r>
          </w:p>
        </w:tc>
        <w:tc>
          <w:tcPr>
            <w:tcW w:w="1680" w:type="dxa"/>
            <w:vAlign w:val="bottom"/>
          </w:tcPr>
          <w:p>
            <w:pPr>
              <w:ind w:left="20"/>
              <w:spacing w:after="0"/>
              <w:rPr>
                <w:sz w:val="20"/>
                <w:szCs w:val="20"/>
                <w:color w:val="auto"/>
              </w:rPr>
            </w:pPr>
            <w:r>
              <w:rPr>
                <w:rFonts w:ascii="Arial" w:cs="Arial" w:eastAsia="Arial" w:hAnsi="Arial"/>
                <w:sz w:val="18"/>
                <w:szCs w:val="18"/>
                <w:color w:val="auto"/>
              </w:rPr>
              <w:t>Various (1)</w:t>
            </w:r>
          </w:p>
        </w:tc>
        <w:tc>
          <w:tcPr>
            <w:tcW w:w="158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2,184</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4,842</w:t>
            </w:r>
          </w:p>
        </w:tc>
      </w:tr>
      <w:tr>
        <w:trPr>
          <w:trHeight w:val="230"/>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Sublease income</w:t>
            </w:r>
          </w:p>
        </w:tc>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158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520" w:hanging="329"/>
        <w:spacing w:after="0" w:line="255" w:lineRule="auto"/>
        <w:tabs>
          <w:tab w:leader="none" w:pos="5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are included in the Condensed Consolidated Statements of Operations based on the function that the underlying leased asset supports. The following table presents the components of such aggregate amounts for the three and six months ended June 30, 2021 and 2020 (in thousands):</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46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4"/>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2,446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5,774</w:t>
            </w: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4,887</w:t>
            </w:r>
          </w:p>
        </w:tc>
        <w:tc>
          <w:tcPr>
            <w:tcW w:w="100" w:type="dxa"/>
            <w:vAlign w:val="bottom"/>
          </w:tcPr>
          <w:p>
            <w:pPr>
              <w:spacing w:after="0"/>
              <w:rPr>
                <w:sz w:val="16"/>
                <w:szCs w:val="16"/>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4,179</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9,911</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8,900</w:t>
            </w:r>
          </w:p>
        </w:tc>
      </w:tr>
      <w:tr>
        <w:trPr>
          <w:trHeight w:val="192"/>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bl>
    <w:p>
      <w:pPr>
        <w:spacing w:after="0" w:line="76" w:lineRule="exact"/>
        <w:rPr>
          <w:sz w:val="20"/>
          <w:szCs w:val="20"/>
          <w:color w:val="auto"/>
        </w:rPr>
      </w:pPr>
    </w:p>
    <w:p>
      <w:pPr>
        <w:ind w:left="580" w:right="200" w:hanging="329"/>
        <w:spacing w:after="0" w:line="273" w:lineRule="auto"/>
        <w:tabs>
          <w:tab w:leader="none" w:pos="57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0" w:lineRule="exact"/>
        <w:rPr>
          <w:sz w:val="20"/>
          <w:szCs w:val="20"/>
          <w:color w:val="auto"/>
        </w:rPr>
      </w:pPr>
    </w:p>
    <w:p>
      <w:pPr>
        <w:ind w:right="220" w:firstLine="486"/>
        <w:spacing w:after="0" w:line="269"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six months ended June 30, 2021 and 2020 (in thousands):</w:t>
      </w: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34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11"/>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Operating cash payments for operating leases</w:t>
            </w:r>
          </w:p>
        </w:tc>
        <w:tc>
          <w:tcPr>
            <w:tcW w:w="3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6,453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7,125</w:t>
            </w: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payments for finance leases</w:t>
            </w:r>
          </w:p>
        </w:tc>
        <w:tc>
          <w:tcPr>
            <w:tcW w:w="3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Financing cash payments for finance leases</w:t>
            </w:r>
          </w:p>
        </w:tc>
        <w:tc>
          <w:tcPr>
            <w:tcW w:w="3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2,669</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2,393</w:t>
            </w:r>
          </w:p>
        </w:tc>
      </w:tr>
      <w:tr>
        <w:trPr>
          <w:trHeight w:val="742"/>
        </w:trPr>
        <w:tc>
          <w:tcPr>
            <w:tcW w:w="5340" w:type="dxa"/>
            <w:vAlign w:val="bottom"/>
          </w:tcPr>
          <w:p>
            <w:pPr>
              <w:spacing w:after="0"/>
              <w:rPr>
                <w:sz w:val="24"/>
                <w:szCs w:val="24"/>
                <w:color w:val="auto"/>
              </w:rPr>
            </w:pPr>
          </w:p>
        </w:tc>
        <w:tc>
          <w:tcPr>
            <w:tcW w:w="3060" w:type="dxa"/>
            <w:vAlign w:val="bottom"/>
          </w:tcPr>
          <w:p>
            <w:pPr>
              <w:jc w:val="right"/>
              <w:ind w:right="259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about our goodwill at June 30, 2021 and December 31, 2020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Branded</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Generic</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Goodwill as of June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3,560,011</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carrying amounts of goodwill at June 30, 2021 and December 31, 2020 are net of the following accumulated impairments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Branded</w:t>
            </w:r>
          </w:p>
        </w:tc>
        <w:tc>
          <w:tcPr>
            <w:tcW w:w="120" w:type="dxa"/>
            <w:vAlign w:val="bottom"/>
          </w:tcPr>
          <w:p>
            <w:pPr>
              <w:spacing w:after="0"/>
              <w:rPr>
                <w:sz w:val="14"/>
                <w:szCs w:val="14"/>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Sterile Injectables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Generic</w:t>
            </w:r>
          </w:p>
        </w:tc>
        <w:tc>
          <w:tcPr>
            <w:tcW w:w="1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5"/>
              </w:rPr>
              <w:t>Accumulated impairment losses as of December 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546,251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4,544,718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w w:val="95"/>
              </w:rPr>
              <w:t>Accumulated impairment losses as of June 30,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561,068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4,559,535</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other intangible assets for the six months ended June 30, 2021 are set forth in the table below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basis:</w:t>
            </w:r>
          </w:p>
        </w:tc>
        <w:tc>
          <w:tcPr>
            <w:tcW w:w="180" w:type="dxa"/>
            <w:vAlign w:val="bottom"/>
          </w:tcPr>
          <w:p>
            <w:pPr>
              <w:spacing w:after="0"/>
              <w:rPr>
                <w:sz w:val="14"/>
                <w:szCs w:val="14"/>
                <w:color w:val="auto"/>
              </w:rPr>
            </w:pPr>
          </w:p>
        </w:tc>
        <w:tc>
          <w:tcPr>
            <w:tcW w:w="1180" w:type="dxa"/>
            <w:vAlign w:val="bottom"/>
          </w:tcPr>
          <w:p>
            <w:pPr>
              <w:jc w:val="center"/>
              <w:ind w:right="113"/>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Acquisitions</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Effect of Currency</w:t>
            </w:r>
          </w:p>
        </w:tc>
        <w:tc>
          <w:tcPr>
            <w:tcW w:w="100" w:type="dxa"/>
            <w:vAlign w:val="bottom"/>
          </w:tcPr>
          <w:p>
            <w:pPr>
              <w:spacing w:after="0"/>
              <w:rPr>
                <w:sz w:val="14"/>
                <w:szCs w:val="14"/>
                <w:color w:val="auto"/>
              </w:rPr>
            </w:pPr>
          </w:p>
        </w:tc>
        <w:tc>
          <w:tcPr>
            <w:tcW w:w="126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Balance as of June</w:t>
            </w:r>
          </w:p>
        </w:tc>
        <w:tc>
          <w:tcPr>
            <w:tcW w:w="0" w:type="dxa"/>
            <w:vAlign w:val="bottom"/>
          </w:tcPr>
          <w:p>
            <w:pPr>
              <w:spacing w:after="0"/>
              <w:rPr>
                <w:sz w:val="1"/>
                <w:szCs w:val="1"/>
                <w:color w:val="auto"/>
              </w:rPr>
            </w:pPr>
          </w:p>
        </w:tc>
      </w:tr>
      <w:tr>
        <w:trPr>
          <w:trHeight w:val="189"/>
        </w:trPr>
        <w:tc>
          <w:tcPr>
            <w:tcW w:w="4040" w:type="dxa"/>
            <w:vAlign w:val="bottom"/>
            <w:vMerge w:val="continue"/>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6"/>
                <w:szCs w:val="16"/>
                <w:color w:val="auto"/>
              </w:rPr>
            </w:pPr>
          </w:p>
        </w:tc>
        <w:tc>
          <w:tcPr>
            <w:tcW w:w="126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30, 2021</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Indefinite-lived intangibles: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In-process 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indefinite-lived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8"/>
                <w:szCs w:val="18"/>
                <w:color w:val="auto"/>
              </w:rPr>
              <w:t>Finite-lived intangibles: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Licenses (weighted average life of 14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(1,300)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440,415</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Developed technology (weighted average life of 12</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6,442,734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w w:val="94"/>
              </w:rPr>
              <w:t>(6,511)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6,443,288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40" w:type="dxa"/>
            <w:vAlign w:val="bottom"/>
          </w:tcPr>
          <w:p>
            <w:pPr>
              <w:ind w:left="140"/>
              <w:spacing w:after="0" w:line="156" w:lineRule="exact"/>
              <w:rPr>
                <w:sz w:val="20"/>
                <w:szCs w:val="20"/>
                <w:color w:val="auto"/>
              </w:rPr>
            </w:pPr>
            <w:r>
              <w:rPr>
                <w:rFonts w:ascii="Arial" w:cs="Arial" w:eastAsia="Arial" w:hAnsi="Arial"/>
                <w:sz w:val="18"/>
                <w:szCs w:val="18"/>
                <w:color w:val="auto"/>
                <w:w w:val="97"/>
              </w:rPr>
              <w:t>Total finite-lived intangibles (weighted average life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6,888,373</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ind w:left="600"/>
              <w:spacing w:after="0"/>
              <w:rPr>
                <w:sz w:val="20"/>
                <w:szCs w:val="20"/>
                <w:color w:val="auto"/>
              </w:rPr>
            </w:pPr>
            <w:r>
              <w:rPr>
                <w:rFonts w:ascii="Arial" w:cs="Arial" w:eastAsia="Arial" w:hAnsi="Arial"/>
                <w:sz w:val="18"/>
                <w:szCs w:val="18"/>
                <w:color w:val="auto"/>
                <w:w w:val="94"/>
              </w:rPr>
              <w:t>(7,811)</w:t>
            </w:r>
          </w:p>
        </w:tc>
        <w:tc>
          <w:tcPr>
            <w:tcW w:w="100" w:type="dxa"/>
            <w:vAlign w:val="bottom"/>
          </w:tcPr>
          <w:p>
            <w:pPr>
              <w:spacing w:after="0"/>
              <w:rPr>
                <w:sz w:val="13"/>
                <w:szCs w:val="13"/>
                <w:color w:val="auto"/>
              </w:rPr>
            </w:pPr>
          </w:p>
        </w:tc>
        <w:tc>
          <w:tcPr>
            <w:tcW w:w="220" w:type="dxa"/>
            <w:vAlign w:val="bottom"/>
            <w:vMerge w:val="restart"/>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7,065</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6,890,112</w:t>
            </w: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of 12 years)</w:t>
            </w:r>
          </w:p>
        </w:tc>
        <w:tc>
          <w:tcPr>
            <w:tcW w:w="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4"/>
              </w:rPr>
              <w:t>(7,811)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6,893,112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80" w:type="dxa"/>
            <w:vAlign w:val="bottom"/>
          </w:tcPr>
          <w:p>
            <w:pPr>
              <w:spacing w:after="0"/>
              <w:rPr>
                <w:sz w:val="11"/>
                <w:szCs w:val="11"/>
                <w:color w:val="auto"/>
              </w:rPr>
            </w:pPr>
          </w:p>
        </w:tc>
        <w:tc>
          <w:tcPr>
            <w:tcW w:w="1180" w:type="dxa"/>
            <w:vAlign w:val="bottom"/>
          </w:tcPr>
          <w:p>
            <w:pPr>
              <w:jc w:val="center"/>
              <w:ind w:right="113"/>
              <w:spacing w:after="0" w:line="136" w:lineRule="exact"/>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1460" w:type="dxa"/>
            <w:vAlign w:val="bottom"/>
            <w:gridSpan w:val="3"/>
          </w:tcPr>
          <w:p>
            <w:pPr>
              <w:jc w:val="center"/>
              <w:ind w:right="120"/>
              <w:spacing w:after="0" w:line="136" w:lineRule="exact"/>
              <w:rPr>
                <w:sz w:val="20"/>
                <w:szCs w:val="20"/>
                <w:color w:val="auto"/>
              </w:rPr>
            </w:pPr>
            <w:r>
              <w:rPr>
                <w:rFonts w:ascii="Arial" w:cs="Arial" w:eastAsia="Arial" w:hAnsi="Arial"/>
                <w:sz w:val="14"/>
                <w:szCs w:val="14"/>
                <w:b w:val="1"/>
                <w:bCs w:val="1"/>
                <w:color w:val="auto"/>
                <w:w w:val="93"/>
              </w:rPr>
              <w:t>Effect of Currency</w:t>
            </w:r>
          </w:p>
        </w:tc>
        <w:tc>
          <w:tcPr>
            <w:tcW w:w="100" w:type="dxa"/>
            <w:vAlign w:val="bottom"/>
          </w:tcPr>
          <w:p>
            <w:pPr>
              <w:spacing w:after="0"/>
              <w:rPr>
                <w:sz w:val="11"/>
                <w:szCs w:val="11"/>
                <w:color w:val="auto"/>
              </w:rPr>
            </w:pPr>
          </w:p>
        </w:tc>
        <w:tc>
          <w:tcPr>
            <w:tcW w:w="1260" w:type="dxa"/>
            <w:vAlign w:val="bottom"/>
          </w:tcPr>
          <w:p>
            <w:pPr>
              <w:jc w:val="center"/>
              <w:ind w:right="35"/>
              <w:spacing w:after="0" w:line="136" w:lineRule="exact"/>
              <w:rPr>
                <w:sz w:val="20"/>
                <w:szCs w:val="20"/>
                <w:color w:val="auto"/>
              </w:rPr>
            </w:pPr>
            <w:r>
              <w:rPr>
                <w:rFonts w:ascii="Arial" w:cs="Arial" w:eastAsia="Arial" w:hAnsi="Arial"/>
                <w:sz w:val="14"/>
                <w:szCs w:val="14"/>
                <w:b w:val="1"/>
                <w:bCs w:val="1"/>
                <w:color w:val="auto"/>
                <w:w w:val="89"/>
              </w:rPr>
              <w:t>Balance as of June</w:t>
            </w:r>
          </w:p>
        </w:tc>
        <w:tc>
          <w:tcPr>
            <w:tcW w:w="0" w:type="dxa"/>
            <w:vAlign w:val="bottom"/>
          </w:tcPr>
          <w:p>
            <w:pPr>
              <w:spacing w:after="0"/>
              <w:rPr>
                <w:sz w:val="1"/>
                <w:szCs w:val="1"/>
                <w:color w:val="auto"/>
              </w:rPr>
            </w:pPr>
          </w:p>
        </w:tc>
      </w:tr>
      <w:tr>
        <w:trPr>
          <w:trHeight w:val="189"/>
        </w:trPr>
        <w:tc>
          <w:tcPr>
            <w:tcW w:w="4040" w:type="dxa"/>
            <w:vAlign w:val="bottom"/>
            <w:vMerge w:val="continue"/>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6"/>
                <w:szCs w:val="16"/>
                <w:color w:val="auto"/>
              </w:rPr>
            </w:pPr>
          </w:p>
        </w:tc>
        <w:tc>
          <w:tcPr>
            <w:tcW w:w="126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30, 2021</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Licenses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(415,193)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(417,705)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Tradenames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(3,728,963)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(186,688)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(3,920,343)</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(4,344,457)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Pr>
          <w:p>
            <w:pPr>
              <w:ind w:left="20"/>
              <w:spacing w:after="0" w:line="203" w:lineRule="exact"/>
              <w:rPr>
                <w:sz w:val="20"/>
                <w:szCs w:val="20"/>
                <w:color w:val="auto"/>
              </w:rPr>
            </w:pPr>
            <w:r>
              <w:rPr>
                <w:rFonts w:ascii="Arial" w:cs="Arial" w:eastAsia="Arial" w:hAnsi="Arial"/>
                <w:sz w:val="18"/>
                <w:szCs w:val="18"/>
                <w:color w:val="auto"/>
              </w:rPr>
              <w:t>Net other intangibles</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2,740,808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2,548,655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Amortization expense for the three and six months ended June 30, 2021 totaled $94.1 million and $189.2 million, respectively. Amortization expense for the three and six months ended June 30, 2020 totaled $104.5 million and $221.7 million, respectively. Amortization expense is included in Cost of revenues in the Condensed Consolidated Statements of Operations. For intangible assets subject to amortization, estimated amortization expense for the five fiscal years subsequent to December 31, 2020 is as follows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89"/>
              </w:rPr>
              <w:t>2021</w:t>
            </w:r>
          </w:p>
        </w:tc>
        <w:tc>
          <w:tcPr>
            <w:tcW w:w="7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373,132</w:t>
            </w:r>
          </w:p>
        </w:tc>
      </w:tr>
      <w:tr>
        <w:trPr>
          <w:trHeight w:val="229"/>
        </w:trPr>
        <w:tc>
          <w:tcPr>
            <w:tcW w:w="2960" w:type="dxa"/>
            <w:vAlign w:val="bottom"/>
          </w:tcPr>
          <w:p>
            <w:pPr>
              <w:jc w:val="right"/>
              <w:ind w:right="2490"/>
              <w:spacing w:after="0"/>
              <w:rPr>
                <w:sz w:val="20"/>
                <w:szCs w:val="20"/>
                <w:color w:val="auto"/>
              </w:rPr>
            </w:pPr>
            <w:r>
              <w:rPr>
                <w:rFonts w:ascii="Arial" w:cs="Arial" w:eastAsia="Arial" w:hAnsi="Arial"/>
                <w:sz w:val="18"/>
                <w:szCs w:val="18"/>
                <w:color w:val="auto"/>
                <w:w w:val="89"/>
              </w:rPr>
              <w:t>2022</w:t>
            </w:r>
          </w:p>
        </w:tc>
        <w:tc>
          <w:tcPr>
            <w:tcW w:w="7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357,260</w:t>
            </w:r>
          </w:p>
        </w:tc>
      </w:tr>
      <w:tr>
        <w:trPr>
          <w:trHeight w:val="230"/>
        </w:trPr>
        <w:tc>
          <w:tcPr>
            <w:tcW w:w="296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89"/>
              </w:rPr>
              <w:t>2023</w:t>
            </w:r>
          </w:p>
        </w:tc>
        <w:tc>
          <w:tcPr>
            <w:tcW w:w="7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315,018</w:t>
            </w:r>
          </w:p>
        </w:tc>
      </w:tr>
      <w:tr>
        <w:trPr>
          <w:trHeight w:val="230"/>
        </w:trPr>
        <w:tc>
          <w:tcPr>
            <w:tcW w:w="2960" w:type="dxa"/>
            <w:vAlign w:val="bottom"/>
          </w:tcPr>
          <w:p>
            <w:pPr>
              <w:jc w:val="right"/>
              <w:ind w:right="2490"/>
              <w:spacing w:after="0"/>
              <w:rPr>
                <w:sz w:val="20"/>
                <w:szCs w:val="20"/>
                <w:color w:val="auto"/>
              </w:rPr>
            </w:pPr>
            <w:r>
              <w:rPr>
                <w:rFonts w:ascii="Arial" w:cs="Arial" w:eastAsia="Arial" w:hAnsi="Arial"/>
                <w:sz w:val="18"/>
                <w:szCs w:val="18"/>
                <w:color w:val="auto"/>
                <w:w w:val="89"/>
              </w:rPr>
              <w:t>2024</w:t>
            </w:r>
          </w:p>
        </w:tc>
        <w:tc>
          <w:tcPr>
            <w:tcW w:w="7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280,356</w:t>
            </w:r>
          </w:p>
        </w:tc>
      </w:tr>
      <w:tr>
        <w:trPr>
          <w:trHeight w:val="229"/>
        </w:trPr>
        <w:tc>
          <w:tcPr>
            <w:tcW w:w="2960" w:type="dxa"/>
            <w:vAlign w:val="bottom"/>
            <w:shd w:val="clear" w:color="auto" w:fill="CCEEFF"/>
          </w:tcPr>
          <w:p>
            <w:pPr>
              <w:jc w:val="right"/>
              <w:ind w:right="2490"/>
              <w:spacing w:after="0"/>
              <w:rPr>
                <w:sz w:val="20"/>
                <w:szCs w:val="20"/>
                <w:color w:val="auto"/>
              </w:rPr>
            </w:pPr>
            <w:r>
              <w:rPr>
                <w:rFonts w:ascii="Arial" w:cs="Arial" w:eastAsia="Arial" w:hAnsi="Arial"/>
                <w:sz w:val="18"/>
                <w:szCs w:val="18"/>
                <w:color w:val="auto"/>
                <w:w w:val="89"/>
              </w:rPr>
              <w:t>2025</w:t>
            </w:r>
          </w:p>
        </w:tc>
        <w:tc>
          <w:tcPr>
            <w:tcW w:w="7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258,659</w:t>
            </w:r>
          </w:p>
        </w:tc>
      </w:tr>
      <w:tr>
        <w:trPr>
          <w:trHeight w:val="743"/>
        </w:trPr>
        <w:tc>
          <w:tcPr>
            <w:tcW w:w="2960" w:type="dxa"/>
            <w:vAlign w:val="bottom"/>
          </w:tcPr>
          <w:p>
            <w:pPr>
              <w:spacing w:after="0"/>
              <w:rPr>
                <w:sz w:val="24"/>
                <w:szCs w:val="24"/>
                <w:color w:val="auto"/>
              </w:rPr>
            </w:pPr>
          </w:p>
        </w:tc>
        <w:tc>
          <w:tcPr>
            <w:tcW w:w="7320" w:type="dxa"/>
            <w:vAlign w:val="bottom"/>
          </w:tcPr>
          <w:p>
            <w:pPr>
              <w:jc w:val="right"/>
              <w:ind w:right="4470"/>
              <w:spacing w:after="0"/>
              <w:rPr>
                <w:sz w:val="20"/>
                <w:szCs w:val="20"/>
                <w:color w:val="auto"/>
              </w:rPr>
            </w:pPr>
            <w:r>
              <w:rPr>
                <w:rFonts w:ascii="Arial" w:cs="Arial" w:eastAsia="Arial" w:hAnsi="Arial"/>
                <w:sz w:val="18"/>
                <w:szCs w:val="18"/>
                <w:color w:val="auto"/>
              </w:rPr>
              <w:t>15</w:t>
            </w:r>
          </w:p>
        </w:tc>
        <w:tc>
          <w:tcPr>
            <w:tcW w:w="96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7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Impairments</w:t>
      </w:r>
    </w:p>
    <w:p>
      <w:pPr>
        <w:spacing w:after="0" w:line="12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6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discounted cash flow models are dependent upon our estimates of future cash flows and other factors including estimates of (i) future operating performance, including future sales, long-term growth rates, operating margins, discount rates and the probability of achieving the estimated cash flows and</w:t>
      </w:r>
    </w:p>
    <w:p>
      <w:pPr>
        <w:ind w:right="20" w:firstLine="8"/>
        <w:spacing w:after="0" w:line="271"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future economic conditions. These assumptions are based on significant inputs not observable in the market and thus represent Level 3 measurements within the fair value hierarchy. The discount rates applied to the estimated cash flows are determined depending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70" w:lineRule="exact"/>
        <w:rPr>
          <w:sz w:val="20"/>
          <w:szCs w:val="20"/>
          <w:color w:val="auto"/>
        </w:rPr>
      </w:pPr>
    </w:p>
    <w:p>
      <w:pPr>
        <w:ind w:right="60" w:firstLine="486"/>
        <w:spacing w:after="0" w:line="269" w:lineRule="auto"/>
        <w:rPr>
          <w:sz w:val="20"/>
          <w:szCs w:val="20"/>
          <w:color w:val="auto"/>
        </w:rPr>
      </w:pPr>
      <w:r>
        <w:rPr>
          <w:rFonts w:ascii="Arial" w:cs="Arial" w:eastAsia="Arial" w:hAnsi="Arial"/>
          <w:sz w:val="18"/>
          <w:szCs w:val="18"/>
          <w:color w:val="auto"/>
        </w:rPr>
        <w:t>During the three and six months ended June 30, 2021 and 2020, the Company incurred the following goodwill and other intangible asset impairment charges (in thousands):</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32,786</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4,929</w:t>
            </w:r>
          </w:p>
        </w:tc>
        <w:tc>
          <w:tcPr>
            <w:tcW w:w="10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7,811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63,751</w:t>
            </w:r>
          </w:p>
        </w:tc>
      </w:tr>
    </w:tbl>
    <w:p>
      <w:pPr>
        <w:spacing w:after="0" w:line="187"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Except as described below, pre-tax non-cash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76"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As a result of certain business decisions that occurred during the first quarter of 2020, we tested the goodwill of our Paladin reporting unit for impairment as of March 31, 2020. The fair value of the reporting unit was estimated using an income approach that utilized a discounted cash flow model. The discount rate utilized in this test was 9.5%. This goodwill impairment test resulted in a pre-tax non-cash goodwill impairment charge of $32.8 million during the three months ended March 31, 2020, representing the remaining carrying amount. This impairment was primarily attributable to portfolio decisions and updated market expectations during the quarter.</w:t>
      </w:r>
    </w:p>
    <w:p>
      <w:pPr>
        <w:spacing w:after="0" w:line="80"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CONTRACT ASSETS AND LIABILITIES</w:t>
      </w:r>
    </w:p>
    <w:p>
      <w:pPr>
        <w:spacing w:after="0" w:line="1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June 30, 2021,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0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net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Contract liabilities, net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5,346</w:t>
            </w:r>
          </w:p>
        </w:tc>
        <w:tc>
          <w:tcPr>
            <w:tcW w:w="100" w:type="dxa"/>
            <w:vAlign w:val="bottom"/>
          </w:tcPr>
          <w:p>
            <w:pPr>
              <w:spacing w:after="0"/>
              <w:rPr>
                <w:sz w:val="20"/>
                <w:szCs w:val="20"/>
                <w:color w:val="auto"/>
              </w:rPr>
            </w:pP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40" w:hanging="329"/>
        <w:spacing w:after="0" w:line="281" w:lineRule="auto"/>
        <w:tabs>
          <w:tab w:leader="none" w:pos="572" w:val="left"/>
        </w:tabs>
        <w:numPr>
          <w:ilvl w:val="0"/>
          <w:numId w:val="13"/>
        </w:numPr>
        <w:rPr>
          <w:rFonts w:ascii="Arial" w:cs="Arial" w:eastAsia="Arial" w:hAnsi="Arial"/>
          <w:sz w:val="12"/>
          <w:szCs w:val="12"/>
          <w:color w:val="auto"/>
        </w:rPr>
      </w:pPr>
      <w:r>
        <w:rPr>
          <w:rFonts w:ascii="Arial" w:cs="Arial" w:eastAsia="Arial" w:hAnsi="Arial"/>
          <w:sz w:val="12"/>
          <w:szCs w:val="12"/>
          <w:color w:val="auto"/>
        </w:rPr>
        <w:t>At June 30, 2021 and December 31, 2020, approximately $2.6 million and $3.2 million, respectively, of these contract asset amounts are classified as current and are included in Prepaid expenses and other current assets in the Company’s Condensed Consolidated Balance Sheets. The remaining amounts are classified as noncurrent and are included in Other assets.</w:t>
      </w:r>
    </w:p>
    <w:p>
      <w:pPr>
        <w:ind w:left="580" w:right="140" w:hanging="329"/>
        <w:spacing w:after="0" w:line="276" w:lineRule="auto"/>
        <w:tabs>
          <w:tab w:leader="none" w:pos="572" w:val="left"/>
        </w:tabs>
        <w:numPr>
          <w:ilvl w:val="0"/>
          <w:numId w:val="13"/>
        </w:numPr>
        <w:rPr>
          <w:rFonts w:ascii="Arial" w:cs="Arial" w:eastAsia="Arial" w:hAnsi="Arial"/>
          <w:sz w:val="13"/>
          <w:szCs w:val="13"/>
          <w:color w:val="auto"/>
        </w:rPr>
      </w:pPr>
      <w:r>
        <w:rPr>
          <w:rFonts w:ascii="Arial" w:cs="Arial" w:eastAsia="Arial" w:hAnsi="Arial"/>
          <w:sz w:val="13"/>
          <w:szCs w:val="13"/>
          <w:color w:val="auto"/>
        </w:rPr>
        <w:t>At June 30, 2021 and December 31, 2020, approximately $1.0 million and $1.4 million, respectively, of these contract liability amounts are classified as current and are included in Accounts payable and accrued expenses in the Company’s Condensed Consolidated Balance Sheets. The remaining amounts are classified as noncurrent and are included in Other liabilities. During the six months ended June 30, 2021, approximately $0.3 million of revenue was recognized that was included in the contract liability balance at December 31, 2020.</w:t>
      </w:r>
    </w:p>
    <w:p>
      <w:pPr>
        <w:spacing w:after="0" w:line="71" w:lineRule="exact"/>
        <w:rPr>
          <w:sz w:val="20"/>
          <w:szCs w:val="20"/>
          <w:color w:val="auto"/>
        </w:rPr>
      </w:pPr>
    </w:p>
    <w:p>
      <w:pPr>
        <w:ind w:right="560" w:firstLine="486"/>
        <w:spacing w:after="0" w:line="308" w:lineRule="auto"/>
        <w:rPr>
          <w:sz w:val="20"/>
          <w:szCs w:val="20"/>
          <w:color w:val="auto"/>
        </w:rPr>
      </w:pPr>
      <w:r>
        <w:rPr>
          <w:rFonts w:ascii="Arial" w:cs="Arial" w:eastAsia="Arial" w:hAnsi="Arial"/>
          <w:sz w:val="17"/>
          <w:szCs w:val="17"/>
          <w:color w:val="auto"/>
        </w:rPr>
        <w:t>During the six months ended June 30, 2021, we recognized revenue of $18.3 million relating to performance obligations satisfied, or partially satisfied, in prior periods. Such revenue generally relates to changes in estimates with respect to our variable consideration.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June 30, 2021 and December 31, 2020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35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Returns and allowances</w:t>
            </w: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190,989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207,916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3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126,644</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Chargebacks</w:t>
            </w: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3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98,105</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Accrued payroll and related benefits</w:t>
            </w: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130,092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 and other distribution partner payables</w:t>
            </w:r>
          </w:p>
        </w:tc>
        <w:tc>
          <w:tcPr>
            <w:tcW w:w="3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59,745</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Acquisition-related contingent consideration—current</w:t>
            </w: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5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132,430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108,287</w:t>
            </w:r>
          </w:p>
        </w:tc>
        <w:tc>
          <w:tcPr>
            <w:tcW w:w="0" w:type="dxa"/>
            <w:vAlign w:val="bottom"/>
          </w:tcPr>
          <w:p>
            <w:pPr>
              <w:spacing w:after="0"/>
              <w:rPr>
                <w:sz w:val="1"/>
                <w:szCs w:val="1"/>
                <w:color w:val="auto"/>
              </w:rPr>
            </w:pPr>
          </w:p>
        </w:tc>
      </w:tr>
      <w:tr>
        <w:trPr>
          <w:trHeight w:val="223"/>
        </w:trPr>
        <w:tc>
          <w:tcPr>
            <w:tcW w:w="4820" w:type="dxa"/>
            <w:vAlign w:val="bottom"/>
          </w:tcPr>
          <w:p>
            <w:pPr>
              <w:ind w:left="140"/>
              <w:spacing w:after="0"/>
              <w:rPr>
                <w:sz w:val="20"/>
                <w:szCs w:val="20"/>
                <w:color w:val="auto"/>
              </w:rPr>
            </w:pPr>
            <w:r>
              <w:rPr>
                <w:rFonts w:ascii="Arial" w:cs="Arial" w:eastAsia="Arial" w:hAnsi="Arial"/>
                <w:sz w:val="18"/>
                <w:szCs w:val="18"/>
                <w:color w:val="auto"/>
              </w:rPr>
              <w:t>Total</w:t>
            </w:r>
          </w:p>
        </w:tc>
        <w:tc>
          <w:tcPr>
            <w:tcW w:w="35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835,940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580" w:type="dxa"/>
            <w:vAlign w:val="bottom"/>
            <w:vMerge w:val="restart"/>
          </w:tcPr>
          <w:p>
            <w:pPr>
              <w:jc w:val="right"/>
              <w:ind w:right="259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8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total indebtedness at June 30, 2021 and December 31, 2020 (dollars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Effective</w:t>
            </w:r>
          </w:p>
        </w:tc>
        <w:tc>
          <w:tcPr>
            <w:tcW w:w="1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1"/>
                <w:szCs w:val="11"/>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4"/>
              </w:rPr>
              <w:t>Carrying Amount</w:t>
            </w:r>
          </w:p>
        </w:tc>
        <w:tc>
          <w:tcPr>
            <w:tcW w:w="120" w:type="dxa"/>
            <w:vAlign w:val="bottom"/>
          </w:tcPr>
          <w:p>
            <w:pPr>
              <w:spacing w:after="0"/>
              <w:rPr>
                <w:sz w:val="11"/>
                <w:szCs w:val="11"/>
                <w:color w:val="auto"/>
              </w:rPr>
            </w:pPr>
          </w:p>
        </w:tc>
        <w:tc>
          <w:tcPr>
            <w:tcW w:w="1120" w:type="dxa"/>
            <w:vAlign w:val="bottom"/>
            <w:gridSpan w:val="3"/>
          </w:tcPr>
          <w:p>
            <w:pPr>
              <w:jc w:val="right"/>
              <w:ind w:right="310"/>
              <w:spacing w:after="0" w:line="135" w:lineRule="exact"/>
              <w:rPr>
                <w:sz w:val="20"/>
                <w:szCs w:val="20"/>
                <w:color w:val="auto"/>
              </w:rPr>
            </w:pPr>
            <w:r>
              <w:rPr>
                <w:rFonts w:ascii="Arial" w:cs="Arial" w:eastAsia="Arial" w:hAnsi="Arial"/>
                <w:sz w:val="14"/>
                <w:szCs w:val="14"/>
                <w:b w:val="1"/>
                <w:bCs w:val="1"/>
                <w:color w:val="auto"/>
              </w:rPr>
              <w:t>Effective</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w w:val="96"/>
              </w:rPr>
              <w:t>Interest Rate</w:t>
            </w: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7.25%</w:t>
            </w:r>
          </w:p>
        </w:tc>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5.75%</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900" w:type="dxa"/>
            <w:vAlign w:val="bottom"/>
          </w:tcPr>
          <w:p>
            <w:pPr>
              <w:jc w:val="right"/>
              <w:spacing w:after="0"/>
              <w:rPr>
                <w:sz w:val="20"/>
                <w:szCs w:val="20"/>
                <w:color w:val="auto"/>
              </w:rPr>
            </w:pPr>
            <w:r>
              <w:rPr>
                <w:rFonts w:ascii="Arial" w:cs="Arial" w:eastAsia="Arial" w:hAnsi="Arial"/>
                <w:sz w:val="18"/>
                <w:szCs w:val="18"/>
                <w:color w:val="auto"/>
              </w:rPr>
              <w:t>5.75 %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172,048</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5.375% Senior Notes due 2023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6.00%</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900" w:type="dxa"/>
            <w:vAlign w:val="bottom"/>
          </w:tcPr>
          <w:p>
            <w:pPr>
              <w:jc w:val="right"/>
              <w:spacing w:after="0"/>
              <w:rPr>
                <w:sz w:val="20"/>
                <w:szCs w:val="20"/>
                <w:color w:val="auto"/>
              </w:rPr>
            </w:pPr>
            <w:r>
              <w:rPr>
                <w:rFonts w:ascii="Arial" w:cs="Arial" w:eastAsia="Arial" w:hAnsi="Arial"/>
                <w:sz w:val="18"/>
                <w:szCs w:val="18"/>
                <w:color w:val="auto"/>
              </w:rPr>
              <w:t>6.28 %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56,063</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5.875% Senior Secured Notes due 2024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297,267</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6.00%</w:t>
            </w:r>
          </w:p>
        </w:tc>
        <w:tc>
          <w:tcPr>
            <w:tcW w:w="30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900" w:type="dxa"/>
            <w:vAlign w:val="bottom"/>
          </w:tcPr>
          <w:p>
            <w:pPr>
              <w:jc w:val="right"/>
              <w:spacing w:after="0"/>
              <w:rPr>
                <w:sz w:val="20"/>
                <w:szCs w:val="20"/>
                <w:color w:val="auto"/>
              </w:rPr>
            </w:pPr>
            <w:r>
              <w:rPr>
                <w:rFonts w:ascii="Arial" w:cs="Arial" w:eastAsia="Arial" w:hAnsi="Arial"/>
                <w:sz w:val="18"/>
                <w:szCs w:val="18"/>
                <w:color w:val="auto"/>
              </w:rPr>
              <w:t>6.27 %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7.50%</w:t>
            </w: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1,996,434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1,995,142</w:t>
            </w:r>
          </w:p>
        </w:tc>
        <w:tc>
          <w:tcPr>
            <w:tcW w:w="0" w:type="dxa"/>
            <w:vAlign w:val="bottom"/>
          </w:tcPr>
          <w:p>
            <w:pPr>
              <w:spacing w:after="0"/>
              <w:rPr>
                <w:sz w:val="1"/>
                <w:szCs w:val="1"/>
                <w:color w:val="auto"/>
              </w:rPr>
            </w:pPr>
          </w:p>
        </w:tc>
      </w:tr>
      <w:tr>
        <w:trPr>
          <w:trHeight w:val="176"/>
        </w:trPr>
        <w:tc>
          <w:tcPr>
            <w:tcW w:w="520" w:type="dxa"/>
            <w:vAlign w:val="bottom"/>
          </w:tcPr>
          <w:p>
            <w:pPr>
              <w:ind w:left="20"/>
              <w:spacing w:after="0" w:line="176" w:lineRule="exact"/>
              <w:rPr>
                <w:sz w:val="20"/>
                <w:szCs w:val="20"/>
                <w:color w:val="auto"/>
              </w:rPr>
            </w:pPr>
            <w:r>
              <w:rPr>
                <w:rFonts w:ascii="Arial" w:cs="Arial" w:eastAsia="Arial" w:hAnsi="Arial"/>
                <w:sz w:val="18"/>
                <w:szCs w:val="18"/>
                <w:color w:val="auto"/>
                <w:w w:val="93"/>
              </w:rPr>
              <w:t>9.50%</w:t>
            </w:r>
          </w:p>
        </w:tc>
        <w:tc>
          <w:tcPr>
            <w:tcW w:w="3080" w:type="dxa"/>
            <w:vAlign w:val="bottom"/>
          </w:tcPr>
          <w:p>
            <w:pPr>
              <w:ind w:left="20"/>
              <w:spacing w:after="0" w:line="176" w:lineRule="exact"/>
              <w:rPr>
                <w:sz w:val="20"/>
                <w:szCs w:val="20"/>
                <w:color w:val="auto"/>
              </w:rPr>
            </w:pPr>
            <w:r>
              <w:rPr>
                <w:rFonts w:ascii="Arial" w:cs="Arial" w:eastAsia="Arial" w:hAnsi="Arial"/>
                <w:sz w:val="18"/>
                <w:szCs w:val="18"/>
                <w:color w:val="auto"/>
                <w:w w:val="96"/>
              </w:rPr>
              <w:t>Senior Secured Second Lien Notes due</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9.68 %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932,851</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9.68 %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940,590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932,395</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rPr>
              <w:t>2027</w:t>
            </w:r>
          </w:p>
        </w:tc>
        <w:tc>
          <w:tcPr>
            <w:tcW w:w="30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6.00%</w:t>
            </w: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1,251,725</w:t>
            </w:r>
          </w:p>
        </w:tc>
        <w:tc>
          <w:tcPr>
            <w:tcW w:w="0" w:type="dxa"/>
            <w:vAlign w:val="bottom"/>
          </w:tcPr>
          <w:p>
            <w:pPr>
              <w:spacing w:after="0"/>
              <w:rPr>
                <w:sz w:val="1"/>
                <w:szCs w:val="1"/>
                <w:color w:val="auto"/>
              </w:rPr>
            </w:pPr>
          </w:p>
        </w:tc>
      </w:tr>
      <w:tr>
        <w:trPr>
          <w:trHeight w:val="230"/>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6.125% Senior Secured Notes due 2029</w:t>
            </w:r>
          </w:p>
        </w:tc>
        <w:tc>
          <w:tcPr>
            <w:tcW w:w="900" w:type="dxa"/>
            <w:vAlign w:val="bottom"/>
          </w:tcPr>
          <w:p>
            <w:pPr>
              <w:jc w:val="right"/>
              <w:spacing w:after="0"/>
              <w:rPr>
                <w:sz w:val="20"/>
                <w:szCs w:val="20"/>
                <w:color w:val="auto"/>
              </w:rPr>
            </w:pPr>
            <w:r>
              <w:rPr>
                <w:rFonts w:ascii="Arial" w:cs="Arial" w:eastAsia="Arial" w:hAnsi="Arial"/>
                <w:sz w:val="18"/>
                <w:szCs w:val="18"/>
                <w:color w:val="auto"/>
              </w:rPr>
              <w:t>6.34 %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1,277,845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1,955,078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3,295,475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3,274,330</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2.63 %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net</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8,370,968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8,275,957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8,376,443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8,314,728</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current portion, net</w:t>
            </w: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223,142</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long-term debt, less current portion, net</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8,052,815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8,342,293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8,280,578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 xml:space="preserve">The Company and its subsidiaries, with certain customary exceptions, guarantee or serve as issuers or borrowers of the debt instruments representing substantially all of the Company’s indebtedness at June 30, 2021. The obligations under (i) the 5.875% Senior Secured Notes due 2024, (ii) the 7.50% Senior Secured Notes due 2027, (iii) the 6.125% Senior Secured Notes due 2029 and (iv) the Credit Agreement and related loan documents are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by a perfected first priority lien (subject to certain permitted liens) on the collateral securing such instruments, which collateral represents substantially all of the assets of the issuers or borrowers and the guarantors party thereto (subject to customary exceptions). The obligations under the</w:t>
      </w:r>
    </w:p>
    <w:p>
      <w:pPr>
        <w:spacing w:after="0" w:line="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9.50% Senior Secured Second Lien Notes due 2027 are secured by a second priority lien (subject to certain permitted liens) on, and on a junior basis with respect to, the collateral securing the obligations under the Credit Agreement, the 5.875% Senior Secured Notes due 2024, the 7.50% Senior Secured Notes due 2027 and the 6.125% Senior Secured Notes due 2029 and the related guarantees. Our senior unsecured notes are unsecured and effectively subordinated in right of priority to the Credit Agreement, the 5.875% Senior Secured Notes due 2024, the 7.50% Senior Secured Notes due 2027, the</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9.50% Senior Secured Second Lien Notes due 2027 and the 6.125% Senior Secured Notes due 2029, in each case to the extent of the value of the collateral securing such instruments.</w:t>
      </w:r>
    </w:p>
    <w:p>
      <w:pPr>
        <w:spacing w:after="0" w:line="7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aggregate estimated fair value of the Company’s long-term debt, which was estimated using inputs based on quoted market prices for the same or similar debt issuances, was $7.9 billion and $8.4 billion at June 30, 2021 and December 31, 2020, respectively. Based on this valuation methodology, we determined these debt instruments represent Level 2 measurements within the fair value hierarchy.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Following the March 2021 Refinancing Transactions (as defined and further described below), the Company and certain of its subsidiaries are party to a credit agreement (as amended and/or restated from time to time, the Credit Agreement), which provides for (i) a $1,000.0 million senior secured revolving credit facility (the Revolving Credit Facility) and (ii) a $2,000.0 million senior secured term loan facility (the Term Loan Facility and, together with the Revolving Credit Facility, the Credit Facilities). Current amounts outstanding under the Credit Facilities are set forth in the table above. After giving effect to borrowings under the Revolving Credit Facility and issued and outstanding letters of credit, approximately $695.0 million of remaining credit is available under the Revolving Credit Facility as of June 30, 2021. The Company’s outstanding debt agreements contain a number of restrictive covenants, including certain limitations on the Company’s ability to incur additional indebtedness.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Credit Agreement contains affirmative and negative covenants and events of default that the Company believes to be customary for a senior secured credit facility of this type. The negative covenants include, among other things, limitations on asset sales, mergers and acquisitions, indebtedness, liens, dividends and other restricted payments, investments and transactions with the Company’s affiliates. As of June 30, 2021 and December 31, 2020, we were in compliance with all such covenants. The events of default include, among other things, non-payment of principal or interest, breach of covenants, certain bankruptcies, cross default with respect to certain debt having a principal amount in excess of $150.0 million and the entry of certain non-appealable judgments by a court for the payment of money in excess of $150.0 million (net of amounts covered by insurance) that have not been paid or discharged within certain specified time periods and during which time execution has not been stayed. The events of default are subject to certain grace periods, may require the administrative agent or lenders to take certain action to accelerate the outstanding loans and other secured obligations under the Credit Agreement and may be waived, cured or amended in a number of circumstances.</w:t>
      </w:r>
    </w:p>
    <w:p>
      <w:pPr>
        <w:spacing w:after="0" w:line="73"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commitments under the Revolving Credit Facility generally mature as follows: (i) approximately $76.0 million in April 2022 (provided however that such amounts will generally mature in October 2021 if the 7.25% Senior Notes due 2022 and the 5.75% Senior Notes due 2022 are not each refinanced or repaid in full prior to the date that is 91 days prior to their January 15, 2022 maturity dates), (ii) approximately $248.7 million in March 2024 and (iii) approximately $675.3 million in March 2026. Principal payments on the Term Loan Facility equal to 0.25% of the initial $2,000.0 million principal amount are generally payable quarterly, beginning on June 30, 2021 and extending until the Term Loan Facility’s ultimate maturity date in 2028 (which may spring to an earlier date as described below), at which time the remaining principal amount outstanding will be payable. The maturity date of the Term Loan Facility will be accelerated to: (i) December 2026 if the 7.50% Senior Secured Notes due 2027 have not been repaid or refinanced prior to the date that is 91 days prior to their April 1, 2027 maturity date and the related principal amount of such notes outstanding on such date is at least $500.0 million or (ii) May 2027 if the 9.50% Senior Secured Second Lien Notes due 2027 have not been repaid or refinanced prior to the date that is 91 days prior to their July 31, 2027 maturity date and the related principal amount of such notes outstanding on such date is at least $500.0 million.</w:t>
      </w:r>
    </w:p>
    <w:p>
      <w:pPr>
        <w:spacing w:after="0" w:line="60" w:lineRule="exact"/>
        <w:rPr>
          <w:sz w:val="20"/>
          <w:szCs w:val="20"/>
          <w:color w:val="auto"/>
        </w:rPr>
      </w:pPr>
    </w:p>
    <w:p>
      <w:pPr>
        <w:ind w:right="240" w:firstLine="486"/>
        <w:spacing w:after="0" w:line="291" w:lineRule="auto"/>
        <w:rPr>
          <w:sz w:val="20"/>
          <w:szCs w:val="20"/>
          <w:color w:val="auto"/>
        </w:rPr>
      </w:pPr>
      <w:r>
        <w:rPr>
          <w:rFonts w:ascii="Arial" w:cs="Arial" w:eastAsia="Arial" w:hAnsi="Arial"/>
          <w:sz w:val="16"/>
          <w:szCs w:val="16"/>
          <w:color w:val="auto"/>
        </w:rPr>
        <w:t>Borrowings under the Revolving Credit Facility bear interest, at the borrower’s election, at a rate equal to (i) an applicable margin between 1.50% and 3.00% depending on the Company’s Total Net Leverage Ratio plus London Interbank Offered Rate (LIBOR) or (ii) an applicable margin between</w:t>
      </w:r>
    </w:p>
    <w:p>
      <w:pPr>
        <w:ind w:right="240"/>
        <w:spacing w:after="0" w:line="255" w:lineRule="auto"/>
        <w:rPr>
          <w:sz w:val="20"/>
          <w:szCs w:val="20"/>
          <w:color w:val="auto"/>
        </w:rPr>
      </w:pPr>
      <w:r>
        <w:rPr>
          <w:rFonts w:ascii="Arial" w:cs="Arial" w:eastAsia="Arial" w:hAnsi="Arial"/>
          <w:sz w:val="18"/>
          <w:szCs w:val="18"/>
          <w:color w:val="auto"/>
        </w:rPr>
        <w:t>0.50% and 2.00% depending on the Company’s Total Net Leverage Ratio plus the Alternate Base Rate (as defined in the Credit Agreement). In addition, borrowings under our Term Loan Facility bear interest, at the borrower’s election, at a rate equal to (i) 5.00% plus LIBOR, subject to a LIBOR floor of 0.75%, or (ii) 4.00% plus the Alternate Base Rate, subject to an Alternate Base Rate floor of 1.75%.</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Senior Secured Notes</w:t>
      </w:r>
    </w:p>
    <w:p>
      <w:pPr>
        <w:spacing w:after="0" w:line="121" w:lineRule="exact"/>
        <w:rPr>
          <w:sz w:val="20"/>
          <w:szCs w:val="20"/>
          <w:color w:val="auto"/>
        </w:rPr>
      </w:pPr>
    </w:p>
    <w:p>
      <w:pPr>
        <w:jc w:val="both"/>
        <w:ind w:right="640" w:firstLine="486"/>
        <w:spacing w:after="0" w:line="255" w:lineRule="auto"/>
        <w:rPr>
          <w:sz w:val="20"/>
          <w:szCs w:val="20"/>
          <w:color w:val="auto"/>
        </w:rPr>
      </w:pPr>
      <w:r>
        <w:rPr>
          <w:rFonts w:ascii="Arial" w:cs="Arial" w:eastAsia="Arial" w:hAnsi="Arial"/>
          <w:sz w:val="18"/>
          <w:szCs w:val="18"/>
          <w:color w:val="auto"/>
        </w:rPr>
        <w:t>Following the March 2021 Refinancing Transactions, our various senior notes and senior secured notes mature between 2022 and 2029. The indentures governing these notes generally allow for redemption prior to maturity, in whole or in part, subject to certain restrictions and limitations described therein, in the following ways:</w:t>
      </w:r>
    </w:p>
    <w:p>
      <w:pPr>
        <w:spacing w:after="0" w:line="3" w:lineRule="exact"/>
        <w:rPr>
          <w:sz w:val="20"/>
          <w:szCs w:val="20"/>
          <w:color w:val="auto"/>
        </w:rPr>
      </w:pPr>
    </w:p>
    <w:p>
      <w:pPr>
        <w:ind w:left="900" w:right="20" w:hanging="244"/>
        <w:spacing w:after="0" w:line="250"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Until a date specified in each indenture (the Non-Call Period), the notes may be redeemed, in whole or in part, by paying the sum of: (i) 100% of the principal amount being redeemed, (ii) an applicable make-whole premium as described in each indenture and (iii) accrued and unpaid interest to, but excluding, the redemption date. As of June 30, 2021, the Non-Call Period has expired for each of our notes except for the 7.50% Senior Secured Notes due 2027, the 9.50% Senior Secured Second Lien Notes due 2027, the 6.00% Senior Notes due 2028 and the 6.125% Senior Secured Notes due 2029.</w:t>
      </w:r>
    </w:p>
    <w:p>
      <w:pPr>
        <w:spacing w:after="0" w:line="1" w:lineRule="exact"/>
        <w:rPr>
          <w:rFonts w:ascii="Arial" w:cs="Arial" w:eastAsia="Arial" w:hAnsi="Arial"/>
          <w:sz w:val="18"/>
          <w:szCs w:val="18"/>
          <w:color w:val="auto"/>
        </w:rPr>
      </w:pPr>
    </w:p>
    <w:p>
      <w:pPr>
        <w:ind w:left="900" w:right="100" w:hanging="244"/>
        <w:spacing w:after="0" w:line="250"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the Non-Call Period specified in each indenture, the notes may be redeemed, in whole or in part, at redemption prices set forth in each indenture, plus accrued and unpaid interest to, but excluding, the redemption date. The redemption prices for each of our notes vary over time. The redemption prices pursuant to this clause range from 100.000% to 107.125% of principal at June 30, 2021; however, these redemption prices generally decrease to 100% of the principal amount of the applicable notes over time as the notes approach maturity pursuant to a step-down schedule set forth in each of the indentures.</w:t>
      </w:r>
    </w:p>
    <w:p>
      <w:pPr>
        <w:spacing w:after="0" w:line="1" w:lineRule="exact"/>
        <w:rPr>
          <w:rFonts w:ascii="Arial" w:cs="Arial" w:eastAsia="Arial" w:hAnsi="Arial"/>
          <w:sz w:val="18"/>
          <w:szCs w:val="18"/>
          <w:color w:val="auto"/>
        </w:rPr>
      </w:pPr>
    </w:p>
    <w:p>
      <w:pPr>
        <w:ind w:left="900" w:hanging="244"/>
        <w:spacing w:after="0" w:line="252"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Until a date specified in each indenture, the notes may be redeemed, in part (up to 35% or 40% of the principal amount outstanding as specified in each indenture), with the net cash proceeds from specified equity offerings at redemption prices set forth in each indenture, plus accrued and unpaid interest to, but excluding, the redemption date. As of June 30, 2021, this clause has expired for each of our notes except for the 7.50% Senior Secured Notes due 2027, the 9.50% Senior Secured Second Lien Notes due 2027, the 6.00% Senior Notes due 2028 and the 6.125% Senior Secured Notes due 2029, for which the specified redemption premiums are 107.500%, 109.500%, 106.000% and 106.125%, respectively.</w:t>
      </w:r>
    </w:p>
    <w:p>
      <w:pPr>
        <w:spacing w:after="0" w:line="86"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have eliminated substantially all of the restrictive covenants and certain events of default in the indentures governing our senior unsecured notes, except for those in the indenture governing the 6.00% Senior Notes due 2028.</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The indentures governing our various senior secured notes and the 6.00% Senior Notes due 2028 contain affirmative and negative covenants and events of default that the Company believes to be customary for similar indentures. Under these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At June 30, 2021 and December 31, 2020, we were in compliance with all covenants contained in the indentures governing our various senior notes and senior secured notes. In addition, pursuant to the terms of the indentures governing certain of our senior unsecured notes, the restricted subsidiaries of Endo International plc, whose assets comprise substantially all of the Company’s consolidated total assets after intercompany eliminations, are subject to various restrictions limiting their ability to transfer assets in excess of certain thresholds to Endo International plc. Under these indentures, the events of default include, among other things, non-payment of principal or interest, breach of covenants, certain bankruptcies, failure to make any required payment at maturity on certain debt having a principal amount in excess of $150.0 million, or the acceleration of such debt, and the entry of certain judgments by a court for the payment of money in excess of $150.0 million (net of amounts covered by insurance) that have not been satisfied, stayed, rescinded or annulled within certain specified time periods. The events of default are subject to certain grace periods, may require the trustee or holders to take certain action to accelerate the notes and may be waived or amended in a number of circumstances.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 Transactions</w:t>
      </w:r>
    </w:p>
    <w:p>
      <w:pPr>
        <w:spacing w:after="0" w:line="121"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Set forth below are certain disclosures relating to debt financing transactions that occurred during the six months ended June 30, 2021 and the year ended December 31, 2020. For additional disclosures relating to debt financing transactions that occurred during the year ended December 31, 2020, refer to Note 15. Debt in the Consolidated Financial Statements included in Part IV, Item 15 of the Annual Report.</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June 2020 Refinancing</w:t>
      </w:r>
    </w:p>
    <w:p>
      <w:pPr>
        <w:spacing w:after="0" w:line="117"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In June 2020, the Company executed certain transactions (the June 2020 Refinancing Transactions) that included, among other things, the exchanges by certain of the Company’s wholly-owned subsidiaries of certain series of senior notes for certain newly issued senior secured notes and senior notes and $47.2 million in cash paid by the Company. The June 2020 Refinancing Transactions were accounted for as debt modifications. Following the June 2020 Refinancing Transactions, previously deferred and unamortized amounts associated with the old notes exchanged are now being amortized over the respective terms of the new notes. In connection with the June 2020 Refinancing Transactions, we incurred fees to third parties of approximately</w:t>
      </w:r>
    </w:p>
    <w:p>
      <w:pPr>
        <w:spacing w:after="0" w:line="2" w:lineRule="exact"/>
        <w:rPr>
          <w:sz w:val="20"/>
          <w:szCs w:val="20"/>
          <w:color w:val="auto"/>
        </w:rPr>
      </w:pPr>
    </w:p>
    <w:p>
      <w:pPr>
        <w:ind w:right="1040"/>
        <w:spacing w:after="0" w:line="260" w:lineRule="auto"/>
        <w:rPr>
          <w:sz w:val="20"/>
          <w:szCs w:val="20"/>
          <w:color w:val="auto"/>
        </w:rPr>
      </w:pPr>
      <w:r>
        <w:rPr>
          <w:rFonts w:ascii="Arial" w:cs="Arial" w:eastAsia="Arial" w:hAnsi="Arial"/>
          <w:sz w:val="18"/>
          <w:szCs w:val="18"/>
          <w:color w:val="auto"/>
        </w:rPr>
        <w:t>$31.1 million, substantially all of which were charged to expense during the second quarter of 2020 and were included in Selling, general and administrative expenses in the Condensed Consolidated Statements of Operations.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August 2020 Tender Offer</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August 2020, the Company repurchased and retired approximately $10 million aggregate principal of 5.75% Senior Notes due 2022 pursuant to a tender offer (the August 2020 Tender Offer).</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March 2021 Refinancing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2021, the Company executed certain transactions (the March 2021 Refinancing Transactions) that included:</w:t>
      </w:r>
    </w:p>
    <w:p>
      <w:pPr>
        <w:spacing w:after="0" w:line="23" w:lineRule="exact"/>
        <w:rPr>
          <w:sz w:val="20"/>
          <w:szCs w:val="20"/>
          <w:color w:val="auto"/>
        </w:rPr>
      </w:pPr>
    </w:p>
    <w:p>
      <w:pPr>
        <w:ind w:left="900" w:right="220" w:hanging="244"/>
        <w:spacing w:after="0" w:line="265" w:lineRule="auto"/>
        <w:tabs>
          <w:tab w:leader="none" w:pos="8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refinancing in full its previously-existing term loans, which had approximately $3,295.5 million of principal outstanding immediately before refinancing (the Existing Term Loans), with the proceeds from: (i) a new $2,000.0 million term loan (the Term Loan Facility) and (ii) $1,295.0 million of newly issued 6.125% Senior Secured Notes due 2029 (collectively, the Term Loan Refinancing);</w:t>
      </w:r>
    </w:p>
    <w:p>
      <w:pPr>
        <w:ind w:left="900" w:hanging="244"/>
        <w:spacing w:after="0" w:line="250"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maturity of approximately $675.3 million of existing revolving commitments under the Revolving Credit Facility to March 2026; and</w:t>
      </w:r>
    </w:p>
    <w:p>
      <w:pPr>
        <w:ind w:left="900" w:right="260" w:hanging="244"/>
        <w:spacing w:after="0" w:line="260"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certain other modifications to the credit agreement that was in effect immediately prior to the March 2021 Refinancing Transactions (the Prior Credit Agreement).</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changes to the Credit Facilities and the Prior Credit Agreement were effected pursuant to an amendment and restatement agreement entered into by the Company in March 2021 (the Restatement Agreement), which amended and restated the Prior Credit Agreement (as amended and restated by the Restatement Agreement, the Credit Agreement), among Endo International plc, certain of its subsidiaries, the lenders party thereto and JPMorgan Chase Bank, N.A., as administrative agent, issuing bank and swingline lender.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6.125% Senior Secured Notes due 2029 were issued in March 2021 in a private offering to “qualified institutional buyers” (as defined in Rule</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144A under the Securities Act) and outside the U.S. to non-U.S. persons in compliance with Regulation S under the Securities Act. These notes, along with the Company’s other first lien obligations,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perfected first priority lien on the collateral securing these notes. They are guaranteed on a senior secured basis by the Company and its subsidiaries that also guarantee the Credit Agreement. Interest on these notes is payable semiannually in arrears on April 1 and October 1 of each year, beginning on October 1, 2021. These notes will mature on April 1, 2029 but may be redeemed earlier, in whole or in part, subject to limitations as described in the indenture.</w:t>
      </w:r>
    </w:p>
    <w:p>
      <w:pPr>
        <w:spacing w:after="0" w:line="7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$2,000.0 million portion of the Term Loan Refinancing associated with the new term loan was accounted for as a debt modification, while the $1,295.0 million portion associated with the new notes issued was accounted for as an extinguishment. During the first quarter of 2021, in connection with the Term Loan Refinancing, $7.8 million of deferred and unamortized costs associated with the Existing Term Loans, representing the portion associated with the extinguishment, was charged to expense and included in the Loss on extinguishment of debt line item in the Condensed Consolidated Statements of Operations. The Company also incurred an additional $56.7 million of new costs and fees, of which: (i) $29.2 million and $17.6 million have been deferred to be amortized as interest expense over the terms of the Term Loan Facility and the newly issued 6.125% Senior Secured Notes due 2029, respectively; (ii) $6.0 million was considered debt extinguishment costs and was charged to expense in the first quarter of 2021 and included in the Loss on extinguishment of debt line item in the Condensed Consolidated Statements of Operations; and (iii) $3.9 million was considered debt modification costs and was charged to expense in the first quarter of 2021 and included in the Selling, general and administrative expense line item in the Condensed Consolidated Statements of Operations.</w:t>
      </w:r>
    </w:p>
    <w:p>
      <w:pPr>
        <w:spacing w:after="0" w:line="77"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During the first quarter of 2021, the Company also incurred $2.1 million of new costs and fees associated with the extension of the Revolving Credit Facility, which have been deferred and are being amortized as interest expense over the new term of the Revolving Credit Facility.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as of June 30, 2021, the maturities on our long-term debt for each of the five fiscal years subsequent to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Maturities (1)</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2022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223,142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82,563</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2024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394,600</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41,578</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60" w:hanging="329"/>
        <w:spacing w:after="0" w:line="241" w:lineRule="auto"/>
        <w:tabs>
          <w:tab w:leader="none" w:pos="572"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 the terms of the Credit Agreement, certain amounts borrowed pursuant to the Credit Facilities could mature prior to their scheduled maturity date if certain of our senior notes are not refinanced or repaid prior to the date that is 91 days prior to the respective stated maturity dates thereof. Accordingly, we may seek to repay or refinance certain senior notes prior to their stated maturity dates or otherwise may be required to repay certain amounts borrowed pursuant to the Credit Facilities prior to their scheduled maturity dates. The amounts in this maturities table represent the originally scheduled maturity dates and do not reflect any potential early repayments or refinancings. For additional information, refer to the discussion above under the heading “Credit Facilities.”</w:t>
      </w:r>
    </w:p>
    <w:p>
      <w:pPr>
        <w:spacing w:after="0" w:line="1" w:lineRule="exact"/>
        <w:rPr>
          <w:rFonts w:ascii="Arial" w:cs="Arial" w:eastAsia="Arial" w:hAnsi="Arial"/>
          <w:sz w:val="14"/>
          <w:szCs w:val="14"/>
          <w:color w:val="auto"/>
        </w:rPr>
      </w:pPr>
    </w:p>
    <w:p>
      <w:pPr>
        <w:ind w:left="580" w:right="300" w:hanging="329"/>
        <w:spacing w:after="0" w:line="255" w:lineRule="auto"/>
        <w:tabs>
          <w:tab w:leader="none" w:pos="572"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on the Company’s borrowings under the Revolving Credit Facility that were outstanding at June 30, 2021, $22.8 million will mature in 2022 and $74.6 million will mature in 2024, with the remainder maturing in 2026.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Investigations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We are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in the amounts that we expect or that coverage will otherwise be available. See the risk factor “We may not have and may be unable to obtain or maintain insurance adequate to cover potential liabilities” in this report for more information.</w:t>
      </w:r>
    </w:p>
    <w:p>
      <w:pPr>
        <w:spacing w:after="0" w:line="7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As a result of the possibility or occurrence of an unfavorable outcome with respect to any legal proceeding, at any given time, we may be engaged in one or more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Some of these measures could take significant time to implement and others may require judicial or other third party approval.</w:t>
      </w:r>
    </w:p>
    <w:p>
      <w:pPr>
        <w:spacing w:after="0" w:line="70"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As of June 30, 2021, our accrual for loss contingencies totaled $349.2 million, the most significant components of which relate to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June 30, 2021, the entire liability accrual amount is classified in the Current portion of legal settlement accrual in the Condensed Consolidated Balance Sheets.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Vaginal Mesh Matters</w:t>
      </w:r>
    </w:p>
    <w:p>
      <w:pPr>
        <w:spacing w:after="0" w:line="11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Since 2008, we and certain of our subsidiaries, including American Medical Systems Holdings, Inc. (AMS) (subsequently converted to Astora Women’s Health Holding LLC and merged into Astora Women’s Health LLC and referred to herein as AMS and/or Astora), have been named as defendants in multiple lawsuits in various state and federal courts in the U.S., Canada, Australia and other countries, alleging personal injury resulting from the use of transvaginal surgical mesh products designed to treat pelvic organ prolapse (POP) and stress urinary incontinence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70"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Various Master Settlement Agreements (MSAs) and other agreements have resolved approximately 70,000 filed and unfiled U.S. mesh claims as of June 30, 2021. These MSAs and other agreements were entered into at various times between June 2013 and the present, were solely by way of compromise and settlement and were not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changes in the QSFs and mesh liability accrual balances during the six months ended June 30, 2021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Qualified Settlement</w:t>
            </w:r>
          </w:p>
        </w:tc>
        <w:tc>
          <w:tcPr>
            <w:tcW w:w="160" w:type="dxa"/>
            <w:vAlign w:val="bottom"/>
          </w:tcPr>
          <w:p>
            <w:pPr>
              <w:spacing w:after="0"/>
              <w:rPr>
                <w:sz w:val="14"/>
                <w:szCs w:val="14"/>
                <w:color w:val="auto"/>
              </w:rPr>
            </w:pPr>
          </w:p>
        </w:tc>
        <w:tc>
          <w:tcPr>
            <w:tcW w:w="1200" w:type="dxa"/>
            <w:vAlign w:val="bottom"/>
          </w:tcPr>
          <w:p>
            <w:pPr>
              <w:jc w:val="right"/>
              <w:ind w:right="154"/>
              <w:spacing w:after="0"/>
              <w:rPr>
                <w:sz w:val="20"/>
                <w:szCs w:val="20"/>
                <w:color w:val="auto"/>
              </w:rPr>
            </w:pPr>
            <w:r>
              <w:rPr>
                <w:rFonts w:ascii="Arial" w:cs="Arial" w:eastAsia="Arial" w:hAnsi="Arial"/>
                <w:sz w:val="14"/>
                <w:szCs w:val="14"/>
                <w:b w:val="1"/>
                <w:bCs w:val="1"/>
                <w:color w:val="auto"/>
              </w:rPr>
              <w:t>Mesh Liability</w:t>
            </w:r>
          </w:p>
        </w:tc>
      </w:tr>
      <w:tr>
        <w:trPr>
          <w:trHeight w:val="188"/>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Funds</w:t>
            </w:r>
          </w:p>
        </w:tc>
        <w:tc>
          <w:tcPr>
            <w:tcW w:w="16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Accrual</w:t>
            </w:r>
          </w:p>
        </w:tc>
      </w:tr>
      <w:tr>
        <w:trPr>
          <w:trHeight w:val="224"/>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330,921</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contributions to Qualified Settlement Funds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(26,255)</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295,540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jc w:val="both"/>
        <w:ind w:left="580" w:right="20" w:hanging="329"/>
        <w:spacing w:after="0" w:line="248" w:lineRule="auto"/>
        <w:tabs>
          <w:tab w:leader="none" w:pos="572"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deposited in the QSFs may earn interest, which is generally used to pay administrative costs of the funds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87"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6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As of June 30, 2021, the Company has made total cumulative mesh liability payments of approximately $3.6 billion, $102.8 million of which remains in the QSFs as of June 30, 2021. We currently expect to fund all of the remaining payments under all previously executed settlement agreements during 2021. As funds are disbursed out of the QSFs from time to time, the liability accrual will be reduced accordingly with a corresponding reduction to restricted cash and cash equivalents.</w:t>
      </w:r>
    </w:p>
    <w:p>
      <w:pPr>
        <w:spacing w:after="0" w:line="7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addition, we may pay cash distributions to settle disputes separate from the QSFs, which will also decrease the liability accrual and decrease cash and cash equivalents.</w:t>
      </w:r>
    </w:p>
    <w:p>
      <w:pPr>
        <w:spacing w:after="0" w:line="62"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41"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will continue to vigorously defend any unresolved claims and to explore other options as appropriate in our best interests. The earliest trial is currently scheduled for August 2021; however, the timing of trials is uncertain due to the impact of COVID-19 and other factors.</w:t>
      </w:r>
    </w:p>
    <w:p>
      <w:pPr>
        <w:spacing w:after="0" w:line="38"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62"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DAVA Pharmaceuticals, LLC, Par Sterile Products, LLC (PSP LLC) and in Canada, Paladin and Endo Ventures Limited, as well as various other manufacturers, distributors, pharmacies and/or others, asserting claims relating to defendants’ alleged sales, marketing and/or distribution practices with respect to prescription opioid medications, including certain of our products. As of July 29, 2021, filed cases in the U.S. of which we were aware include, but are not limited to, approximately 20 cases filed by or on behalf of states; approximately 2,920 cases filed by counties, cities, Native American tribes and/or other government-related persons or entities; approximately 310 cases filed by hospitals, health systems, unions, health and welfare funds or other third-party payers and approximately 190 cases filed by individuals. Certain of the cases have been filed as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by the City of Grand Prairie, Alberta, and The Corporation of the City of Brantford, Ontario, on behalf of a proposed class of all local or municipal governments in Canada, as well as three additional putative class actions, filed in Ontario, Quebec and British Columbia, seeking relief on behalf of Canadian residents who were prescribed and/or consumed opioid medications.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have sought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8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Many of the U.S. cases have been coordinated in a federal multidistrict litigation (MDL) pending in the U.S. District Court for the Northern District of Ohio. Other cases are pending in various federal or state courts. As described herein, the cases are at various stages in the litigation process. Some trials or proceedings are ongoing and may be nearing a decision, others are scheduled or may begin during the remainder of 2021, and others are scheduled or may begin as soon as 2022 or 2023. The timing of any scheduled trial is subject to change.</w:t>
      </w:r>
    </w:p>
    <w:p>
      <w:pPr>
        <w:spacing w:after="0" w:line="7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Two trials are currently ongoing. A trial began in April 2021 in </w:t>
      </w:r>
      <w:r>
        <w:rPr>
          <w:rFonts w:ascii="Arial" w:cs="Arial" w:eastAsia="Arial" w:hAnsi="Arial"/>
          <w:sz w:val="18"/>
          <w:szCs w:val="18"/>
          <w:i w:val="1"/>
          <w:iCs w:val="1"/>
          <w:color w:val="auto"/>
        </w:rPr>
        <w:t>The People of the State of California v. Purdue Pharma L.P., et al.</w:t>
      </w:r>
      <w:r>
        <w:rPr>
          <w:rFonts w:ascii="Arial" w:cs="Arial" w:eastAsia="Arial" w:hAnsi="Arial"/>
          <w:sz w:val="18"/>
          <w:szCs w:val="18"/>
          <w:color w:val="auto"/>
        </w:rPr>
        <w:t>, a case pending in Superior Court in Orange County, California. Closing arguments in the liability phase of the trial are set to begin in late September 2021; if necessary, a remedy phase will be scheduled after the liability phase concludes. In June 2021, a jury trial began in New York state court in a case involving claims by the State of New York and two New York counties. This trial is limited to the issue of liability for the plaintiffs’ public nuisance claims; the parties have not yet taken discovery on damage or remedy issues. In August 2021, the court, on the plaintiffs’ motion, issued an order to show cause why it should not impose sanctions, including a default judgment on liability, for alleged discovery misconduct and set the matter for an August 6, 2021 hearing date; the plaintiffs are also seeking additional sanctions, including a finding of civil contempt, for an alleged failure to comply with a portion of the order requiring information about certain document productions.</w:t>
      </w:r>
    </w:p>
    <w:p>
      <w:pPr>
        <w:spacing w:after="0" w:line="84"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Other cases have also been set for trial in various courts around the country. Trials may occur earlier or later than currently scheduled, as timing remains uncertain due to the impact of COVID-19 and other factors.</w:t>
      </w:r>
    </w:p>
    <w:p>
      <w:pPr>
        <w:spacing w:after="0" w:line="62"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In February 2021, the MDL court declined to certify a proposed class of legal guardians of children born with neonatal abstinence syndrome; plaintiffs filed a motion for reconsideration, which was denied.</w:t>
      </w:r>
    </w:p>
    <w:p>
      <w:pPr>
        <w:spacing w:after="0" w:line="6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and seeks civil penalties for each allegedly fraudulent prescription as well as injunctive relief. A hearing previously set for June 2021 was adjourned; a status conference is set for September 2021. In July 2021, EPI, EHSI, PPI and PPCI, among others, filed a petition for judgment in New York state court seeking to prohibit DFS from proceeding with its administrative enforcement action.</w:t>
      </w:r>
    </w:p>
    <w:p>
      <w:pPr>
        <w:spacing w:after="0" w:line="8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including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80"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the following:</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20" w:firstLine="486"/>
        <w:spacing w:after="0" w:line="313" w:lineRule="auto"/>
        <w:rPr>
          <w:sz w:val="20"/>
          <w:szCs w:val="20"/>
          <w:color w:val="auto"/>
        </w:rPr>
      </w:pPr>
      <w:r>
        <w:rPr>
          <w:rFonts w:ascii="Arial" w:cs="Arial" w:eastAsia="Arial" w:hAnsi="Arial"/>
          <w:sz w:val="16"/>
          <w:szCs w:val="16"/>
          <w:color w:val="auto"/>
        </w:rPr>
        <w:t>In January 2018, EPI received a federal grand jury subpoena from the U.S. District Court for the Southern District of Florida seeking documents and information related to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other oxymorphone products and marketing of opioid medications. We are cooperating with the investigation.</w:t>
      </w:r>
    </w:p>
    <w:p>
      <w:pPr>
        <w:ind w:firstLine="486"/>
        <w:spacing w:after="0" w:line="263" w:lineRule="auto"/>
        <w:rPr>
          <w:sz w:val="20"/>
          <w:szCs w:val="20"/>
          <w:color w:val="auto"/>
        </w:rPr>
      </w:pPr>
      <w:r>
        <w:rPr>
          <w:rFonts w:ascii="Arial" w:cs="Arial" w:eastAsia="Arial" w:hAnsi="Arial"/>
          <w:sz w:val="18"/>
          <w:szCs w:val="18"/>
          <w:color w:val="auto"/>
        </w:rPr>
        <w:t>In December 2020, the Company received an administrative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right="240" w:firstLine="486"/>
        <w:spacing w:after="0" w:line="279" w:lineRule="auto"/>
        <w:rPr>
          <w:sz w:val="20"/>
          <w:szCs w:val="20"/>
          <w:color w:val="auto"/>
        </w:rPr>
      </w:pPr>
      <w:r>
        <w:rPr>
          <w:rFonts w:ascii="Arial" w:cs="Arial" w:eastAsia="Arial" w:hAnsi="Arial"/>
          <w:sz w:val="16"/>
          <w:szCs w:val="16"/>
          <w:color w:val="auto"/>
        </w:rPr>
        <w:t>The first MDL trial, relating to the claims of two Ohio counties (Track One plaintiffs), was set for October 2019 but did not go forward after most defendants settled. EPI, EHSI, PPI and PPCI executed a settlement agreement with the Track One plaintiffs in September 2019 which provided for payments totaling $10 million and up to $1 million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and/or ADRENALIN</w:t>
      </w:r>
      <w:r>
        <w:rPr>
          <w:rFonts w:ascii="Arial" w:cs="Arial" w:eastAsia="Arial" w:hAnsi="Arial"/>
          <w:sz w:val="20"/>
          <w:szCs w:val="20"/>
          <w:color w:val="auto"/>
          <w:vertAlign w:val="superscript"/>
        </w:rPr>
        <w:t>®</w:t>
      </w:r>
      <w:r>
        <w:rPr>
          <w:rFonts w:ascii="Arial" w:cs="Arial" w:eastAsia="Arial" w:hAnsi="Arial"/>
          <w:sz w:val="16"/>
          <w:szCs w:val="16"/>
          <w:color w:val="auto"/>
        </w:rPr>
        <w:t>. Under the settlement agreement, the Track One plaintiffs may be entitled to additional payments in the event of a comprehensive resolution of government-related opioid claims. The settlement agreement was solely by way of compromise and settlement and was not in any way an admission of liability or fault by us or any of our subsidiaries.</w:t>
      </w:r>
    </w:p>
    <w:p>
      <w:pPr>
        <w:spacing w:after="0" w:line="65"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 January 2020, EPI and PPI executed a settlement agreement with the state of Oklahoma providing for a payment of approximately $8.75 million in resolution of potential opioid-related claims. The settlement agreement was solely by way of compromise and settlement and was not in any way an admission of liability or fault by us or any of our subsidiaries.</w:t>
      </w:r>
    </w:p>
    <w:p>
      <w:pPr>
        <w:spacing w:after="0" w:line="76"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 xml:space="preserve">In July 2021, EPI and EHSI reached an agreement to settle the opioid-related claims of nine counties in eastern Tennessee, eighteen municipalities within those counties and a minor individual, all of whom were plaintiffs in a case filed in the Circuit Court for Sullivan County, Tennessee as </w:t>
      </w:r>
      <w:r>
        <w:rPr>
          <w:rFonts w:ascii="Arial" w:cs="Arial" w:eastAsia="Arial" w:hAnsi="Arial"/>
          <w:sz w:val="16"/>
          <w:szCs w:val="16"/>
          <w:i w:val="1"/>
          <w:iCs w:val="1"/>
          <w:color w:val="auto"/>
        </w:rPr>
        <w:t>Staubus, et</w:t>
      </w:r>
      <w:r>
        <w:rPr>
          <w:rFonts w:ascii="Arial" w:cs="Arial" w:eastAsia="Arial" w:hAnsi="Arial"/>
          <w:sz w:val="16"/>
          <w:szCs w:val="16"/>
          <w:color w:val="auto"/>
        </w:rPr>
        <w:t xml:space="preserve"> </w:t>
      </w:r>
      <w:r>
        <w:rPr>
          <w:rFonts w:ascii="Arial" w:cs="Arial" w:eastAsia="Arial" w:hAnsi="Arial"/>
          <w:sz w:val="16"/>
          <w:szCs w:val="16"/>
          <w:i w:val="1"/>
          <w:iCs w:val="1"/>
          <w:color w:val="auto"/>
        </w:rPr>
        <w:t>al. v Purdue Pharma, L.P., et al.</w:t>
      </w:r>
      <w:r>
        <w:rPr>
          <w:rFonts w:ascii="Arial" w:cs="Arial" w:eastAsia="Arial" w:hAnsi="Arial"/>
          <w:sz w:val="16"/>
          <w:szCs w:val="16"/>
          <w:color w:val="auto"/>
        </w:rPr>
        <w:t>, and later known as</w:t>
      </w:r>
      <w:r>
        <w:rPr>
          <w:rFonts w:ascii="Arial" w:cs="Arial" w:eastAsia="Arial" w:hAnsi="Arial"/>
          <w:sz w:val="16"/>
          <w:szCs w:val="16"/>
          <w:i w:val="1"/>
          <w:iCs w:val="1"/>
          <w:color w:val="auto"/>
        </w:rPr>
        <w:t xml:space="preserve"> Sullivan County, et al. v. Purdue Pharma, L.P., et al. </w:t>
      </w:r>
      <w:r>
        <w:rPr>
          <w:rFonts w:ascii="Arial" w:cs="Arial" w:eastAsia="Arial" w:hAnsi="Arial"/>
          <w:sz w:val="16"/>
          <w:szCs w:val="16"/>
          <w:color w:val="auto"/>
        </w:rPr>
        <w:t>The plaintiffs asserted claims under the Tennessee</w:t>
      </w:r>
      <w:r>
        <w:rPr>
          <w:rFonts w:ascii="Arial" w:cs="Arial" w:eastAsia="Arial" w:hAnsi="Arial"/>
          <w:sz w:val="16"/>
          <w:szCs w:val="16"/>
          <w:i w:val="1"/>
          <w:iCs w:val="1"/>
          <w:color w:val="auto"/>
        </w:rPr>
        <w:t xml:space="preserve"> </w:t>
      </w:r>
      <w:r>
        <w:rPr>
          <w:rFonts w:ascii="Arial" w:cs="Arial" w:eastAsia="Arial" w:hAnsi="Arial"/>
          <w:sz w:val="16"/>
          <w:szCs w:val="16"/>
          <w:color w:val="auto"/>
        </w:rPr>
        <w:t>Drug Dealer Liability Act (DDLA) and claimed to be seeking economic damages of approximately $2.5 billion, as well as other relief, including exemplary damages of $10 billion. In April 2021, the court issued an order granting a default judgment on liability against EPI and EHSI and awarding the plaintiffs fees and costs relating to certain discovery issues. The parties’ settlement, which provides for a payment of $35 million, was reached shortly before a scheduled trial limited to the issue of damages. We recorded an accrual for this amount during the second quarter of 2021. The settlement agreement was solely by way of compromise and settlement and was not in any way an admission of liability or fault by us or any of our subsidiaries.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Ranitidine Matters</w:t>
      </w:r>
    </w:p>
    <w:p>
      <w:pPr>
        <w:spacing w:after="0" w:line="117" w:lineRule="exact"/>
        <w:rPr>
          <w:sz w:val="20"/>
          <w:szCs w:val="20"/>
          <w:color w:val="auto"/>
        </w:rPr>
      </w:pPr>
    </w:p>
    <w:p>
      <w:pPr>
        <w:ind w:right="40" w:firstLine="486"/>
        <w:spacing w:after="0" w:line="244" w:lineRule="auto"/>
        <w:rPr>
          <w:sz w:val="20"/>
          <w:szCs w:val="20"/>
          <w:color w:val="auto"/>
        </w:rPr>
      </w:pPr>
      <w:r>
        <w:rPr>
          <w:rFonts w:ascii="Arial" w:cs="Arial" w:eastAsia="Arial" w:hAnsi="Arial"/>
          <w:sz w:val="18"/>
          <w:szCs w:val="18"/>
          <w:color w:val="auto"/>
        </w:rPr>
        <w:t xml:space="preserve">In June 2020, an MDL pending in the U.S. District Court for the Southern District of Florida, </w:t>
      </w:r>
      <w:r>
        <w:rPr>
          <w:rFonts w:ascii="Arial" w:cs="Arial" w:eastAsia="Arial" w:hAnsi="Arial"/>
          <w:sz w:val="18"/>
          <w:szCs w:val="18"/>
          <w:i w:val="1"/>
          <w:iCs w:val="1"/>
          <w:color w:val="auto"/>
        </w:rPr>
        <w:t>In re Zantac (Ranitidine) Products Liability Litigation</w:t>
      </w:r>
      <w:r>
        <w:rPr>
          <w:rFonts w:ascii="Arial" w:cs="Arial" w:eastAsia="Arial" w:hAnsi="Arial"/>
          <w:sz w:val="18"/>
          <w:szCs w:val="18"/>
          <w:color w:val="auto"/>
        </w:rPr>
        <w:t>, was expanded to add PPI and numerous other manufacturers and distributors of generic ranitidine as defendants. The claims are generally based on allegations that under certain conditions the active ingredient in Zantac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generic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have also been filed in certain state courts. PPI and its subsidiaries have not manufactured or sold ranitidine since 2016.</w:t>
      </w:r>
    </w:p>
    <w:p>
      <w:pPr>
        <w:spacing w:after="0" w:line="9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third party payers pursuing class action claims, have appealed the dismissal orders to the U.S. Court of Appeals for the Eleventh Circuit. 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Plaintiffs’ time to appeal has not yet expired.</w:t>
      </w:r>
    </w:p>
    <w:p>
      <w:pPr>
        <w:spacing w:after="0" w:line="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Since March 2016, various private plaintiffs, state attorneys general and other governmental entities have filed cases against our subsidiary PPI and/or, in some instances, the Company, Generics Bidco I, LLC, DAVA Pharmaceuticals,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There is also a proposed class action filed in the Federal Court of Canada on behalf of a proposed class of Canadian purchasers.</w:t>
      </w:r>
    </w:p>
    <w:p>
      <w:pPr>
        <w:spacing w:after="0" w:line="87"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6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and discovery is ongoing.</w:t>
      </w:r>
    </w:p>
    <w:p>
      <w:pPr>
        <w:spacing w:after="0" w:line="6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right="100" w:firstLine="486"/>
        <w:spacing w:after="0" w:line="281" w:lineRule="auto"/>
        <w:rPr>
          <w:sz w:val="20"/>
          <w:szCs w:val="20"/>
          <w:color w:val="auto"/>
        </w:rPr>
      </w:pPr>
      <w:r>
        <w:rPr>
          <w:rFonts w:ascii="Arial" w:cs="Arial" w:eastAsia="Arial" w:hAnsi="Arial"/>
          <w:sz w:val="16"/>
          <w:szCs w:val="16"/>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(digoxin) oral tablets and generic doxycycline products, and on communications with competitors and others regarding those products. We are cooperating with the investigation.</w:t>
      </w:r>
    </w:p>
    <w:p>
      <w:pPr>
        <w:spacing w:after="0" w:line="56"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6"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2" w:lineRule="exact"/>
        <w:rPr>
          <w:sz w:val="20"/>
          <w:szCs w:val="20"/>
          <w:color w:val="auto"/>
        </w:rPr>
      </w:pPr>
    </w:p>
    <w:p>
      <w:pPr>
        <w:ind w:firstLine="486"/>
        <w:spacing w:after="0" w:line="255" w:lineRule="auto"/>
        <w:rPr>
          <w:sz w:val="20"/>
          <w:szCs w:val="20"/>
          <w:color w:val="auto"/>
        </w:rPr>
      </w:pPr>
      <w:r>
        <w:rPr>
          <w:rFonts w:ascii="Arial" w:cs="Arial" w:eastAsia="Arial" w:hAnsi="Arial"/>
          <w:sz w:val="17"/>
          <w:szCs w:val="17"/>
          <w:color w:val="auto"/>
        </w:rPr>
        <w:t>Beginning in June 2014, multiple alleged purchasers of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reached by EPI and Impax to settle certain patent infringement litigation and EPI’s introduction of reformulated OPANA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April 2020, defendants filed motions for summary judgment and certain evidentiary motions. In June 2021, the court denied defendants’ motions for summary judgment, granted in part and denied in part defendants’ evidentiary motions and granted direct and indirect purchaser plaintiffs’ motions for class certification. In July 2021, the U.S. Court of Appeals for the Seventh Circuit granted defendants’ petition for leave to appeal the certification of the end-payer class and remanded the matter to the trial court for its further consideration of certain issues. Trial is currently scheduled for June 2022.</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6" w:lineRule="auto"/>
        <w:rPr>
          <w:sz w:val="20"/>
          <w:szCs w:val="20"/>
          <w:color w:val="auto"/>
        </w:rPr>
      </w:pPr>
      <w:r>
        <w:rPr>
          <w:rFonts w:ascii="Arial" w:cs="Arial" w:eastAsia="Arial" w:hAnsi="Arial"/>
          <w:sz w:val="17"/>
          <w:szCs w:val="17"/>
          <w:color w:val="auto"/>
        </w:rPr>
        <w:t>Beginning in February 2009, the U.S.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1.62%. In July 2018, the court denied certain plaintiffs’ motion for certification of a direct purchaser class. In November 2019, PPI and PPCI entered into settlement agreements with all but one of the remaining plaintiffs in the MDL; a settlement with that remaining plaintiff was reached in April 2021. The settlement agreements were solely by way of compromise and settlement and were not in any way an admission of liability or fault.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w:t>
      </w:r>
    </w:p>
    <w:p>
      <w:pPr>
        <w:spacing w:after="0" w:line="90" w:lineRule="exact"/>
        <w:rPr>
          <w:sz w:val="20"/>
          <w:szCs w:val="20"/>
          <w:color w:val="auto"/>
        </w:rPr>
      </w:pPr>
    </w:p>
    <w:p>
      <w:pPr>
        <w:ind w:right="100" w:firstLine="486"/>
        <w:spacing w:after="0" w:line="280" w:lineRule="auto"/>
        <w:rPr>
          <w:sz w:val="20"/>
          <w:szCs w:val="20"/>
          <w:color w:val="auto"/>
        </w:rPr>
      </w:pPr>
      <w:r>
        <w:rPr>
          <w:rFonts w:ascii="Arial" w:cs="Arial" w:eastAsia="Arial" w:hAnsi="Arial"/>
          <w:sz w:val="16"/>
          <w:szCs w:val="16"/>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The cases are currently in discovery.</w:t>
      </w:r>
    </w:p>
    <w:p>
      <w:pPr>
        <w:spacing w:after="0" w:line="64" w:lineRule="exact"/>
        <w:rPr>
          <w:sz w:val="20"/>
          <w:szCs w:val="20"/>
          <w:color w:val="auto"/>
        </w:rPr>
      </w:pPr>
    </w:p>
    <w:p>
      <w:pPr>
        <w:ind w:right="20" w:firstLine="486"/>
        <w:spacing w:after="0" w:line="280"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 In August 2020, the Southern District of New York granted the motion to transfer without ruling on the motions to dismiss. In January 2021, the defendants filed motions to dismiss in the District of Delaware, which remain pending.</w:t>
      </w:r>
    </w:p>
    <w:p>
      <w:pPr>
        <w:spacing w:after="0" w:line="68" w:lineRule="exact"/>
        <w:rPr>
          <w:sz w:val="20"/>
          <w:szCs w:val="20"/>
          <w:color w:val="auto"/>
        </w:rPr>
      </w:pPr>
    </w:p>
    <w:p>
      <w:pPr>
        <w:ind w:firstLine="486"/>
        <w:spacing w:after="0" w:line="236" w:lineRule="auto"/>
        <w:rPr>
          <w:sz w:val="20"/>
          <w:szCs w:val="20"/>
          <w:color w:val="auto"/>
        </w:rPr>
      </w:pPr>
      <w:r>
        <w:rPr>
          <w:rFonts w:ascii="Arial" w:cs="Arial" w:eastAsia="Arial" w:hAnsi="Arial"/>
          <w:sz w:val="18"/>
          <w:szCs w:val="18"/>
          <w:color w:val="auto"/>
        </w:rPr>
        <w:t>Beginning in June 2020, multiple complaints were filed against Jazz Pharmaceuticals and other pharmaceutical companies, including PPI, alleging violations of state and federal antitrust laws in connection with the settlement of certain patent litigations concerning generic versions of 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 Some cases were filed on behalf of putative classes of indirect purchasers; there is also a non-class action suit. The cases have been consolidated and/or coordinated for pretrial proceedings in a federal MDL pending in the U.S. District Court for the Northern District of California. The various complaints allege that Jazz entered into a series of “reverse-payment” settlements, including with PPI, to delay generic competition for 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complaints.</w:t>
      </w:r>
    </w:p>
    <w:p>
      <w:pPr>
        <w:spacing w:after="0" w:line="95" w:lineRule="exact"/>
        <w:rPr>
          <w:sz w:val="20"/>
          <w:szCs w:val="20"/>
          <w:color w:val="auto"/>
        </w:rPr>
      </w:pPr>
    </w:p>
    <w:p>
      <w:pPr>
        <w:ind w:right="20" w:firstLine="486"/>
        <w:spacing w:after="0" w:line="228" w:lineRule="auto"/>
        <w:rPr>
          <w:sz w:val="20"/>
          <w:szCs w:val="20"/>
          <w:color w:val="auto"/>
        </w:rPr>
      </w:pPr>
      <w:r>
        <w:rPr>
          <w:rFonts w:ascii="Arial" w:cs="Arial" w:eastAsia="Arial" w:hAnsi="Arial"/>
          <w:sz w:val="18"/>
          <w:szCs w:val="18"/>
          <w:color w:val="auto"/>
        </w:rPr>
        <w:t>Beginning in June 2021, multiple complaints were filed on behalf of a putative class of direct purchasers in the U.S. District Court for the District of Massachusetts against Takeda Pharmaceuticals, PPI and us, alleging violations of federal antitrust law in connection with the settlement of certain patent litigation related to generic versions of Amitiza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(lubiprostone). The complaints allege that Takeda and PPI entered into a settlement agreement that delayed the entry of generic Amitiza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assert claims under Section 1 and Section 2 of the Sherman Act. Plaintiffs seek damages, treble damages and attorneys’ fees and costs.</w:t>
      </w:r>
    </w:p>
    <w:p>
      <w:pPr>
        <w:spacing w:after="0" w:line="96" w:lineRule="exact"/>
        <w:rPr>
          <w:sz w:val="20"/>
          <w:szCs w:val="20"/>
          <w:color w:val="auto"/>
        </w:rPr>
      </w:pPr>
    </w:p>
    <w:p>
      <w:pPr>
        <w:ind w:right="20" w:firstLine="486"/>
        <w:spacing w:after="0"/>
        <w:rPr>
          <w:sz w:val="20"/>
          <w:szCs w:val="20"/>
          <w:color w:val="auto"/>
        </w:rPr>
      </w:pPr>
      <w:r>
        <w:rPr>
          <w:rFonts w:ascii="Arial" w:cs="Arial" w:eastAsia="Arial" w:hAnsi="Arial"/>
          <w:sz w:val="18"/>
          <w:szCs w:val="18"/>
          <w:color w:val="auto"/>
        </w:rPr>
        <w:t>In August 2021, a putative class action complaint was filed in the U.S. District Court for the Eastern District of Pennsylvania against Takeda Pharmaceuticals, EPI, PPI and others, alleging violations of federal antitrust law in connection with the settlement of certain patent litigation related to generic versions of Colcrys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(colchicine). The complaint alleges, among other things, that a distribution agreement between Takeda and Par with respect to an authorized generic was in effect an output restriction conspiracy. The plaintiff asserts claims under Section 1 and Section 2 of the Sherman Act and seeks damages, treble damages and attorneys’ fees and costs.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constitutes unfair competition in violation of Section 5(a) of the FTC Act. The complaint generally seeks injunctive and equitable monetary relief. In April 2021, the defendants filed motions to dismiss, which remain pending.</w:t>
      </w:r>
    </w:p>
    <w:p>
      <w:pPr>
        <w:spacing w:after="0" w:line="79"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 xml:space="preserve">In November 2017, a putative class action entitled </w:t>
      </w:r>
      <w:r>
        <w:rPr>
          <w:rFonts w:ascii="Arial" w:cs="Arial" w:eastAsia="Arial" w:hAnsi="Arial"/>
          <w:sz w:val="16"/>
          <w:szCs w:val="16"/>
          <w:i w:val="1"/>
          <w:iCs w:val="1"/>
          <w:color w:val="auto"/>
        </w:rPr>
        <w:t>Pelletier v. Endo International plc, Rajiv Kanishka Liyanaarchchie De Silva, Suketu P. Upadhyay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Paul V. Campanelli </w:t>
      </w:r>
      <w:r>
        <w:rPr>
          <w:rFonts w:ascii="Arial" w:cs="Arial" w:eastAsia="Arial" w:hAnsi="Arial"/>
          <w:sz w:val="16"/>
          <w:szCs w:val="16"/>
          <w:color w:val="auto"/>
        </w:rPr>
        <w:t>was filed in the U.S. District Court for the Eastern District of Pennsylvania by an individual shareholder on behalf of himself and</w:t>
      </w:r>
      <w:r>
        <w:rPr>
          <w:rFonts w:ascii="Arial" w:cs="Arial" w:eastAsia="Arial" w:hAnsi="Arial"/>
          <w:sz w:val="16"/>
          <w:szCs w:val="16"/>
          <w:i w:val="1"/>
          <w:iCs w:val="1"/>
          <w:color w:val="auto"/>
        </w:rPr>
        <w:t xml:space="preserve"> </w:t>
      </w:r>
      <w:r>
        <w:rPr>
          <w:rFonts w:ascii="Arial" w:cs="Arial" w:eastAsia="Arial" w:hAnsi="Arial"/>
          <w:sz w:val="16"/>
          <w:szCs w:val="16"/>
          <w:color w:val="auto"/>
        </w:rPr>
        <w:t>all similarly situated shareholders. The lawsuit alleges violations of Section 10(b) and 20(a) of the Exchange Act and Rule 10b-5 promulgated thereunder relating to the pricing of various generic pharmaceutical products. In June 2018, the court appointed Park Employees’ and Retirement Board Employees’ Annuity Benefit Fund of Chicago lead plaintiff in the action. In September 2018, the defendants filed a motion to dismiss, which the court granted in part and denied in part in February 2020. In particular, the court granted the motion and dismissed the claims with prejudice insofar as they were based on an alleged price-fixing conspiracy; the court otherwise denied the motion to dismiss, allowing other aspects of the lead plaintiff’s claims to proceed. In June 2020, the lead plaintiff moved for class certification. In February 2021, the court replaced the existing lead plaintiff with the Bucks County Employees’ Retirement Fund, appointed Alexandre Pelletier, Nathan Dole and Wayne Wingard as co-lead plaintiffs and ordered supplemental briefing on class certification. The court granted Wingard’s motion to withdraw as a co-lead plaintiff in April 2021. In May 2021, the court granted plaintiffs’ motion for class certification. In July 2021, defendants filed a motion to modify the class definition and remove Mr. Pelletier as a class representative in light of certain expert disclosures by plaintiffs. In June 2021, defendants moved for summary judgment on certain grounds. Those motions remain pending.</w:t>
      </w:r>
    </w:p>
    <w:p>
      <w:pPr>
        <w:spacing w:after="0" w:line="6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June 2020, a putative class action entitled </w:t>
      </w:r>
      <w:r>
        <w:rPr>
          <w:rFonts w:ascii="Arial" w:cs="Arial" w:eastAsia="Arial" w:hAnsi="Arial"/>
          <w:sz w:val="18"/>
          <w:szCs w:val="18"/>
          <w:i w:val="1"/>
          <w:iCs w:val="1"/>
          <w:color w:val="auto"/>
        </w:rPr>
        <w:t>Benoit Albiges v. Endo International plc, Paul V. Campanelli, Blaise Coleman, and Mark T. Bradley</w:t>
      </w:r>
      <w:r>
        <w:rPr>
          <w:rFonts w:ascii="Arial" w:cs="Arial" w:eastAsia="Arial" w:hAnsi="Arial"/>
          <w:sz w:val="18"/>
          <w:szCs w:val="18"/>
          <w:color w:val="auto"/>
        </w:rPr>
        <w:t xml:space="preserve"> was filed in the U.S. District Court for the District of New Jersey by an individual shareholder on behalf of himself and all similarly situated shareholders. The lawsuit alleges violations of Section 10(b) and 20(a) of the Exchange Act and Rule 10b-5 promulgated thereunder relating to the marketing and sale of opioid medications and the New York Department of Financial Services’ administrative action against the Company, EPI, EHSI, PPI and PPCI. In September 2020, the court appointed Curtis Laakso lead plaintiff in the action. The lead plaintiff filed an amended complaint in November 2020. In January 2021, the defendants filed a motion to dismiss, which remains pending.</w:t>
      </w:r>
    </w:p>
    <w:p>
      <w:pPr>
        <w:spacing w:after="0" w:line="84"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Related Matters</w:t>
      </w:r>
    </w:p>
    <w:p>
      <w:pPr>
        <w:spacing w:after="0" w:line="65" w:lineRule="exact"/>
        <w:rPr>
          <w:sz w:val="20"/>
          <w:szCs w:val="20"/>
          <w:color w:val="auto"/>
        </w:rPr>
      </w:pPr>
    </w:p>
    <w:p>
      <w:pPr>
        <w:ind w:right="60" w:firstLine="486"/>
        <w:spacing w:after="0" w:line="260" w:lineRule="auto"/>
        <w:rPr>
          <w:sz w:val="20"/>
          <w:szCs w:val="20"/>
          <w:color w:val="auto"/>
        </w:rPr>
      </w:pPr>
      <w:r>
        <w:rPr>
          <w:rFonts w:ascii="Arial" w:cs="Arial" w:eastAsia="Arial" w:hAnsi="Arial"/>
          <w:sz w:val="17"/>
          <w:szCs w:val="17"/>
          <w:color w:val="auto"/>
        </w:rPr>
        <w:t>In July 2016, Fresenius Kabi USA, LLC (Fresenius) sued our subsidiaries PPCI and PSP LLC in the U.S. District Court for the District of New Jersey alleging an anticompetitive scheme to exclude competition for PPCI’s VASOSTRICT</w:t>
      </w:r>
      <w:r>
        <w:rPr>
          <w:rFonts w:ascii="Arial" w:cs="Arial" w:eastAsia="Arial" w:hAnsi="Arial"/>
          <w:sz w:val="22"/>
          <w:szCs w:val="22"/>
          <w:color w:val="auto"/>
          <w:vertAlign w:val="superscript"/>
        </w:rPr>
        <w:t>®</w:t>
      </w:r>
      <w:r>
        <w:rPr>
          <w:rFonts w:ascii="Arial" w:cs="Arial" w:eastAsia="Arial" w:hAnsi="Arial"/>
          <w:sz w:val="17"/>
          <w:szCs w:val="17"/>
          <w:color w:val="auto"/>
        </w:rPr>
        <w:t>, a vasopressin-based cardiopulmonary drug. In particular, Fresenius alleged violations of Sections 1 and 2 of the Sherman Antitrust Act, as well as state antitrust and common law, based on assertions that our subsidiaries entered into exclusive supply agreements with one or more active pharmaceutical ingredient (API) manufacturers and that, as a result, Fresenius could not obtain vasopressin API in order to file an Abbreviated New Drug Application (ANDA) to obtain U.S. Food and Drug Administration (FDA) approval for its own vasopressin product. Fresenius sought actual, treble and punitive damages, attorneys’ fees and costs and injunctive relief. In February 2020, the court granted our subsidiaries’ motion for summary judgment on all claims and denied Fresenius’s cross-motion for partial summary judgment. In January 2021, the U.S. Court of Appeals for the Third Circuit vacated the district court’s order granting our subsidiaries’ motion for summary judgment and remanded for further consideration of that motion.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5" w:lineRule="auto"/>
        <w:rPr>
          <w:sz w:val="20"/>
          <w:szCs w:val="20"/>
          <w:color w:val="auto"/>
        </w:rPr>
      </w:pPr>
      <w:r>
        <w:rPr>
          <w:rFonts w:ascii="Arial" w:cs="Arial" w:eastAsia="Arial" w:hAnsi="Arial"/>
          <w:sz w:val="17"/>
          <w:szCs w:val="17"/>
          <w:color w:val="auto"/>
        </w:rPr>
        <w:t>Beginning in April 2018, PSP LLC and PPI received notice letters from Eagle Pharmaceuticals, Inc., Sandoz, Inc., Amphastar Pharmaceuticals, Inc., Amneal Pharmaceuticals LLC, American Regent, Fresenius, Dr. Reddy’s Laboratories, Inc. and Aurobindo Pharma Limited advising of the filing by such companies of ANDAs/New Drug Applications (NDAs) for generic versions of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(vasopressin IV solution (infusion)) 20 units/ml and/or 200 units/10 ml. Beginning in May 2018, PSP LLC, PPI and Endo Par Innovation Company, LLC filed lawsuits against Eagle Pharmaceuticals, Inc.,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In December 2020, we separately filed suit against Eagle Pharmaceuticals, Inc., Amneal Pharmaceuticals LLC, Dr. Reddy’s Laboratories, Inc. and Aurobindo Pharma Limited in the U.S. District Court for the District of New Jersey in connection with a newly issued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genotyping patent. Beginning in May 2020 through January 2021, we reached settlements with American Regent, Sandoz, Inc., Amphastar Pharmaceuticals, Inc., Fresenius, Aurobindo Pharma Limited and Dr. Reddy’s Laboratories, Inc. We have voluntarily dismissed all cases pending against those defendants. The remaining Delaware cases against Eagle Pharmaceuticals, Inc. and Amneal Pharmaceuticals LLC have been consolidated and a trial was held in July 2021. We are awaiting a ruling from that trial.</w:t>
      </w:r>
    </w:p>
    <w:p>
      <w:pPr>
        <w:spacing w:after="0" w:line="86" w:lineRule="exact"/>
        <w:rPr>
          <w:sz w:val="20"/>
          <w:szCs w:val="20"/>
          <w:color w:val="auto"/>
        </w:rPr>
      </w:pPr>
    </w:p>
    <w:p>
      <w:pPr>
        <w:jc w:val="both"/>
        <w:ind w:right="240" w:firstLine="486"/>
        <w:spacing w:after="0" w:line="257" w:lineRule="auto"/>
        <w:rPr>
          <w:sz w:val="20"/>
          <w:szCs w:val="20"/>
          <w:color w:val="auto"/>
        </w:rPr>
      </w:pPr>
      <w:r>
        <w:rPr>
          <w:rFonts w:ascii="Arial" w:cs="Arial" w:eastAsia="Arial" w:hAnsi="Arial"/>
          <w:sz w:val="18"/>
          <w:szCs w:val="18"/>
          <w:color w:val="auto"/>
        </w:rPr>
        <w:t>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COMPREHENSIVE INCOME (LOSS)</w:t>
      </w:r>
    </w:p>
    <w:p>
      <w:pPr>
        <w:spacing w:after="0" w:line="121" w:lineRule="exact"/>
        <w:rPr>
          <w:sz w:val="20"/>
          <w:szCs w:val="20"/>
          <w:color w:val="auto"/>
        </w:rPr>
      </w:pPr>
    </w:p>
    <w:p>
      <w:pPr>
        <w:ind w:right="340" w:firstLine="486"/>
        <w:spacing w:after="0" w:line="311" w:lineRule="auto"/>
        <w:rPr>
          <w:sz w:val="20"/>
          <w:szCs w:val="20"/>
          <w:color w:val="auto"/>
        </w:rPr>
      </w:pPr>
      <w:r>
        <w:rPr>
          <w:rFonts w:ascii="Arial" w:cs="Arial" w:eastAsia="Arial" w:hAnsi="Arial"/>
          <w:sz w:val="16"/>
          <w:szCs w:val="16"/>
          <w:color w:val="auto"/>
        </w:rPr>
        <w:t>During the three and six months ended June 30, 2021 and 2020, there were no tax effects allocated to any component of Other comprehensive income (loss) and there were no reclassifications out of Accumulated other comprehensive loss. Substantially all of the Company’s Accumulated other comprehensive loss balances at June 30, 2021 and December 31, 2020 consist of Foreign currency translation loss.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SHAREHOLDERS’ DEFICIT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Euro Deferred</w:t>
            </w: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 Shares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46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7"/>
        </w:trPr>
        <w:tc>
          <w:tcPr>
            <w:tcW w:w="26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DECEMBER 31,</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ind w:left="920"/>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8,938,012</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(9,368,270)</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(217,753)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(647,939)</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41,524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8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9,993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options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8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MARCH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8,943,764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(9,326,746)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(216,061)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(598,973)</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based awards</w:t>
            </w: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8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(9,251)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(9,251)</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(617,042)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Euro Deferred</w:t>
            </w: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 Shares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Additional Paid-in</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Capital</w:t>
            </w:r>
          </w:p>
        </w:tc>
        <w:tc>
          <w:tcPr>
            <w:tcW w:w="146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7"/>
        </w:trPr>
        <w:tc>
          <w:tcPr>
            <w:tcW w:w="26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DECEMBER 31,</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8,904,692</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(9,552,214)</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(219,090)</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(866,544)</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129,930</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(14,437)</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8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17,645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8,917,927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(9,422,284)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(233,527)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(737,817)</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10,558</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8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9,222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9,222</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8,924,694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(714,867)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340" w:firstLine="486"/>
        <w:spacing w:after="0" w:line="311" w:lineRule="auto"/>
        <w:rPr>
          <w:sz w:val="20"/>
          <w:szCs w:val="20"/>
          <w:color w:val="auto"/>
        </w:rPr>
      </w:pPr>
      <w:r>
        <w:rPr>
          <w:rFonts w:ascii="Arial" w:cs="Arial" w:eastAsia="Arial" w:hAnsi="Arial"/>
          <w:sz w:val="16"/>
          <w:szCs w:val="16"/>
          <w:color w:val="auto"/>
        </w:rPr>
        <w:t>The Company recognized share-based compensation expense of $4.4 million and $14.4 million during the three and six months ended June 30, 2021, respectively, and $9.2 million and $26.9 million during the three and six months ended June 30, 2020, respectively. As of June 30, 2021, the total remaining unrecognized compensation cost related to non-vested share-based compensation awards amounted to $33.1 million.</w:t>
      </w:r>
    </w:p>
    <w:p>
      <w:pPr>
        <w:spacing w:after="0" w:line="41"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As of June 30, 2021, the weighted average remaining requisite service period for non-vested stock options was 0.2 years and for non-vested restricted stock units was 2.0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EXPENSE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Other expense (income), net for the three and six months ended June 30, 2021 and 2020 are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94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on sale of business and other assets (1)</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(14,842)</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loss (gain), net (2)</w:t>
            </w:r>
          </w:p>
        </w:tc>
        <w:tc>
          <w:tcPr>
            <w:tcW w:w="8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loss (gain) from our investments in the equity of other companies (3)</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(399)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primarily relate to the sales of certain intellectual property rights.</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 w:lineRule="exact"/>
        <w:rPr>
          <w:rFonts w:ascii="Arial" w:cs="Arial" w:eastAsia="Arial" w:hAnsi="Arial"/>
          <w:sz w:val="14"/>
          <w:szCs w:val="14"/>
          <w:color w:val="auto"/>
        </w:rPr>
      </w:pPr>
    </w:p>
    <w:p>
      <w:pPr>
        <w:ind w:left="560" w:hanging="309"/>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21" w:lineRule="exact"/>
        <w:rPr>
          <w:sz w:val="20"/>
          <w:szCs w:val="20"/>
          <w:color w:val="auto"/>
        </w:rPr>
      </w:pPr>
    </w:p>
    <w:p>
      <w:pPr>
        <w:jc w:val="both"/>
        <w:ind w:right="180" w:firstLine="486"/>
        <w:spacing w:after="0" w:line="269" w:lineRule="auto"/>
        <w:rPr>
          <w:sz w:val="20"/>
          <w:szCs w:val="20"/>
          <w:color w:val="auto"/>
        </w:rPr>
      </w:pPr>
      <w:r>
        <w:rPr>
          <w:rFonts w:ascii="Arial" w:cs="Arial" w:eastAsia="Arial" w:hAnsi="Arial"/>
          <w:sz w:val="18"/>
          <w:szCs w:val="18"/>
          <w:color w:val="auto"/>
        </w:rPr>
        <w:t>The following table displays our Income from continuing operations before income tax, Income tax expense (benefit) and Effective tax rate for the three and six months ended June 30, 2021 and 2020 (dollars in thousands):</w:t>
      </w: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48,699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46,501</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7,642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11,824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(128,690)</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1,211.8 %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(276.7)%</w:t>
            </w:r>
          </w:p>
        </w:tc>
      </w:tr>
    </w:tbl>
    <w:p>
      <w:pPr>
        <w:spacing w:after="0" w:line="17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change in Income tax expense (benefit) for the three months ended June 30, 2021 compared to the prior year period primarily relates to 2021 discrete tax expense related to Canadian uncertain tax positions and changes in the geographic mix of pre-tax earnings.</w:t>
      </w:r>
    </w:p>
    <w:p>
      <w:pPr>
        <w:spacing w:after="0" w:line="62"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The change in Income tax expense (benefit) for the six months ended June 30, 2021 compared to the prior year period primarily relates to the 2020 discrete tax benefit for the Coronavirus Aid, Relief, and Economic Security Act (CARES Act), as discussed below, and changes in the geographic mix of pre-tax earnings.</w:t>
      </w:r>
    </w:p>
    <w:p>
      <w:pPr>
        <w:spacing w:after="0" w:line="76"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and certain other foreign tax jurisdictions as of June 30, 2021.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On March 27, 2020, the CARES Act was enacted by the U.S. government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During the six months ended June 30, 2020, the Company recorded a discrete tax benefit in continuing operations of $127.9 million as a result of the change in the NOL carryback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connection with the IRS’s examination of our 2015 Return, on December 31, 2020, the IRS issued a Technical Advice Memorandum (TAM)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previously disclosed we were expecting to receive regarding the portion of our 2015 NOL that we believe qualifies as a specified product liability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(SLL). The TAM concurred in part with our positions on the 2015 Return but disagreed with our position that the AMS worthless stock loss qualifies as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SLL. On April 23, 2021, we received draft NOPAs from the IRS consistent with the TAM. We continue to disagree with the IRS’s position and the draft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NOPAs received and, if necessary, intend to contest any additional tax determined to be owed with respect to the NOPAs. However, if we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unsuccessful in contesting the IRS’s position, we have preliminarily estimated that we would have additional cash taxes payable to the IRS of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 million and $250 million excluding interest. We continue to discuss this position with the IRS and the actual amount that may be owed to the IRS if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unsuccessful may be different than our preliminary estimate. Although the timing of the outcome of this matter is uncertain, it is possible any final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resolution of the matter could take a number of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NET (LOSS) INCOME PER SHARE</w:t>
      </w:r>
    </w:p>
    <w:p>
      <w:pPr>
        <w:spacing w:after="0" w:line="121" w:lineRule="exact"/>
        <w:rPr>
          <w:sz w:val="20"/>
          <w:szCs w:val="20"/>
          <w:color w:val="auto"/>
        </w:rPr>
      </w:pPr>
    </w:p>
    <w:p>
      <w:pPr>
        <w:ind w:right="400" w:firstLine="486"/>
        <w:spacing w:after="0" w:line="269" w:lineRule="auto"/>
        <w:rPr>
          <w:sz w:val="20"/>
          <w:szCs w:val="20"/>
          <w:color w:val="auto"/>
        </w:rPr>
      </w:pPr>
      <w:r>
        <w:rPr>
          <w:rFonts w:ascii="Arial" w:cs="Arial" w:eastAsia="Arial" w:hAnsi="Arial"/>
          <w:sz w:val="18"/>
          <w:szCs w:val="18"/>
          <w:color w:val="auto"/>
        </w:rPr>
        <w:t>The following is a reconciliation of the numerator and denominator of basic and diluted net (loss) income per share for the three and six months ended June 30, 2021 and 2020 (in thousands):</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1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(Loss) income from continuing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36,875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175,191</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(34,703)</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140,488</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For basic per share data—weighted average shares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231,941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228,457</w:t>
            </w: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ordinary share equivalents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For diluted per share data—weighted average shares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233,331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233,681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237,043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233,348</w:t>
            </w:r>
          </w:p>
        </w:tc>
      </w:tr>
      <w:tr>
        <w:trPr>
          <w:trHeight w:val="21"/>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dilutive effect of ordinary share equivalents is measured using the treasury stock method. Stock options and awards that have been issued but for which a grant date has not yet been established are not considered in the calculation of basic or diluted weighted average shares.</w:t>
      </w:r>
    </w:p>
    <w:p>
      <w:pPr>
        <w:spacing w:after="0" w:line="38" w:lineRule="exact"/>
        <w:rPr>
          <w:sz w:val="20"/>
          <w:szCs w:val="20"/>
          <w:color w:val="auto"/>
        </w:rPr>
      </w:pPr>
    </w:p>
    <w:p>
      <w:pPr>
        <w:jc w:val="both"/>
        <w:ind w:right="340" w:firstLine="486"/>
        <w:spacing w:after="0" w:line="262" w:lineRule="auto"/>
        <w:rPr>
          <w:sz w:val="20"/>
          <w:szCs w:val="20"/>
          <w:color w:val="auto"/>
        </w:rPr>
      </w:pPr>
      <w:r>
        <w:rPr>
          <w:rFonts w:ascii="Arial" w:cs="Arial" w:eastAsia="Arial" w:hAnsi="Arial"/>
          <w:sz w:val="18"/>
          <w:szCs w:val="18"/>
          <w:color w:val="auto"/>
        </w:rPr>
        <w:t>The following table presents, for the three and six months ended June 30, 2021 and 2020, outstanding stock options and stock awards that could potentially dilute income per share amounts in the future that were not included in the computation of diluted income per share amounts for the periods presented because to do so would have been antidilutive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6,591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7,110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r>
      <w:tr>
        <w:trPr>
          <w:trHeight w:val="230"/>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Stock awards</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9,541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6,617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5,908</w:t>
            </w:r>
          </w:p>
        </w:tc>
      </w:tr>
      <w:tr>
        <w:trPr>
          <w:trHeight w:val="728"/>
        </w:trPr>
        <w:tc>
          <w:tcPr>
            <w:tcW w:w="6340" w:type="dxa"/>
            <w:vAlign w:val="bottom"/>
            <w:gridSpan w:val="2"/>
          </w:tcPr>
          <w:p>
            <w:pPr>
              <w:jc w:val="right"/>
              <w:ind w:right="548"/>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12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On August 4, 2021, the Company entered into definitive agreements to sell certain assets related to Endo’s retail generics business to subsidiaries of Strides Pharma Science Limited (Strides) for approximately $24 million in cash, as well as certain other non-cash consideration. The assets to be sold include Endo’s manufacturing facilities in Chestnut Ridge, New York and certain U.S. product regulatory approvals and related product inventory. The sale is expected to close in the second half of 2021. Under the terms of the agreements, Strides will provide Endo with certain contract manufacturing and other services on a transitional basis. Endo will also provide Strides with certain transitional services.</w:t>
      </w:r>
    </w:p>
    <w:p>
      <w:pPr>
        <w:spacing w:after="0" w:line="6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As of June 30, 2021, the Company concluded that none of these assets met the criteria to be classified as held for sale. As a result of the pending sale, the Company expects to record a pre-tax non-cash loss during the third quarter of 2021 in the range of approximately $35 million to $45 million, approximating the difference between the total consideration and the estimated carrying amount of the disposed net assets at the sale closures. The Company also expects to record a pre-tax reversal of accrued employee separation, continuity and other benefit-related costs during the third quarter of 2021 in the range of approximately $15 million to $20 million as a result of the agreements of sale, reflecting a reduction in related estimated cash outlays, pending determination of the number and identify of employees that will transition to Strides. These preliminary estimated amounts, which are expected to be primarily attributable to our Generic Pharmaceuticals segment, are not currently reflected in our estimated restructuring expenses and cash outlays disclosed in Note 4. Restructuring.</w:t>
      </w:r>
    </w:p>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69"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quarterly results have fluctuated in the past and may continue to fluctuate. These fluctuations may be due to the business and financial statement effects of, among other things, new product launches by us or our competitors; market acceptance of our products; purchasing patterns of our customers; pricing; changes in the availability of our products; litigation-related and other contingencies; mergers, acquisitions, divestitures and other related activity; restructurings and other cost-reduction initiatives; financing transactions; COVID-19; upfront and milestone payments to partners; asset impairment charges; share-based and other long-term incentive compensation; and changes in the fair value of financial instruments. The following summary highlights certain recent developments that have resulted in and/or could in the future result in fluctuations in our results of operations and/or changes in our liquidity and capital resources:</w:t>
      </w:r>
    </w:p>
    <w:p>
      <w:pPr>
        <w:spacing w:after="0" w:line="4" w:lineRule="exact"/>
        <w:rPr>
          <w:sz w:val="20"/>
          <w:szCs w:val="20"/>
          <w:color w:val="auto"/>
        </w:rPr>
      </w:pPr>
    </w:p>
    <w:p>
      <w:pPr>
        <w:ind w:left="900" w:hanging="244"/>
        <w:spacing w:after="0" w:line="281" w:lineRule="auto"/>
        <w:tabs>
          <w:tab w:leader="none" w:pos="8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December 2019, COVID-19 was reported to have surfaced in Wuhan, China. In March 2020, the World Health Organization declared the COVID-19 outbreak a pandemic. Many countries and localities announced aggressive actions to reduce the spread of the disease, including limiting non-essential gatherings of people, suspending all non-essential travel, ordering certain businesses and government agencies to cease non-essential operations at physical locations and issuing shelter-in-place orders (subject to limited exceptions). Since then, developments have evolved rapidly and are likely to continue to do so. While there has been loosening of restrictions, an increase in diagnosed cases may lead to the reinstatement of various restrictions. The impact on our results from COVID-19 and related changes in economic conditions, including changes to consumer spending, are highly uncertain and, in many instances, outside of our control. The duration and severity of the direct and indirect effects of COVID-19 are evolving rapidly and in ways that are difficult to anticipate. There are numerous uncertainties related to the COVID-19 pandemic that have impacted our ability to forecast our future operations. The extent to which COVID-19 will affect our business, financial position and operating results in the future cannot be predicted with certainty; however, any such impact could be material. In addition, the impacts from COVID-19 on our consolidated results and the results of our business segments to date may not be directly comparable to any historical period and are not necessarily indicative of its impact on our results for any future periods. COVID-19 could also increase the degree to which our results, including the results of our business segments, fluctuate in the future.</w:t>
      </w:r>
    </w:p>
    <w:p>
      <w:pPr>
        <w:spacing w:after="0" w:line="8" w:lineRule="exact"/>
        <w:rPr>
          <w:rFonts w:ascii="Arial" w:cs="Arial" w:eastAsia="Arial" w:hAnsi="Arial"/>
          <w:sz w:val="16"/>
          <w:szCs w:val="16"/>
          <w:color w:val="auto"/>
        </w:rPr>
      </w:pPr>
    </w:p>
    <w:p>
      <w:pPr>
        <w:ind w:left="900" w:right="20" w:hanging="244"/>
        <w:spacing w:after="0" w:line="290" w:lineRule="auto"/>
        <w:tabs>
          <w:tab w:leader="none" w:pos="8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June 2020, we completed a series of financing transactions, collectively referred to herein as the June 2020 Refinancing Transactions, which are further discussed in Note 12. Debt of the Condensed Consolidated Financial Statements included in Part I, Item 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right="40" w:hanging="244"/>
        <w:spacing w:after="0" w:line="258"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September 2020, we announced that we had entered into a non-exclusive agreement with Novavax, Inc. to provide fill-finish manufacturing services for its COVID-19 vaccine candidate (NVX-CoV2373).</w:t>
      </w:r>
    </w:p>
    <w:p>
      <w:pPr>
        <w:spacing w:after="0" w:line="1" w:lineRule="exact"/>
        <w:rPr>
          <w:rFonts w:ascii="Arial" w:cs="Arial" w:eastAsia="Arial" w:hAnsi="Arial"/>
          <w:sz w:val="18"/>
          <w:szCs w:val="18"/>
          <w:color w:val="auto"/>
        </w:rPr>
      </w:pPr>
    </w:p>
    <w:p>
      <w:pPr>
        <w:ind w:left="900" w:right="100" w:hanging="244"/>
        <w:spacing w:after="0" w:line="281" w:lineRule="auto"/>
        <w:tabs>
          <w:tab w:leader="none" w:pos="8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November 2020, we announced the initiation of several strategic actions, collectively referred to as the 2020 Restructuring Initiative, to further optimize operations and increase overall efficiency. We have recorded and expect to record certain charges to complete these activities in anticipation of realizing annualized cost savings. For further discussion of this initiative, including a discussion of amounts recognized and expected future charges, refer to Note 4. Restructuring of the Condensed Consolidated Financial Statements included in Part I, Item 1.</w:t>
      </w:r>
    </w:p>
    <w:p>
      <w:pPr>
        <w:spacing w:after="0" w:line="2" w:lineRule="exact"/>
        <w:rPr>
          <w:rFonts w:ascii="Arial" w:cs="Arial" w:eastAsia="Arial" w:hAnsi="Arial"/>
          <w:sz w:val="16"/>
          <w:szCs w:val="16"/>
          <w:color w:val="auto"/>
        </w:rPr>
      </w:pPr>
    </w:p>
    <w:p>
      <w:pPr>
        <w:ind w:left="900" w:hanging="244"/>
        <w:spacing w:after="0" w:line="250" w:lineRule="auto"/>
        <w:tabs>
          <w:tab w:leader="none" w:pos="8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December 2020, we completed our acquisition of BioSpecifics Technologies Corp (BioSpecifics). Prior to this acquisition, we had a strategic relationship with BioSpecifics since 2004 pursuant to which BioSpecifics was, among other things, entitled to a royalty stream from us related to our collagenase-based therapies,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(collagenase clostridium histolyticum-aaes). Subsequent to the acquisition, BioSpecifics became our wholly-owned consolidated subsidiary. As a result, beginning in December 2020, the BioSpecifics acquisition had the effect of reducing royalty payments recognized in Cost of revenues.</w:t>
      </w:r>
    </w:p>
    <w:p>
      <w:pPr>
        <w:spacing w:after="0" w:line="2" w:lineRule="exact"/>
        <w:rPr>
          <w:rFonts w:ascii="Arial" w:cs="Arial" w:eastAsia="Arial" w:hAnsi="Arial"/>
          <w:sz w:val="17"/>
          <w:szCs w:val="17"/>
          <w:color w:val="auto"/>
        </w:rPr>
      </w:pPr>
    </w:p>
    <w:p>
      <w:pPr>
        <w:ind w:left="900" w:right="200" w:hanging="244"/>
        <w:spacing w:after="0" w:line="281" w:lineRule="auto"/>
        <w:tabs>
          <w:tab w:leader="none" w:pos="8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March 2021, we completed a series of financing transactions, collectively referred to herein as the March 2021 Refinancing Transactions, which are further discussed in Note 12. Debt of the Condensed Consolidated Financial Statements included in Part I, Item 1.</w:t>
      </w:r>
    </w:p>
    <w:p>
      <w:pPr>
        <w:spacing w:after="0" w:line="1" w:lineRule="exact"/>
        <w:rPr>
          <w:rFonts w:ascii="Arial" w:cs="Arial" w:eastAsia="Arial" w:hAnsi="Arial"/>
          <w:sz w:val="16"/>
          <w:szCs w:val="16"/>
          <w:color w:val="auto"/>
        </w:rPr>
      </w:pPr>
    </w:p>
    <w:p>
      <w:pPr>
        <w:ind w:left="900" w:right="200" w:hanging="244"/>
        <w:spacing w:after="0" w:line="205" w:lineRule="auto"/>
        <w:tabs>
          <w:tab w:leader="none" w:pos="8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July 2020, we received FDA approval for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the treatment of moderate to severe cellulite in the buttocks of adult women. During 2020, we put in place a U.S. aesthetics commercial team and the capabilities that enabled us to launch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March 2021.</w:t>
      </w:r>
    </w:p>
    <w:p>
      <w:pPr>
        <w:spacing w:after="0" w:line="1" w:lineRule="exact"/>
        <w:rPr>
          <w:rFonts w:ascii="Arial" w:cs="Arial" w:eastAsia="Arial" w:hAnsi="Arial"/>
          <w:sz w:val="17"/>
          <w:szCs w:val="17"/>
          <w:color w:val="auto"/>
        </w:rPr>
      </w:pPr>
    </w:p>
    <w:p>
      <w:pPr>
        <w:ind w:left="900" w:right="40" w:hanging="244"/>
        <w:spacing w:after="0" w:line="251"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our other legal proceedings, we, along with others, are the subject of various legal proceedings regarding the sale, marketing and/or distribution of prescription opioid medications. We have not been able to settle most of the opioid claims made against us and, as a result, there are claims currently against us at various stages in the litigation process. Some trials or proceedings are ongoing and may be nearing a decision, others are scheduled or may begin during the remainder of 2021, and others are scheduled or may begin as soon as 2022 or 2023. The timing of any scheduled trial is subject to change. It is possible that our legal proceedings, including those relating to opioid claims, could have a material adverse effect on our business, financial condition, results of operations and cash flows, including in the short term. For further discussion, see Note 13. Commitments and Contingencies of the Condensed Consolidated Financial Statements included in Part I, Item 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 and Other Key Trends</w:t>
      </w:r>
    </w:p>
    <w:p>
      <w:pPr>
        <w:spacing w:after="0" w:line="12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We are closely monitoring the impact of COVID-19 on all aspects of our business, the pharmaceutical industry and the economy as a whole, including how it has and will continue to impact our workforce, our customers and the patients they serve, our manufacturing and supply chain operations, our research and development (R&amp;D) programs and regulatory approval processes and our liquidity and access to capital. In addition to our existing business continuity plans, our Senior Executive Team has developed and implemented a range of proactive measures to address the risks, uncertainties and operational challenges associated with COVID-19. We continue to closely monitor the rapidly evolving situation and implement plans intended to limit the impact of COVID-19 on our business so that we can continue to produce the critical care medicines that hospitals and healthcare providers need to treat patients, including those with COVID-19. Actions we have taken to date and expected key trends are further described below.</w:t>
      </w:r>
    </w:p>
    <w:p>
      <w:pPr>
        <w:spacing w:after="0" w:line="58"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b w:val="1"/>
          <w:bCs w:val="1"/>
          <w:i w:val="1"/>
          <w:iCs w:val="1"/>
          <w:color w:val="auto"/>
        </w:rPr>
        <w:t xml:space="preserve">Workforce. </w:t>
      </w:r>
      <w:r>
        <w:rPr>
          <w:rFonts w:ascii="Arial" w:cs="Arial" w:eastAsia="Arial" w:hAnsi="Arial"/>
          <w:sz w:val="16"/>
          <w:szCs w:val="16"/>
          <w:color w:val="auto"/>
        </w:rPr>
        <w:t>We have taken, and will continue to take, proactive measures to provide for the well-being of our workforce around the globe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to safely produce products upon which patients and their healthcare providers rely. We have implemented alternative working practices and work-from-home requirements for appropriate employees, inclusive of our executive leadership team, and are continuing to pay full wages to our workforce. We have limited international and domestic travel, increased our already-thorough cleaning protocols throughout our facilities and prohibited non-essential visitors from our sites. We have also implemented temperature screenings, health questionnaires, social distancing, modified schedules, shift rotation and other similar policies at our manufacturing facilities. We launched a hybrid approach selling model as of June 1, 2020 for our field employees, which allows virtual and/or live engagement with healthcare providers and other customers. Certain of these measures have resulted in increased costs and, as further described below, resulted in the prioritization of certain products in our production plans.</w:t>
      </w:r>
    </w:p>
    <w:p>
      <w:pPr>
        <w:spacing w:after="0" w:line="57"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We have since begun to adjust certain of these practices, reflecting the evolved guidelines from health and other governmental authorities, including the elimination of certain social distancing requirements for fully vaccinated team members. Additionally, we have developed plans, where conditions allow, to end our work-from-home requirements during the third quarter of 2021 and implement flexible work options for our employees.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0" w:lineRule="auto"/>
        <w:rPr>
          <w:sz w:val="20"/>
          <w:szCs w:val="20"/>
          <w:color w:val="auto"/>
        </w:rPr>
      </w:pPr>
      <w:r>
        <w:rPr>
          <w:rFonts w:ascii="Arial" w:cs="Arial" w:eastAsia="Arial" w:hAnsi="Arial"/>
          <w:sz w:val="17"/>
          <w:szCs w:val="17"/>
          <w:b w:val="1"/>
          <w:bCs w:val="1"/>
          <w:i w:val="1"/>
          <w:iCs w:val="1"/>
          <w:color w:val="auto"/>
        </w:rPr>
        <w:t xml:space="preserve">Customers and the Patients They Serve. </w:t>
      </w:r>
      <w:r>
        <w:rPr>
          <w:rFonts w:ascii="Arial" w:cs="Arial" w:eastAsia="Arial" w:hAnsi="Arial"/>
          <w:sz w:val="17"/>
          <w:szCs w:val="17"/>
          <w:color w:val="auto"/>
        </w:rPr>
        <w:t>We have experienced, and expect to continue to experience, changes in customer demand as the COVID-19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pandemic continues to evolve, which are difficult to predict. Beginning in late first-quarter 2020 and into early second-quarter 2020, we experienced an increase in sales volumes for some of our critical care products, including VASOSTRICT</w:t>
      </w:r>
      <w:r>
        <w:rPr>
          <w:rFonts w:ascii="Arial" w:cs="Arial" w:eastAsia="Arial" w:hAnsi="Arial"/>
          <w:sz w:val="22"/>
          <w:szCs w:val="22"/>
          <w:color w:val="auto"/>
          <w:vertAlign w:val="superscript"/>
        </w:rPr>
        <w:t>®</w:t>
      </w:r>
      <w:r>
        <w:rPr>
          <w:rFonts w:ascii="Arial" w:cs="Arial" w:eastAsia="Arial" w:hAnsi="Arial"/>
          <w:sz w:val="17"/>
          <w:szCs w:val="17"/>
          <w:color w:val="auto"/>
        </w:rPr>
        <w:t>. These higher volumes resulted from significant channel inventory stocking of these products in anticipation of treating certain patients infected with COVID-19 including, in the case of VASOSTRICT</w:t>
      </w:r>
      <w:r>
        <w:rPr>
          <w:rFonts w:ascii="Arial" w:cs="Arial" w:eastAsia="Arial" w:hAnsi="Arial"/>
          <w:sz w:val="22"/>
          <w:szCs w:val="22"/>
          <w:color w:val="auto"/>
          <w:vertAlign w:val="superscript"/>
        </w:rPr>
        <w:t>®</w:t>
      </w:r>
      <w:r>
        <w:rPr>
          <w:rFonts w:ascii="Arial" w:cs="Arial" w:eastAsia="Arial" w:hAnsi="Arial"/>
          <w:sz w:val="17"/>
          <w:szCs w:val="17"/>
          <w:color w:val="auto"/>
        </w:rPr>
        <w:t>, for the treatment of patients with vasodilatory shock. This increase in sales volume was followed by significant inventory destocking for the remainder of the second quarter of 2020 and a continued decline in sales volumes toward pre-COVID-19 levels during the third quarter of 2020. Beginning in the fourth quarter of 2020 and continuing into 2021, we experienced increased sales volumes based on a resurgence of COVID-19 cases in certain parts of the U.S.; however, during the second quarter of 2021, sales volumes began to decline again toward more normal pre-COVID-19 levels. Additionally, beginning during the last two weeks of the first quarter of 2020 and continuing into the second quarter of 2020, certain of our products that are physician administered,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began experiencing significantly decreased sales volumes due to reduced physician office activity and patient office visits compared to the prior year because of the COVID-19 pandemic. Since then, sales volumes for these products have been recovering as physician office activity and patient office visits have increased. Future changes in the COVID-19 pandemic could further impact future revenues for these and/or other products.</w:t>
      </w:r>
    </w:p>
    <w:p>
      <w:pPr>
        <w:spacing w:after="0" w:line="89" w:lineRule="exact"/>
        <w:rPr>
          <w:sz w:val="20"/>
          <w:szCs w:val="20"/>
          <w:color w:val="auto"/>
        </w:rPr>
      </w:pPr>
    </w:p>
    <w:p>
      <w:pPr>
        <w:ind w:firstLine="486"/>
        <w:spacing w:after="0" w:line="262" w:lineRule="auto"/>
        <w:rPr>
          <w:sz w:val="20"/>
          <w:szCs w:val="20"/>
          <w:color w:val="auto"/>
        </w:rPr>
      </w:pPr>
      <w:r>
        <w:rPr>
          <w:rFonts w:ascii="Arial" w:cs="Arial" w:eastAsia="Arial" w:hAnsi="Arial"/>
          <w:sz w:val="17"/>
          <w:szCs w:val="17"/>
          <w:b w:val="1"/>
          <w:bCs w:val="1"/>
          <w:i w:val="1"/>
          <w:iCs w:val="1"/>
          <w:color w:val="auto"/>
        </w:rPr>
        <w:t xml:space="preserve">Manufacturing and Supply Chain Operations. </w:t>
      </w:r>
      <w:r>
        <w:rPr>
          <w:rFonts w:ascii="Arial" w:cs="Arial" w:eastAsia="Arial" w:hAnsi="Arial"/>
          <w:sz w:val="17"/>
          <w:szCs w:val="17"/>
          <w:color w:val="auto"/>
        </w:rPr>
        <w:t>As of the date of this report, our business has not experienced any material supply issues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COVID-19 and our manufacturing facilities across the globe have continued to operate. We have taken, and plan to continue to take, commercially practical measures to keep these facilities open as they are critical to our ability to reliably supply required critical care and medically necessary products. These measures, including the implementation of temperature screenings, health questionnaires, social distancing, modified schedules, shift rotation and other similar policies at our manufacturing facilities, as well as changes in our workforce availability have impacted our manufacturing and supply chain productivity at certain of our facilities and resulted in the prioritization of certain products, such as VASOSTRICT</w:t>
      </w:r>
      <w:r>
        <w:rPr>
          <w:rFonts w:ascii="Arial" w:cs="Arial" w:eastAsia="Arial" w:hAnsi="Arial"/>
          <w:sz w:val="22"/>
          <w:szCs w:val="22"/>
          <w:color w:val="auto"/>
          <w:vertAlign w:val="superscript"/>
        </w:rPr>
        <w:t>®</w:t>
      </w:r>
      <w:r>
        <w:rPr>
          <w:rFonts w:ascii="Arial" w:cs="Arial" w:eastAsia="Arial" w:hAnsi="Arial"/>
          <w:sz w:val="17"/>
          <w:szCs w:val="17"/>
          <w:color w:val="auto"/>
        </w:rPr>
        <w:t>, in our production plans to provide for their continued availability during and after the pandemic. We believe that our diversified manufacturing footprint, which includes a combination of Endo owned and leased facilities located in the U.S. and India, supply agreements and strong business relationships with numerous contract manufacturing organizations throughout the world, including in the U.S., Canada, Europe and India, and our proven ability to be a preferred partner of choice to large pharmaceutical companies seeking authorized generic distributors for their branded products, is a critical factor to mitigate significant risks related to manufacturing and supply chain disruption. This footprint, overseen by our global quality and supply chain teams in Ireland, combined with a skilled management team with significant experience in manufacturing and supply chain operations, has enabled us to respond quickly and effectively to the evolving COVID-19 pandemic to date.</w:t>
      </w:r>
    </w:p>
    <w:p>
      <w:pPr>
        <w:spacing w:after="0" w:line="79"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b w:val="1"/>
          <w:bCs w:val="1"/>
          <w:i w:val="1"/>
          <w:iCs w:val="1"/>
          <w:color w:val="auto"/>
        </w:rPr>
        <w:t xml:space="preserve">Clinical and Development Programs. </w:t>
      </w:r>
      <w:r>
        <w:rPr>
          <w:rFonts w:ascii="Arial" w:cs="Arial" w:eastAsia="Arial" w:hAnsi="Arial"/>
          <w:sz w:val="16"/>
          <w:szCs w:val="16"/>
          <w:color w:val="auto"/>
        </w:rPr>
        <w:t>We have a number of ongoing clinical trials. We are committed to the safety of our patients, employees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involved in these trials. We are monitoring COVID-19 closely and continue to partner with the FDA on our ongoing clinical trials, regulatory applications and other R&amp;D activities. Based on an assessment of our R&amp;D programs, including our clinical trials, we have developed a plan and timeline for each study in order to enhance communication with patients, sites and vendors. To date, the impacts of COVID-19 have resulted in modest delays and could continue to cause delays to certain of our clinical trials and product development and commercialization programs, including obtaining adequate patient enrollment, receiving regulatory approvals and successfully bringing product candidates to market. Additionally, as a result of COVID-19 and its impact on medical aesthetics physician office closures and consumer spending, we moved the product launch of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spring 2021.</w:t>
      </w:r>
    </w:p>
    <w:p>
      <w:pPr>
        <w:spacing w:after="0" w:line="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Key Trends. </w:t>
      </w:r>
      <w:r>
        <w:rPr>
          <w:rFonts w:ascii="Arial" w:cs="Arial" w:eastAsia="Arial" w:hAnsi="Arial"/>
          <w:sz w:val="18"/>
          <w:szCs w:val="18"/>
          <w:color w:val="auto"/>
        </w:rPr>
        <w:t>Since the first quarter of 2020, we, and our industry as a whole, have been impacted by COVID-19 and may experience an impact 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 The most significant trends we face as a result of the COVID-19 pandemic include: (i) decreases in demand for certain of our physician administered products due to physician office closures and a decline in patients electing to be treated because of the COVID-19 pandemic, (ii) potential temporary decreases to the supply of certain of our products due to modified production schedules to safely maintain operations in response to COVID-19 and other factors including, without limitation, workforce availability, (iii) potential idle capacity charges based on implementation of certain of the policies described above at our manufacturing facilities and (iv) potential delays in our ability to launch some new products due to production prioritization and economic conditions and other factors outside of our control.</w:t>
      </w:r>
    </w:p>
    <w:p>
      <w:pPr>
        <w:spacing w:after="0" w:line="8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estimated revenue trends for the full year 2021 compared to the full year 2020 are set forth below. These estimated revenue trends reflect the current expectations of our management team based on information currently available to them. Our estimates are subject to significant risks and uncertainties that could cause our actual results to differ materially from those indicated below, including, among other things, our assumptions about the duration and severity of COVID-19 and the impact of any related governmental, business or other actions, any of which could cause the impact of COVID-19 to be more significant than our current expectations.</w:t>
      </w:r>
    </w:p>
    <w:p>
      <w:pPr>
        <w:spacing w:after="0" w:line="3" w:lineRule="exact"/>
        <w:rPr>
          <w:sz w:val="20"/>
          <w:szCs w:val="20"/>
          <w:color w:val="auto"/>
        </w:rPr>
      </w:pPr>
    </w:p>
    <w:p>
      <w:pPr>
        <w:ind w:left="900" w:right="160" w:hanging="244"/>
        <w:spacing w:after="0" w:line="237" w:lineRule="auto"/>
        <w:tabs>
          <w:tab w:leader="none" w:pos="8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the full year 2021, we expect an increase in revenues from the Specialty Products portfolio of our Branded Pharmaceuticals segment as compared to 2020, primarily driven by increased revenues of XIAFLEX</w:t>
      </w:r>
      <w:r>
        <w:rPr>
          <w:rFonts w:ascii="Arial" w:cs="Arial" w:eastAsia="Arial" w:hAnsi="Arial"/>
          <w:sz w:val="22"/>
          <w:szCs w:val="22"/>
          <w:color w:val="auto"/>
          <w:vertAlign w:val="superscript"/>
        </w:rPr>
        <w:t>®</w:t>
      </w:r>
      <w:r>
        <w:rPr>
          <w:rFonts w:ascii="Arial" w:cs="Arial" w:eastAsia="Arial" w:hAnsi="Arial"/>
          <w:sz w:val="17"/>
          <w:szCs w:val="17"/>
          <w:color w:val="auto"/>
        </w:rPr>
        <w:t>. This expected increase in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revenues is primarily driven by an anticipated increase in demand driven by our investments in and promotional efforts behind this product, as well as an anticipated increase in physician office activity and patient office visits in 2021 compared to 2020. We also launched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March 2021, which we expect will contribute to the overall increase in Branded Pharmaceuticals segment revenues in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right="180" w:hanging="244"/>
        <w:spacing w:after="0" w:line="263"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full year 2021, we expect revenues from the Established Products portfolio of our Branded Pharmaceuticals segment and from our Sterile Injectables, Generic Pharmaceuticals and International Pharmaceuticals segments to decline as compared to 2020, primarily driven by competitive pressures impacting these product portfolios.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200" w:firstLine="486"/>
        <w:spacing w:after="0" w:line="269"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three and six months ended June 30, 2021 and 2020 (dollars in thousands):</w:t>
      </w: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6"/>
                <w:szCs w:val="16"/>
                <w:color w:val="auto"/>
              </w:rPr>
            </w:pPr>
          </w:p>
        </w:tc>
        <w:tc>
          <w:tcPr>
            <w:tcW w:w="26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27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24"/>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713,830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687,588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1,431,749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1,507,993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318,480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336,096</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623,773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724,895</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395,350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351,492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807,976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783,098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2700" w:type="dxa"/>
            <w:vAlign w:val="bottom"/>
          </w:tcPr>
          <w:p>
            <w:pPr>
              <w:ind w:left="140"/>
              <w:spacing w:after="0"/>
              <w:rPr>
                <w:sz w:val="20"/>
                <w:szCs w:val="20"/>
                <w:color w:val="auto"/>
              </w:rPr>
            </w:pPr>
            <w:r>
              <w:rPr>
                <w:rFonts w:ascii="Arial" w:cs="Arial" w:eastAsia="Arial" w:hAnsi="Arial"/>
                <w:sz w:val="18"/>
                <w:szCs w:val="18"/>
                <w:i w:val="1"/>
                <w:iCs w:val="1"/>
                <w:color w:val="auto"/>
              </w:rPr>
              <w:t>Gross margin percentage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55.4 %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51.1 %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56.4 %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51.9 %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Selling, general and administrative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177,619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173,258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364,793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340,026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34,669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30,495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64,408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62,110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Litigation-related and other</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35,195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(8,572)</w:t>
            </w: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35,832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(25,748)</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net</w:t>
            </w: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97,785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Acquisition-related and integration</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6,045</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(4,925)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18,507</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net</w:t>
            </w: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141,553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129,164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275,894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262,041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NM</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2"/>
          </w:tcPr>
          <w:p>
            <w:pPr>
              <w:ind w:left="88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27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Income from continuing</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25,252</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48,699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46,501</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operations before income tax</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101" w:lineRule="exact"/>
        <w:rPr>
          <w:sz w:val="20"/>
          <w:szCs w:val="20"/>
          <w:color w:val="auto"/>
        </w:rPr>
      </w:pPr>
    </w:p>
    <w:p>
      <w:pPr>
        <w:ind w:right="80" w:firstLine="486"/>
        <w:spacing w:after="0" w:line="243" w:lineRule="auto"/>
        <w:rPr>
          <w:sz w:val="20"/>
          <w:szCs w:val="20"/>
          <w:color w:val="auto"/>
        </w:rPr>
      </w:pPr>
      <w:r>
        <w:rPr>
          <w:rFonts w:ascii="Arial" w:cs="Arial" w:eastAsia="Arial" w:hAnsi="Arial"/>
          <w:sz w:val="18"/>
          <w:szCs w:val="18"/>
          <w:b w:val="1"/>
          <w:bCs w:val="1"/>
          <w:i w:val="1"/>
          <w:iCs w:val="1"/>
          <w:color w:val="auto"/>
        </w:rPr>
        <w:t xml:space="preserve">Total revenues, net. </w:t>
      </w:r>
      <w:r>
        <w:rPr>
          <w:rFonts w:ascii="Arial" w:cs="Arial" w:eastAsia="Arial" w:hAnsi="Arial"/>
          <w:sz w:val="18"/>
          <w:szCs w:val="18"/>
          <w:color w:val="auto"/>
        </w:rPr>
        <w:t>The increase in revenues for the three months ended June 30, 2021 was primarily due to increased revenues from the Specialty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portfolio of our Branded Pharmaceuticals segment, partially offset by decreased revenues from our Generic Pharmaceuticals and Sterile Injectables segments. Total revenues for the six months ended June 30, 2021 decreased as compared to the prior year period as revenue increases from the Specialty Products portfolio of our Branded Pharmaceuticals segment and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more than offset by revenue declines from our Generic Pharmaceuticals segment, certain products in our Sterile Injectables segment, the Established Products portfolio of our Branded Pharmaceuticals segment and our International Pharmaceuticals segment. Our revenues are further disaggregated and described below under the heading “Business Segment Results Review.”</w:t>
      </w:r>
    </w:p>
    <w:p>
      <w:pPr>
        <w:spacing w:after="0" w:line="95"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b w:val="1"/>
          <w:bCs w:val="1"/>
          <w:i w:val="1"/>
          <w:iCs w:val="1"/>
          <w:color w:val="auto"/>
        </w:rPr>
        <w:t xml:space="preserve">Cost of revenues and gross margin percentage. </w:t>
      </w:r>
      <w:r>
        <w:rPr>
          <w:rFonts w:ascii="Arial" w:cs="Arial" w:eastAsia="Arial" w:hAnsi="Arial"/>
          <w:sz w:val="18"/>
          <w:szCs w:val="18"/>
          <w:color w:val="auto"/>
        </w:rPr>
        <w:t>During the three and six months ended June 30, 2021 and 2020, Cost of revenues includes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that impact comparability, including amortization expense and continuity and separation benefits and other cost reduction initiatives. The following table summarizes such amounts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221,735</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w w:val="94"/>
              </w:rPr>
              <w:t>Continuity and separation benefits and other cost reduction initiatives (2)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4,970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20,266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7,141</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right="20" w:hanging="330"/>
        <w:spacing w:after="0" w:line="241" w:lineRule="auto"/>
        <w:tabs>
          <w:tab w:leader="none" w:pos="492"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the three and six months ended June 30, 2021 were primarily driven by prior asset impairment charges and decreases in the rate of amortization expense for certain assets, partially offset by the impact of certain in-process research and development assets previously put into service.</w:t>
      </w:r>
    </w:p>
    <w:p>
      <w:pPr>
        <w:spacing w:after="0" w:line="1" w:lineRule="exact"/>
        <w:rPr>
          <w:rFonts w:ascii="Arial" w:cs="Arial" w:eastAsia="Arial" w:hAnsi="Arial"/>
          <w:sz w:val="14"/>
          <w:szCs w:val="14"/>
          <w:color w:val="auto"/>
        </w:rPr>
      </w:pPr>
    </w:p>
    <w:p>
      <w:pPr>
        <w:ind w:left="500" w:right="140" w:hanging="330"/>
        <w:spacing w:after="0" w:line="248" w:lineRule="auto"/>
        <w:tabs>
          <w:tab w:leader="none" w:pos="492"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primarily relate to certain employee separation, continuity and other benefit-related costs, excess inventory reserves and accelerated depreciation. For further discussion of our material restructuring initiatives, including a discussion of amounts recognized and expected future charges, refer to Note 4. Restructuring of the Condensed Consolidated Financial Statements included in Part I, Item 1.</w:t>
      </w:r>
    </w:p>
    <w:p>
      <w:pPr>
        <w:spacing w:after="0" w:line="87"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The decrease in Cost of revenues for the three months ended June 30, 2021 was primarily due to decreased amortization expense, the reduction in royalty payments recognized in Cost of revenues resulting from the December 2020 BioSpecifics acquisition and favorable changes in product mix as described below, partially offset by increased revenues and increased expenses related to continuity and separation benefits and other cost reduction initiatives.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The decrease in Cost of revenues for the six months ended June 30, 2021 was primarily due to decreased revenues, decreased amortization expense, the reduction in royalty payments recognized in Cost of revenues resulting from the December 2020 BioSpecifics acquisition and favorable changes in product mix as described below, partially offset by increased expenses related to continuity and separation benefits and other cost reduction initiatives.</w:t>
      </w:r>
    </w:p>
    <w:p>
      <w:pPr>
        <w:spacing w:after="0" w:line="4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Gross margin percentage increased for both the three and six months ended June 30, 2021 as a result of the reduction in royalty payments recognized in Cost of revenues resulting from the December 2020 BioSpecifics acquisition, favorable changes in product mix and decreased amortization expense, partially offset by increased expenses related to continuity and separation benefits and other cost reduction initiatives. The favorable changes in product mix for the three and six months ended June 30, 2021 primarily resulted from increased revenues from the Specialty Products portfolio of our Branded Pharmaceuticals segment and decreased Generic Pharmaceuticals segment revenues.</w:t>
      </w:r>
    </w:p>
    <w:p>
      <w:pPr>
        <w:spacing w:after="0" w:line="68" w:lineRule="exact"/>
        <w:rPr>
          <w:sz w:val="20"/>
          <w:szCs w:val="20"/>
          <w:color w:val="auto"/>
        </w:rPr>
      </w:pPr>
    </w:p>
    <w:p>
      <w:pPr>
        <w:ind w:right="120" w:firstLine="486"/>
        <w:spacing w:after="0" w:line="23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The increase for the three months ended June 30, 2021 was primarily due to increased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our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certain legal matters, partially offset by decreased costs associated with debt financing transactions as further discussed in Note 12. Debt of the Condensed Consolidated Financial Statements included in Part I, Item 1.</w:t>
      </w:r>
    </w:p>
    <w:p>
      <w:pPr>
        <w:spacing w:after="0" w:line="89" w:lineRule="exact"/>
        <w:rPr>
          <w:sz w:val="20"/>
          <w:szCs w:val="20"/>
          <w:color w:val="auto"/>
        </w:rPr>
      </w:pPr>
    </w:p>
    <w:p>
      <w:pPr>
        <w:ind w:right="340" w:firstLine="486"/>
        <w:spacing w:after="0" w:line="254" w:lineRule="auto"/>
        <w:rPr>
          <w:sz w:val="20"/>
          <w:szCs w:val="20"/>
          <w:color w:val="auto"/>
        </w:rPr>
      </w:pPr>
      <w:r>
        <w:rPr>
          <w:rFonts w:ascii="Arial" w:cs="Arial" w:eastAsia="Arial" w:hAnsi="Arial"/>
          <w:sz w:val="17"/>
          <w:szCs w:val="17"/>
          <w:color w:val="auto"/>
        </w:rPr>
        <w:t>The increase for the six months ended June 30, 2021 was primarily due to increased costs associated with our commercial launch of QWO</w:t>
      </w:r>
      <w:r>
        <w:rPr>
          <w:rFonts w:ascii="Arial" w:cs="Arial" w:eastAsia="Arial" w:hAnsi="Arial"/>
          <w:sz w:val="22"/>
          <w:szCs w:val="22"/>
          <w:color w:val="auto"/>
          <w:vertAlign w:val="superscript"/>
        </w:rPr>
        <w:t>®</w:t>
      </w:r>
      <w:r>
        <w:rPr>
          <w:rFonts w:ascii="Arial" w:cs="Arial" w:eastAsia="Arial" w:hAnsi="Arial"/>
          <w:sz w:val="17"/>
          <w:szCs w:val="17"/>
          <w:color w:val="auto"/>
        </w:rPr>
        <w:t>, our investment and promotional efforts behind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certain legal matters, as well as a higher branded prescription drug fee, partially offset by decreased costs associated with debt financing transactions and decreased long-term incentive compensation costs.</w:t>
      </w:r>
    </w:p>
    <w:p>
      <w:pPr>
        <w:spacing w:after="0" w:line="80"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Additionally, Selling, general and administrative expenses have been and may in the future be impacted by the 2020 Restructuring Initiative. Refer to Note 4. Restructuring of the Condensed Consolidated Financial Statements included in Part I, Item 1 for discussion of this initiative, including a discussion of amounts recognized and expected future charges.</w:t>
      </w:r>
    </w:p>
    <w:p>
      <w:pPr>
        <w:spacing w:after="0" w:line="76" w:lineRule="exact"/>
        <w:rPr>
          <w:sz w:val="20"/>
          <w:szCs w:val="20"/>
          <w:color w:val="auto"/>
        </w:rPr>
      </w:pPr>
    </w:p>
    <w:p>
      <w:pPr>
        <w:ind w:right="260" w:firstLine="486"/>
        <w:spacing w:after="0" w:line="234" w:lineRule="auto"/>
        <w:rPr>
          <w:sz w:val="20"/>
          <w:szCs w:val="20"/>
          <w:color w:val="auto"/>
        </w:rPr>
      </w:pPr>
      <w:r>
        <w:rPr>
          <w:rFonts w:ascii="Arial" w:cs="Arial" w:eastAsia="Arial" w:hAnsi="Arial"/>
          <w:sz w:val="18"/>
          <w:szCs w:val="18"/>
          <w:color w:val="auto"/>
        </w:rPr>
        <w:t>We expect Selling, general and administrative expenses to increase as compared to amounts in 2020, primarily as a result of increased costs associated with our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increased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increased legal costs associated with certain matters.</w:t>
      </w:r>
    </w:p>
    <w:p>
      <w:pPr>
        <w:spacing w:after="0" w:line="95"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b w:val="1"/>
          <w:bCs w:val="1"/>
          <w:i w:val="1"/>
          <w:iCs w:val="1"/>
          <w:color w:val="auto"/>
        </w:rPr>
        <w:t xml:space="preserve">R&amp;D expenses. </w:t>
      </w:r>
      <w:r>
        <w:rPr>
          <w:rFonts w:ascii="Arial" w:cs="Arial" w:eastAsia="Arial" w:hAnsi="Arial"/>
          <w:sz w:val="16"/>
          <w:szCs w:val="16"/>
          <w:color w:val="auto"/>
        </w:rPr>
        <w:t>The amount of R&amp;D expense we record in any period varies depending on the nature and stage of development of our R&amp;D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and can also vary in periods in which we incur significant upfront or milestone charges related to agreements with third parties.</w:t>
      </w:r>
    </w:p>
    <w:p>
      <w:pPr>
        <w:spacing w:after="0" w:line="16" w:lineRule="exact"/>
        <w:rPr>
          <w:sz w:val="20"/>
          <w:szCs w:val="20"/>
          <w:color w:val="auto"/>
        </w:rPr>
      </w:pPr>
    </w:p>
    <w:p>
      <w:pPr>
        <w:ind w:right="60" w:firstLine="486"/>
        <w:spacing w:after="0" w:line="263" w:lineRule="auto"/>
        <w:rPr>
          <w:sz w:val="20"/>
          <w:szCs w:val="20"/>
          <w:color w:val="auto"/>
        </w:rPr>
      </w:pPr>
      <w:r>
        <w:rPr>
          <w:rFonts w:ascii="Arial" w:cs="Arial" w:eastAsia="Arial" w:hAnsi="Arial"/>
          <w:sz w:val="16"/>
          <w:szCs w:val="16"/>
          <w:color w:val="auto"/>
        </w:rPr>
        <w:t>Our R&amp;D efforts are focused on the development of a diversified portfolio of innovative and clinically differentiated product candidates. We have been progressing and expect to continue to progress our cellulite treatment development programs for QWO</w:t>
      </w:r>
      <w:r>
        <w:rPr>
          <w:rFonts w:ascii="Arial" w:cs="Arial" w:eastAsia="Arial" w:hAnsi="Arial"/>
          <w:sz w:val="20"/>
          <w:szCs w:val="20"/>
          <w:color w:val="auto"/>
          <w:vertAlign w:val="superscript"/>
        </w:rPr>
        <w:t>®</w:t>
      </w:r>
      <w:r>
        <w:rPr>
          <w:rFonts w:ascii="Arial" w:cs="Arial" w:eastAsia="Arial" w:hAnsi="Arial"/>
          <w:sz w:val="16"/>
          <w:szCs w:val="16"/>
          <w:color w:val="auto"/>
        </w:rPr>
        <w:t>, which was approved by the FDA for the treatment of moderate to severe cellulite in the buttocks of adult women in July 2020. In early 2020, we announced that we had initiated our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development programs for the treatment of plantar fibromatosis and adhesive capsulitis, which are continuing to progress. We expect to progress our plantar fibromatosis development program with the initiation of a Phase 2 study later in 2021. We also expect to continue to focus investments in ready-to-use and other product candidates in our Sterile Injectables segment, potentially including license and commercialization agreements such as our Nevakar, Inc. agreement. In 2019, Endo initiated an open-label Phase 1 pharmacokinetic (PK) study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healthy volunteers, studying plasma clearance with TT genotype versus AA/AT genotype. Based on the study results, we were issued two new patents by the U.S. Patent and Trademark Office (PTO), both of which expire in 2040. Endo also submitted a Prior Approval Supplement (PAS) application for revised labeling for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 the FDA, which was subsequently accepted by the agency. In May 2021, the FDA issued a Complete Response Letter in response to our PAS application for revised labeling. We are considering how to respond. The timing and outcome of any FDA review of the PAS application are within the FDA’s discretion. As our development programs progress, it is possible that our R&amp;D expenses could increase.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increases in R&amp;D expense for the three and six months ended June 30, 2021 were primarily driven by increased costs associated with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development programs. The increase during the six months ended June 30, 2021 was partially offset by decreased costs associated with our</w:t>
      </w:r>
    </w:p>
    <w:p>
      <w:pPr>
        <w:spacing w:after="0"/>
        <w:rPr>
          <w:sz w:val="20"/>
          <w:szCs w:val="20"/>
          <w:color w:val="auto"/>
        </w:rPr>
      </w:pPr>
      <w:r>
        <w:rPr>
          <w:rFonts w:ascii="Arial" w:cs="Arial" w:eastAsia="Arial" w:hAnsi="Arial"/>
          <w:sz w:val="18"/>
          <w:szCs w:val="18"/>
          <w:color w:val="auto"/>
        </w:rPr>
        <w:t>Generic Pharmaceuticals segment.</w:t>
      </w:r>
    </w:p>
    <w:p>
      <w:pPr>
        <w:spacing w:after="0" w:line="101"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Additionally, R&amp;D expenses have been and may in the future be impacted by the 2020 Restructuring Initiative. Refer to Note 4. Restructuring of the Condensed Consolidated Financial Statements included in Part I, Item 1 for discussion of this initiative, including a discussion of amounts recognized and expected future charges.</w:t>
      </w:r>
    </w:p>
    <w:p>
      <w:pPr>
        <w:spacing w:after="0" w:line="76"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b w:val="1"/>
          <w:bCs w:val="1"/>
          <w:i w:val="1"/>
          <w:iCs w:val="1"/>
          <w:color w:val="auto"/>
        </w:rPr>
        <w:t xml:space="preserve">Litigation-related and other contingencies, net. </w:t>
      </w:r>
      <w:r>
        <w:rPr>
          <w:rFonts w:ascii="Arial" w:cs="Arial" w:eastAsia="Arial" w:hAnsi="Arial"/>
          <w:sz w:val="17"/>
          <w:szCs w:val="17"/>
          <w:color w:val="auto"/>
        </w:rPr>
        <w:t>Included within Litigation-related and other contingencies, net are changes to our accruals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litigation-related settlement charges and certain settlement proceeds related to suits filed by our subsidiaries. Our material legal proceedings and other contingent matters are described in more detail in Note 13. Commitments and Contingencies of the Condensed Consolidated Financial Statements included in Part I, Item 1. As further described therein, adjustments to the corresponding liability accruals may be required in the future, including in the short term. This could have a material adverse effect on our business, financial condition, results of operations and cash flows.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Asset impairment charges. </w:t>
      </w:r>
      <w:r>
        <w:rPr>
          <w:rFonts w:ascii="Arial" w:cs="Arial" w:eastAsia="Arial" w:hAnsi="Arial"/>
          <w:sz w:val="16"/>
          <w:szCs w:val="16"/>
          <w:color w:val="auto"/>
        </w:rPr>
        <w:t>The following table presents the components of our total Asset impairment charges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32,786</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4,929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7,811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63,751</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impairment charges</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Total asset impairment charges</w:t>
            </w:r>
          </w:p>
        </w:tc>
        <w:tc>
          <w:tcPr>
            <w:tcW w:w="8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4,929</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8,238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97,785</w:t>
            </w:r>
          </w:p>
        </w:tc>
      </w:tr>
      <w:tr>
        <w:trPr>
          <w:trHeight w:val="21"/>
        </w:trPr>
        <w:tc>
          <w:tcPr>
            <w:tcW w:w="5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w:t>
      </w:r>
    </w:p>
    <w:p>
      <w:pPr>
        <w:spacing w:after="0" w:line="46" w:lineRule="exact"/>
        <w:rPr>
          <w:sz w:val="20"/>
          <w:szCs w:val="20"/>
          <w:color w:val="auto"/>
        </w:rPr>
      </w:pPr>
    </w:p>
    <w:p>
      <w:pPr>
        <w:ind w:right="480" w:firstLine="8"/>
        <w:spacing w:after="0" w:line="323"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30"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b w:val="1"/>
          <w:bCs w:val="1"/>
          <w:i w:val="1"/>
          <w:iCs w:val="1"/>
          <w:color w:val="auto"/>
        </w:rPr>
        <w:t xml:space="preserve">Acquisition-related and integration items, net. </w:t>
      </w:r>
      <w:r>
        <w:rPr>
          <w:rFonts w:ascii="Arial" w:cs="Arial" w:eastAsia="Arial" w:hAnsi="Arial"/>
          <w:sz w:val="17"/>
          <w:szCs w:val="17"/>
          <w:color w:val="auto"/>
        </w:rPr>
        <w:t>Acquisition-related and integration items, net primarily consist of the net expense (benefit)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6. Fair Value Measurements of the Condensed Consolidated Financial Statements included in Part I, Item 1 for further discussion of our acquisition-related contingent consideration.</w:t>
      </w:r>
    </w:p>
    <w:p>
      <w:pPr>
        <w:spacing w:after="0" w:line="68" w:lineRule="exact"/>
        <w:rPr>
          <w:sz w:val="20"/>
          <w:szCs w:val="20"/>
          <w:color w:val="auto"/>
        </w:rPr>
      </w:pPr>
    </w:p>
    <w:p>
      <w:pPr>
        <w:ind w:right="6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components of Interest expense, net for the three and six months ended June 30, 2021 and 2020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6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265,935</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w:t>
            </w:r>
          </w:p>
        </w:tc>
      </w:tr>
      <w:tr>
        <w:trPr>
          <w:trHeight w:val="248"/>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262,041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increases in interest expense for the three and six months ended June 30, 2021 were primarily attributable to the increases to the weighted average interest rates applicable to: (i) our notes following the June 2020 Refinancing Transactions and (ii) our total indebtedness following the March 2021 Refinancing Transactions. These increases were partially offset by decreases to LIBOR that impacted our variable-rate debt and the reductions to the amount of our indebtedness associated with the June 2020 Refinancing Transactions. Refer to Note 12. Debt of the Condensed Consolidated Financial Statements included in Part I, Item 1 for further discussion of these transactions. Changes in interest rates could increase our interest expense in the future, which could have a material adverse effect on our business, financial condition, results of operations and cash flows.</w:t>
      </w:r>
    </w:p>
    <w:p>
      <w:pPr>
        <w:spacing w:after="0" w:line="5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6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The amount during the six months ended June 30, 2021 relates to the March 2021 Refinancing Transactions. Refer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Note 12. Debt of the Condensed Consolidated Financial Statements included in Part I, Item 1 for further discussion.</w:t>
      </w:r>
    </w:p>
    <w:p>
      <w:pPr>
        <w:spacing w:after="0" w:line="62" w:lineRule="exact"/>
        <w:rPr>
          <w:sz w:val="20"/>
          <w:szCs w:val="20"/>
          <w:color w:val="auto"/>
        </w:rPr>
      </w:pPr>
    </w:p>
    <w:p>
      <w:pPr>
        <w:ind w:right="3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The components of Other expense (income), net for the three and six months ended June 30, 2021 and 2020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94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on sale of business and other assets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(14,842)</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loss (gain), net</w:t>
            </w:r>
          </w:p>
        </w:tc>
        <w:tc>
          <w:tcPr>
            <w:tcW w:w="8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loss (gain) from our investments in the equity of other companies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(399)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For additional information on the components of Other expense (income), net, refer to Note 16. Other Expense (Income), Net of the Condensed Consolidated Financial Statements included in Part I, Item 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Income tax expense (benefit)</w:t>
      </w:r>
      <w:r>
        <w:rPr>
          <w:rFonts w:ascii="Arial" w:cs="Arial" w:eastAsia="Arial" w:hAnsi="Arial"/>
          <w:sz w:val="16"/>
          <w:szCs w:val="16"/>
          <w:color w:val="auto"/>
        </w:rPr>
        <w:t>. The following table displays our Income from continuing operations before income tax, Income tax expense (benefit)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Effective tax rate for the three and six months ended June 30, 2021 and 2020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48,699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46,501</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11,100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5"/>
              <w:spacing w:after="0"/>
              <w:rPr>
                <w:sz w:val="20"/>
                <w:szCs w:val="20"/>
                <w:color w:val="auto"/>
              </w:rPr>
            </w:pPr>
            <w:r>
              <w:rPr>
                <w:rFonts w:ascii="Arial" w:cs="Arial" w:eastAsia="Arial" w:hAnsi="Arial"/>
                <w:sz w:val="18"/>
                <w:szCs w:val="18"/>
                <w:color w:val="auto"/>
              </w:rPr>
              <w:t>7,642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11,824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(128,690)</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1,211.8 %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(276.7)%</w:t>
            </w:r>
          </w:p>
        </w:tc>
      </w:tr>
    </w:tbl>
    <w:p>
      <w:pPr>
        <w:spacing w:after="0" w:line="188"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The change in Income tax expense (benefit) for the three months ended June 30, 2021 compared to the prior year period primarily relates to 2021 discrete tax expense related to Canadian uncertain tax positions and changes in the geographic mix of pre-tax earnings.</w:t>
      </w:r>
    </w:p>
    <w:p>
      <w:pPr>
        <w:spacing w:after="0" w:line="6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change in Income tax expense (benefit) for the six months ended June 30, 2021 compared to the prior year period primarily relates to the 2020 discrete tax benefit for the CARES Act and changes in the geographic mix of pre-tax earnings.</w:t>
      </w:r>
    </w:p>
    <w:p>
      <w:pPr>
        <w:spacing w:after="0" w:line="62" w:lineRule="exact"/>
        <w:rPr>
          <w:sz w:val="20"/>
          <w:szCs w:val="20"/>
          <w:color w:val="auto"/>
        </w:rPr>
      </w:pPr>
    </w:p>
    <w:p>
      <w:pPr>
        <w:ind w:right="30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and certain other foreign tax jurisdictions as of June 30, 2021.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17. Income Taxes of the Condensed Consolidated Financial Statements included in Part I, Item 1.</w:t>
      </w:r>
    </w:p>
    <w:p>
      <w:pPr>
        <w:spacing w:after="0" w:line="87"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II, Item 1A of the First Quarter 2021 Form 10-Q for more information.</w:t>
      </w:r>
    </w:p>
    <w:p>
      <w:pPr>
        <w:spacing w:after="0" w:line="56"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For additional information on our income taxes, including information about the impact of the CARES Act, see Note 17. Income Taxes of the Condensed Consolidated Financial Statements included in Part I, Item 1.</w:t>
      </w:r>
    </w:p>
    <w:p>
      <w:pPr>
        <w:spacing w:after="0" w:line="62" w:lineRule="exact"/>
        <w:rPr>
          <w:sz w:val="20"/>
          <w:szCs w:val="20"/>
          <w:color w:val="auto"/>
        </w:rPr>
      </w:pPr>
    </w:p>
    <w:p>
      <w:pPr>
        <w:ind w:right="160" w:firstLine="486"/>
        <w:spacing w:after="0" w:line="295" w:lineRule="auto"/>
        <w:rPr>
          <w:sz w:val="20"/>
          <w:szCs w:val="20"/>
          <w:color w:val="auto"/>
        </w:rPr>
      </w:pPr>
      <w:r>
        <w:rPr>
          <w:rFonts w:ascii="Arial" w:cs="Arial" w:eastAsia="Arial" w:hAnsi="Arial"/>
          <w:sz w:val="16"/>
          <w:szCs w:val="16"/>
          <w:b w:val="1"/>
          <w:bCs w:val="1"/>
          <w:i w:val="1"/>
          <w:iCs w:val="1"/>
          <w:color w:val="auto"/>
        </w:rPr>
        <w:t xml:space="preserve">Discontinued operations, net of tax. </w:t>
      </w:r>
      <w:r>
        <w:rPr>
          <w:rFonts w:ascii="Arial" w:cs="Arial" w:eastAsia="Arial" w:hAnsi="Arial"/>
          <w:sz w:val="16"/>
          <w:szCs w:val="16"/>
          <w:color w:val="auto"/>
        </w:rPr>
        <w:t>The operating results of the Company’s Astora business, which the Board resolved to wind down in 2016,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as Discontinued operations, net of tax in the Condensed Consolidated Statements of Operations for all periods presented. The following table provides the operating results of Astora Discontinued operations, net of tax, for the three and six months ended June 30, 2021 and 2020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4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(12,094)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(40,024)</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(34,703)</w:t>
            </w:r>
          </w:p>
        </w:tc>
      </w:tr>
    </w:tbl>
    <w:p>
      <w:pPr>
        <w:spacing w:after="0" w:line="174"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Amounts included in the Litigation-related and other contingencies, net line of the table above are for mesh-related litigation. The remaining pre-tax amounts during the three and six months ended June 30, 2021 and 2020 were primarily related to mesh-related legal defense costs and certain other items. For additional discussion of mesh-related matters, refer to Note 13. Commitments and Contingencies of the Condensed Consolidated Financial Statements included in Part I, Item 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Refer to Note 5. Segment Results of the Condensed Consolidated Financial Statements included in Part I, Item 1 for further details regarding our reportable segments and Segment adjusted income from continuing operations before income tax (the measure we use to evaluate segment performance), as well as reconciliations of Total consolidated income from continuing operations before income tax, which is determined in accordance with U.S. GAAP, to our Total segment adjusted income from continuing operations before income tax.</w:t>
      </w:r>
    </w:p>
    <w:p>
      <w:pPr>
        <w:spacing w:after="0" w:line="79"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We refer to Segment adjusted income from continuing operations before income tax, a financial measure not defined by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Segment adjusted income from continuing operations before income tax may be useful to investors as we are aware that certain of our significant shareholders utilize Segment adjusted income from continuing operations before income tax to evaluate our financial performance. Finally, Segment adjusted income from continuing operations before income tax is utilized in the calculation of other financial measures not determined in accordance with U.S. GAAP that are used by the Compensation &amp; Human Capital Committee of the Company’s Board in assessing the performance and compensation of substantially all of our employees, including our executive officers.</w:t>
      </w:r>
    </w:p>
    <w:p>
      <w:pPr>
        <w:spacing w:after="0" w:line="7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There are limitations to using financial measures such as Segment adjusted income from continuing operations before income tax. Other companies in our industry may define Segment adjusted income from continuing operations before income tax differently than we do. As a result, it may be difficult to use Segment adjusted income from continuing operations before income tax or similarly named adjusted financial measures that other companies may use to compare the performance of those companies to our performance. Because of these limitations, Segment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in Note 5. Segment Results of the Condensed Consolidated Financial Statements included in Part I, Item 1, reconciliations of Total consolidated income from continuing operations before income tax, which is determined in accordance with U.S. GAAP, to our Total segment adjusted income from continuing operations before income tax.</w:t>
      </w:r>
    </w:p>
    <w:p>
      <w:pPr>
        <w:spacing w:after="0" w:line="73" w:lineRule="exact"/>
        <w:rPr>
          <w:sz w:val="20"/>
          <w:szCs w:val="20"/>
          <w:color w:val="auto"/>
        </w:rPr>
      </w:pPr>
    </w:p>
    <w:p>
      <w:pPr>
        <w:ind w:right="1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three and six months ended June 30, 2021 and 2020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6"/>
                <w:szCs w:val="16"/>
                <w:color w:val="auto"/>
              </w:rPr>
            </w:pPr>
          </w:p>
        </w:tc>
        <w:tc>
          <w:tcPr>
            <w:tcW w:w="24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29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 vs. 2020</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333,594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294,600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319,214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603,345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655,604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467,162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Pharmaceuticals (1)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5"/>
        </w:trPr>
        <w:tc>
          <w:tcPr>
            <w:tcW w:w="294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Total net revenues from external</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713,830</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687,588</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1,431,749</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1,507,993</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customers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80" w:firstLine="486"/>
        <w:spacing w:after="0" w:line="269"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for the three and six months ended June 30, 2021 and 2020 (dollars in thousands):</w:t>
      </w: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6"/>
                <w:szCs w:val="16"/>
                <w:color w:val="auto"/>
              </w:rPr>
            </w:pPr>
          </w:p>
        </w:tc>
        <w:tc>
          <w:tcPr>
            <w:tcW w:w="242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187"/>
        </w:trPr>
        <w:tc>
          <w:tcPr>
            <w:tcW w:w="29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 vs. 2020</w:t>
            </w:r>
          </w:p>
        </w:tc>
      </w:tr>
      <w:tr>
        <w:trPr>
          <w:trHeight w:val="211"/>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2960" w:type="dxa"/>
            <w:vAlign w:val="bottom"/>
          </w:tcPr>
          <w:p>
            <w:pPr>
              <w:ind w:left="140"/>
              <w:spacing w:after="0" w:line="230" w:lineRule="exact"/>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111,487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33,783</w:t>
            </w:r>
          </w:p>
        </w:tc>
        <w:tc>
          <w:tcPr>
            <w:tcW w:w="10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NM</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206,757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122,855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29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2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Specialty (1)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68,744</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203,041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10"/>
        </w:trPr>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Established Products: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29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960" w:type="dxa"/>
            <w:vAlign w:val="bottom"/>
          </w:tcPr>
          <w:p>
            <w:pPr>
              <w:ind w:left="140"/>
              <w:spacing w:after="0" w:line="230" w:lineRule="exact"/>
              <w:rPr>
                <w:sz w:val="20"/>
                <w:szCs w:val="20"/>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Established (2)</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Established Products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333,594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ind w:left="480" w:hanging="310"/>
        <w:spacing w:after="0" w:line="198"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Products included within Other Specialty include NASCOBAL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AVEED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QWO</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480" w:hanging="310"/>
        <w:spacing w:after="0" w:line="187"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LIDODERM</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00" w:right="60" w:hanging="330"/>
        <w:spacing w:after="0" w:line="255" w:lineRule="auto"/>
        <w:tabs>
          <w:tab w:leader="none" w:pos="49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six months ended June 30, 2021 and/or any product having revenues in excess of $25 million during any quarterly period in 2021 or 2020.</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7" w:lineRule="exact"/>
        <w:rPr>
          <w:sz w:val="20"/>
          <w:szCs w:val="20"/>
          <w:color w:val="auto"/>
        </w:rPr>
      </w:pPr>
    </w:p>
    <w:p>
      <w:pPr>
        <w:ind w:right="220" w:firstLine="486"/>
        <w:spacing w:after="0" w:line="254" w:lineRule="auto"/>
        <w:rPr>
          <w:sz w:val="20"/>
          <w:szCs w:val="20"/>
          <w:color w:val="auto"/>
        </w:rPr>
      </w:pPr>
      <w:r>
        <w:rPr>
          <w:rFonts w:ascii="Arial" w:cs="Arial" w:eastAsia="Arial" w:hAnsi="Arial"/>
          <w:sz w:val="17"/>
          <w:szCs w:val="17"/>
          <w:color w:val="auto"/>
        </w:rPr>
        <w:t>As discussed above, beginning during the last two weeks of the first quarter of 2020 and continuing into the second quarter of 2020, certain of our products that are physician administered, including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began experiencing significantly decreased sales volumes due to reduced physician office activity and patient office visits compared to the prior year because of the COVID-19 pandemic. Since then, sales volumes for these products have been recovering as physician office activity and patient office visits have increased.</w:t>
      </w:r>
    </w:p>
    <w:p>
      <w:pPr>
        <w:spacing w:after="0" w:line="78" w:lineRule="exact"/>
        <w:rPr>
          <w:sz w:val="20"/>
          <w:szCs w:val="20"/>
          <w:color w:val="auto"/>
        </w:rPr>
      </w:pPr>
    </w:p>
    <w:p>
      <w:pPr>
        <w:ind w:right="360" w:firstLine="486"/>
        <w:spacing w:after="0" w:line="229" w:lineRule="auto"/>
        <w:rPr>
          <w:sz w:val="20"/>
          <w:szCs w:val="20"/>
          <w:color w:val="auto"/>
        </w:rPr>
      </w:pPr>
      <w:r>
        <w:rPr>
          <w:rFonts w:ascii="Arial" w:cs="Arial" w:eastAsia="Arial" w:hAnsi="Arial"/>
          <w:sz w:val="18"/>
          <w:szCs w:val="18"/>
          <w:color w:val="auto"/>
        </w:rPr>
        <w:t>The increases in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six months ended June 30, 2021 were primarily attributable to increased demand-related volumes, including as a result of the recovery noted above, as well as increased price.</w:t>
      </w:r>
    </w:p>
    <w:p>
      <w:pPr>
        <w:spacing w:after="0" w:line="90" w:lineRule="exact"/>
        <w:rPr>
          <w:sz w:val="20"/>
          <w:szCs w:val="20"/>
          <w:color w:val="auto"/>
        </w:rPr>
      </w:pPr>
    </w:p>
    <w:p>
      <w:pPr>
        <w:ind w:right="340" w:firstLine="486"/>
        <w:spacing w:after="0" w:line="229" w:lineRule="auto"/>
        <w:rPr>
          <w:sz w:val="20"/>
          <w:szCs w:val="20"/>
          <w:color w:val="auto"/>
        </w:rPr>
      </w:pPr>
      <w:r>
        <w:rPr>
          <w:rFonts w:ascii="Arial" w:cs="Arial" w:eastAsia="Arial" w:hAnsi="Arial"/>
          <w:sz w:val="18"/>
          <w:szCs w:val="18"/>
          <w:color w:val="auto"/>
        </w:rPr>
        <w:t>The increases in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revenues for the three and six months ended June 30, 2021 were primarily attributable to increased volumes, including as a result of the recovery noted above.</w:t>
      </w:r>
    </w:p>
    <w:p>
      <w:pPr>
        <w:spacing w:after="0" w:line="90" w:lineRule="exact"/>
        <w:rPr>
          <w:sz w:val="20"/>
          <w:szCs w:val="20"/>
          <w:color w:val="auto"/>
        </w:rPr>
      </w:pPr>
    </w:p>
    <w:p>
      <w:pPr>
        <w:jc w:val="both"/>
        <w:ind w:right="180" w:firstLine="486"/>
        <w:spacing w:after="0" w:line="236" w:lineRule="auto"/>
        <w:rPr>
          <w:sz w:val="20"/>
          <w:szCs w:val="20"/>
          <w:color w:val="auto"/>
        </w:rPr>
      </w:pPr>
      <w:r>
        <w:rPr>
          <w:rFonts w:ascii="Arial" w:cs="Arial" w:eastAsia="Arial" w:hAnsi="Arial"/>
          <w:sz w:val="18"/>
          <w:szCs w:val="18"/>
          <w:color w:val="auto"/>
        </w:rPr>
        <w:t>In March 2021, we launched QWO</w:t>
      </w:r>
      <w:r>
        <w:rPr>
          <w:rFonts w:ascii="Arial" w:cs="Arial" w:eastAsia="Arial" w:hAnsi="Arial"/>
          <w:sz w:val="23"/>
          <w:szCs w:val="23"/>
          <w:color w:val="auto"/>
          <w:vertAlign w:val="superscript"/>
        </w:rPr>
        <w:t>®</w:t>
      </w:r>
      <w:r>
        <w:rPr>
          <w:rFonts w:ascii="Arial" w:cs="Arial" w:eastAsia="Arial" w:hAnsi="Arial"/>
          <w:sz w:val="18"/>
          <w:szCs w:val="18"/>
          <w:color w:val="auto"/>
        </w:rPr>
        <w:t>, which contributed to the overall increases in Other Specialty Products revenues for the three and six months ended June 30, 2021. The changes in Other Specialty Products revenues for the three and six months ended June 30, 2021 were also impacted by changes in price and volume for multiple products in this portfolio.</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2" w:lineRule="exact"/>
        <w:rPr>
          <w:sz w:val="20"/>
          <w:szCs w:val="20"/>
          <w:color w:val="auto"/>
        </w:rPr>
      </w:pPr>
    </w:p>
    <w:p>
      <w:pPr>
        <w:ind w:right="60" w:firstLine="486"/>
        <w:spacing w:after="0" w:line="229" w:lineRule="auto"/>
        <w:rPr>
          <w:sz w:val="20"/>
          <w:szCs w:val="20"/>
          <w:color w:val="auto"/>
        </w:rPr>
      </w:pPr>
      <w:r>
        <w:rPr>
          <w:rFonts w:ascii="Arial" w:cs="Arial" w:eastAsia="Arial" w:hAnsi="Arial"/>
          <w:sz w:val="18"/>
          <w:szCs w:val="18"/>
          <w:color w:val="auto"/>
        </w:rPr>
        <w:t>The decreases in PERCOCET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six months ended June 30, 2021 were primarily attributable to volume decreases, partially offset by price increases.</w:t>
      </w:r>
    </w:p>
    <w:p>
      <w:pPr>
        <w:spacing w:after="0" w:line="90" w:lineRule="exact"/>
        <w:rPr>
          <w:sz w:val="20"/>
          <w:szCs w:val="20"/>
          <w:color w:val="auto"/>
        </w:rPr>
      </w:pPr>
    </w:p>
    <w:p>
      <w:pPr>
        <w:ind w:right="700" w:firstLine="486"/>
        <w:spacing w:after="0" w:line="229" w:lineRule="auto"/>
        <w:rPr>
          <w:sz w:val="20"/>
          <w:szCs w:val="20"/>
          <w:color w:val="auto"/>
        </w:rPr>
      </w:pPr>
      <w:r>
        <w:rPr>
          <w:rFonts w:ascii="Arial" w:cs="Arial" w:eastAsia="Arial" w:hAnsi="Arial"/>
          <w:sz w:val="18"/>
          <w:szCs w:val="18"/>
          <w:color w:val="auto"/>
        </w:rPr>
        <w:t>The increases in TESTOPEL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six months ended June 30, 2021 were primarily attributable to a temporary supply disruption in the first half of 2020, which was subsequently resolved in the third quarter of 2020.</w:t>
      </w:r>
    </w:p>
    <w:p>
      <w:pPr>
        <w:spacing w:after="0" w:line="95" w:lineRule="exact"/>
        <w:rPr>
          <w:sz w:val="20"/>
          <w:szCs w:val="20"/>
          <w:color w:val="auto"/>
        </w:rPr>
      </w:pPr>
    </w:p>
    <w:p>
      <w:pPr>
        <w:ind w:right="720" w:firstLine="486"/>
        <w:spacing w:after="0" w:line="308" w:lineRule="auto"/>
        <w:rPr>
          <w:sz w:val="20"/>
          <w:szCs w:val="20"/>
          <w:color w:val="auto"/>
        </w:rPr>
      </w:pPr>
      <w:r>
        <w:rPr>
          <w:rFonts w:ascii="Arial" w:cs="Arial" w:eastAsia="Arial" w:hAnsi="Arial"/>
          <w:sz w:val="17"/>
          <w:szCs w:val="17"/>
          <w:color w:val="auto"/>
        </w:rPr>
        <w:t>The decreases in Other Established Products revenues for the three and six months ended June 30, 2021 were primarily attributable to price decreases as a result of ongoing competitive pressures and certain other factors, partially offset by net volume increases.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69"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2021 and 2020 (dollars in thousands):</w:t>
      </w: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6"/>
                <w:szCs w:val="16"/>
                <w:color w:val="auto"/>
              </w:rPr>
            </w:pPr>
          </w:p>
        </w:tc>
        <w:tc>
          <w:tcPr>
            <w:tcW w:w="242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187"/>
        </w:trPr>
        <w:tc>
          <w:tcPr>
            <w:tcW w:w="29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 vs. 2020</w:t>
            </w:r>
          </w:p>
        </w:tc>
      </w:tr>
      <w:tr>
        <w:trPr>
          <w:trHeight w:val="224"/>
        </w:trPr>
        <w:tc>
          <w:tcPr>
            <w:tcW w:w="29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417,118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2960" w:type="dxa"/>
            <w:vAlign w:val="bottom"/>
          </w:tcPr>
          <w:p>
            <w:pPr>
              <w:ind w:left="2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33,161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89,673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2960" w:type="dxa"/>
            <w:vAlign w:val="bottom"/>
          </w:tcPr>
          <w:p>
            <w:pPr>
              <w:ind w:left="140"/>
              <w:spacing w:after="0"/>
              <w:rPr>
                <w:sz w:val="20"/>
                <w:szCs w:val="20"/>
                <w:color w:val="auto"/>
              </w:rPr>
            </w:pPr>
            <w:r>
              <w:rPr>
                <w:rFonts w:ascii="Arial" w:cs="Arial" w:eastAsia="Arial" w:hAnsi="Arial"/>
                <w:sz w:val="18"/>
                <w:szCs w:val="18"/>
                <w:color w:val="auto"/>
              </w:rPr>
              <w:t>Total Sterile Injectables (2)</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603,345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480" w:hanging="310"/>
        <w:spacing w:after="0" w:line="202" w:lineRule="auto"/>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ertapenem for injection, APLISOL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others.</w:t>
      </w:r>
    </w:p>
    <w:p>
      <w:pPr>
        <w:ind w:left="500" w:right="220" w:hanging="330"/>
        <w:spacing w:after="0" w:line="255" w:lineRule="auto"/>
        <w:tabs>
          <w:tab w:leader="none" w:pos="49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either the three or six months ended June 30, 2021 and/or any product having revenues in excess of $25 million during any quarterly period in 2021 or 2020.</w:t>
      </w:r>
    </w:p>
    <w:p>
      <w:pPr>
        <w:spacing w:after="0" w:line="77" w:lineRule="exact"/>
        <w:rPr>
          <w:sz w:val="20"/>
          <w:szCs w:val="20"/>
          <w:color w:val="auto"/>
        </w:rPr>
      </w:pPr>
    </w:p>
    <w:p>
      <w:pPr>
        <w:ind w:right="280" w:firstLine="486"/>
        <w:spacing w:after="0" w:line="256" w:lineRule="auto"/>
        <w:rPr>
          <w:sz w:val="20"/>
          <w:szCs w:val="20"/>
          <w:color w:val="auto"/>
        </w:rPr>
      </w:pPr>
      <w:r>
        <w:rPr>
          <w:rFonts w:ascii="Arial" w:cs="Arial" w:eastAsia="Arial" w:hAnsi="Arial"/>
          <w:sz w:val="16"/>
          <w:szCs w:val="16"/>
          <w:color w:val="auto"/>
        </w:rPr>
        <w:t>The decrease in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three months ended June 30, 2021 was primarily the result of decreased volumes, which have begun to normalize toward pre-COVID-19 levels, partially offset by increased price. The increase in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six months ended June 30, 2021 was primarily attributable to increased price, partially offset by decreased volumes. As further discussed above,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has continued to experience increased sales volumes during the COVID-19 pandemic as compared to pre-COVID-19 levels; however, during the second quarter of 2021, sales volumes began to decline again toward more normal pre-COVID-19 levels. We currently expect sales volumes to continue to decrease toward pre-COVID-19 levels in the second half of 2021 to the extent hospitalizations related to COVID-19 continue to decline.</w:t>
      </w:r>
    </w:p>
    <w:p>
      <w:pPr>
        <w:spacing w:after="0" w:line="79" w:lineRule="exact"/>
        <w:rPr>
          <w:sz w:val="20"/>
          <w:szCs w:val="20"/>
          <w:color w:val="auto"/>
        </w:rPr>
      </w:pPr>
    </w:p>
    <w:p>
      <w:pPr>
        <w:ind w:right="60" w:firstLine="486"/>
        <w:spacing w:after="0" w:line="213" w:lineRule="auto"/>
        <w:rPr>
          <w:sz w:val="20"/>
          <w:szCs w:val="20"/>
          <w:color w:val="auto"/>
        </w:rPr>
      </w:pPr>
      <w:r>
        <w:rPr>
          <w:rFonts w:ascii="Arial" w:cs="Arial" w:eastAsia="Arial" w:hAnsi="Arial"/>
          <w:sz w:val="18"/>
          <w:szCs w:val="18"/>
          <w:color w:val="auto"/>
        </w:rPr>
        <w:t>As of June 30, 2021, we have 14 patents covering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listed in the Orange Book, including with respect to presentations that have not yet been commercialized, and additional patents pending with the PTO. The FDA requires any applicant seeking FDA approval for vasopressin prior to patent expiry and relying on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the reference-listed drug to notify us of its filing before the FDA will issue an approval. As further discussed in Note 13. Commitments and Contingencies of the Condensed Consolidated Financial Statements included in Part I, Item 1 under the heading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Matters,” we have received notice letters from certain other pharmaceutical companies advising of the filing by such companies of ANDAs for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We have taken and plan to continue to take actions in our best interest to protect our rights with respect to VASOSTRICT</w:t>
      </w:r>
      <w:r>
        <w:rPr>
          <w:rFonts w:ascii="Arial" w:cs="Arial" w:eastAsia="Arial" w:hAnsi="Arial"/>
          <w:sz w:val="23"/>
          <w:szCs w:val="23"/>
          <w:color w:val="auto"/>
          <w:vertAlign w:val="superscript"/>
        </w:rPr>
        <w:t>®</w:t>
      </w:r>
      <w:r>
        <w:rPr>
          <w:rFonts w:ascii="Arial" w:cs="Arial" w:eastAsia="Arial" w:hAnsi="Arial"/>
          <w:sz w:val="18"/>
          <w:szCs w:val="18"/>
          <w:color w:val="auto"/>
        </w:rPr>
        <w:t>. The introduction of any competing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could result in significant reductions to our market share, revenues and cash flows, both in the short term and long term, and could have a material adverse effect on our business, financial condition, results of operations and cash flows.</w:t>
      </w:r>
    </w:p>
    <w:p>
      <w:pPr>
        <w:spacing w:after="0" w:line="93" w:lineRule="exact"/>
        <w:rPr>
          <w:sz w:val="20"/>
          <w:szCs w:val="20"/>
          <w:color w:val="auto"/>
        </w:rPr>
      </w:pPr>
    </w:p>
    <w:p>
      <w:pPr>
        <w:jc w:val="both"/>
        <w:ind w:right="40" w:firstLine="486"/>
        <w:spacing w:after="0" w:line="217" w:lineRule="auto"/>
        <w:rPr>
          <w:sz w:val="20"/>
          <w:szCs w:val="20"/>
          <w:color w:val="auto"/>
        </w:rPr>
      </w:pPr>
      <w:r>
        <w:rPr>
          <w:rFonts w:ascii="Arial" w:cs="Arial" w:eastAsia="Arial" w:hAnsi="Arial"/>
          <w:sz w:val="18"/>
          <w:szCs w:val="18"/>
          <w:color w:val="auto"/>
        </w:rPr>
        <w:t>The decreases in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six months ended June 30, 2021 were primarily attributable to the impact of competitive entrants. The introduction of one or more additional competing versions of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could result in further reductions to our market share and could have a material adverse effect on our business, financial condition, results of operations and cash flows.</w:t>
      </w:r>
    </w:p>
    <w:p>
      <w:pPr>
        <w:spacing w:after="0" w:line="96"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decreases in Other Sterile Injectables revenues for the three and six months ended June 30, 2021 were primarily attributable to competitive pressures across multiple products within the product portfolio.</w:t>
      </w:r>
    </w:p>
    <w:p>
      <w:pPr>
        <w:spacing w:after="0" w:line="62"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i w:val="1"/>
          <w:iCs w:val="1"/>
          <w:color w:val="auto"/>
        </w:rPr>
        <w:t xml:space="preserve">Generic Pharmaceuticals. </w:t>
      </w:r>
      <w:r>
        <w:rPr>
          <w:rFonts w:ascii="Arial" w:cs="Arial" w:eastAsia="Arial" w:hAnsi="Arial"/>
          <w:sz w:val="16"/>
          <w:szCs w:val="16"/>
          <w:color w:val="auto"/>
        </w:rPr>
        <w:t>The decreases in Generic Pharmaceuticals revenues for the three and six months ended June 30, 2021 were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competitive pressures on certain generic products, partially offset by increased revenues from certain recent product launches.</w:t>
      </w:r>
    </w:p>
    <w:p>
      <w:pPr>
        <w:spacing w:after="0" w:line="16"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i w:val="1"/>
          <w:iCs w:val="1"/>
          <w:color w:val="auto"/>
        </w:rPr>
        <w:t>International Pharmaceuticals</w:t>
      </w:r>
      <w:r>
        <w:rPr>
          <w:rFonts w:ascii="Arial" w:cs="Arial" w:eastAsia="Arial" w:hAnsi="Arial"/>
          <w:sz w:val="17"/>
          <w:szCs w:val="17"/>
          <w:color w:val="auto"/>
        </w:rPr>
        <w:t>. The decrease in International Pharmaceuticals revenues for the six months ended June 30, 2021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competitive pressures in certain international markets and the impact of certain product discontinuation activities.</w:t>
      </w:r>
    </w:p>
    <w:p>
      <w:pPr>
        <w:spacing w:after="0" w:line="38" w:lineRule="exact"/>
        <w:rPr>
          <w:sz w:val="20"/>
          <w:szCs w:val="20"/>
          <w:color w:val="auto"/>
        </w:rPr>
      </w:pPr>
    </w:p>
    <w:p>
      <w:pPr>
        <w:jc w:val="both"/>
        <w:ind w:right="680" w:firstLine="486"/>
        <w:spacing w:after="0" w:line="322" w:lineRule="auto"/>
        <w:rPr>
          <w:sz w:val="20"/>
          <w:szCs w:val="20"/>
          <w:color w:val="auto"/>
        </w:rPr>
      </w:pPr>
      <w:r>
        <w:rPr>
          <w:rFonts w:ascii="Arial" w:cs="Arial" w:eastAsia="Arial" w:hAnsi="Arial"/>
          <w:sz w:val="15"/>
          <w:szCs w:val="15"/>
          <w:b w:val="1"/>
          <w:bCs w:val="1"/>
          <w:i w:val="1"/>
          <w:iCs w:val="1"/>
          <w:color w:val="auto"/>
        </w:rPr>
        <w:t xml:space="preserve">Segment adjusted income from continuing operations before income tax. </w:t>
      </w:r>
      <w:r>
        <w:rPr>
          <w:rFonts w:ascii="Arial" w:cs="Arial" w:eastAsia="Arial" w:hAnsi="Arial"/>
          <w:sz w:val="15"/>
          <w:szCs w:val="15"/>
          <w:color w:val="auto"/>
        </w:rPr>
        <w:t>The following table displays our Segment adjusted income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continuing operations before income tax by reportable segment for the three and six months ended June 30, 2021 and 2020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6"/>
                <w:szCs w:val="16"/>
                <w:color w:val="auto"/>
              </w:rPr>
            </w:pPr>
          </w:p>
        </w:tc>
        <w:tc>
          <w:tcPr>
            <w:tcW w:w="252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187"/>
        </w:trPr>
        <w:tc>
          <w:tcPr>
            <w:tcW w:w="29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 vs.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 vs. 2020</w:t>
            </w:r>
          </w:p>
        </w:tc>
      </w:tr>
      <w:tr>
        <w:trPr>
          <w:trHeight w:val="224"/>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226,983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241,753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469,622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505,649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9,304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17,573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23,501</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42" w:lineRule="auto"/>
        <w:rPr>
          <w:sz w:val="20"/>
          <w:szCs w:val="20"/>
          <w:color w:val="auto"/>
        </w:rPr>
      </w:pPr>
      <w:r>
        <w:rPr>
          <w:rFonts w:ascii="Arial" w:cs="Arial" w:eastAsia="Arial" w:hAnsi="Arial"/>
          <w:sz w:val="18"/>
          <w:szCs w:val="18"/>
          <w:i w:val="1"/>
          <w:iCs w:val="1"/>
          <w:color w:val="auto"/>
        </w:rPr>
        <w:t xml:space="preserve">Branded Pharmaceuticals. </w:t>
      </w:r>
      <w:r>
        <w:rPr>
          <w:rFonts w:ascii="Arial" w:cs="Arial" w:eastAsia="Arial" w:hAnsi="Arial"/>
          <w:sz w:val="18"/>
          <w:szCs w:val="18"/>
          <w:color w:val="auto"/>
        </w:rPr>
        <w:t>The increases in Segment adjusted income from continuing operations before income tax for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were primarily attributable to the gross margin effects of increased revenues, as further described above, the reduction to royalty payments relating to the BioSpecifics acquisition and favorable changes in product mix, partially offset by increased costs associated with our commercial launch of QWO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investment and promotional efforts behind XIAFLEX</w:t>
      </w:r>
      <w:r>
        <w:rPr>
          <w:rFonts w:ascii="Arial" w:cs="Arial" w:eastAsia="Arial" w:hAnsi="Arial"/>
          <w:sz w:val="23"/>
          <w:szCs w:val="23"/>
          <w:color w:val="auto"/>
          <w:vertAlign w:val="superscript"/>
        </w:rPr>
        <w:t>®</w:t>
      </w:r>
      <w:r>
        <w:rPr>
          <w:rFonts w:ascii="Arial" w:cs="Arial" w:eastAsia="Arial" w:hAnsi="Arial"/>
          <w:sz w:val="18"/>
          <w:szCs w:val="18"/>
          <w:color w:val="auto"/>
        </w:rPr>
        <w:t>. When compared to 2020, we expect this segment’s Segment adjusted income from continuing operations before income tax for the full year 2021 to reflect increased gross margins and increased operating expenses, primarily as a result of the factors described above.</w:t>
      </w:r>
    </w:p>
    <w:p>
      <w:pPr>
        <w:spacing w:after="0" w:line="9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Sterile Injectables</w:t>
      </w:r>
      <w:r>
        <w:rPr>
          <w:rFonts w:ascii="Arial" w:cs="Arial" w:eastAsia="Arial" w:hAnsi="Arial"/>
          <w:sz w:val="18"/>
          <w:szCs w:val="18"/>
          <w:color w:val="auto"/>
        </w:rPr>
        <w:t>. The decreases in Segment adjusted income from continuing operations before income tax for the three and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were primarily attributable to the gross margin effect of the decreased revenues further described above.</w:t>
      </w:r>
    </w:p>
    <w:p>
      <w:pPr>
        <w:spacing w:after="0" w:line="62"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i w:val="1"/>
          <w:iCs w:val="1"/>
          <w:color w:val="auto"/>
        </w:rPr>
        <w:t xml:space="preserve">Generic Pharmaceuticals. </w:t>
      </w:r>
      <w:r>
        <w:rPr>
          <w:rFonts w:ascii="Arial" w:cs="Arial" w:eastAsia="Arial" w:hAnsi="Arial"/>
          <w:sz w:val="17"/>
          <w:szCs w:val="17"/>
          <w:color w:val="auto"/>
        </w:rPr>
        <w:t>The decreases in Segment adjusted income from continuing operations before income tax for the three and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were primarily attributable to the gross margin effects of the decreased revenues further described above.</w:t>
      </w:r>
    </w:p>
    <w:p>
      <w:pPr>
        <w:spacing w:after="0" w:line="3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i w:val="1"/>
          <w:iCs w:val="1"/>
          <w:color w:val="auto"/>
        </w:rPr>
        <w:t xml:space="preserve">International Pharmaceuticals. </w:t>
      </w:r>
      <w:r>
        <w:rPr>
          <w:rFonts w:ascii="Arial" w:cs="Arial" w:eastAsia="Arial" w:hAnsi="Arial"/>
          <w:sz w:val="18"/>
          <w:szCs w:val="18"/>
          <w:color w:val="auto"/>
        </w:rPr>
        <w:t>The decrease in Segment adjusted income from continuing operations before income tax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was primarily attributable to the gross margin effects of the decreased revenues further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Our principal source of liquidity is cash generated from operations. Our principal liquidity requirements are primarily for working capital for operations, licenses, milestone payments, capital expenditures, mergers and acquisitions (such as the recent acquisition of BioSpecifics), contingent liabilities, debt service payments, income taxes and litigation-related matters, including in connection with vaginal mesh matters and other matters. The Company’s working capital was $1,160.1 million at June 30, 2021 compared to working capital of $1,159.4 million at December 31, 2020. The amounts at June 30, 2021 and December 31, 2020 include restricted cash and cash equivalents of $102.8 million and $127.0 million, respectively, held in QSFs for mesh-related matters. Although these amounts in QSFs are included in working capital, they are required to be used for mesh product liability settlement agreements.</w:t>
      </w:r>
    </w:p>
    <w:p>
      <w:pPr>
        <w:spacing w:after="0" w:line="87"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Cash and cash equivalents, which primarily consisted of bank deposits and money market accounts, totaled $1,545.2 million at June 30, 2021 compared to $1,213.4 million at December 31, 2020. While we currently expect our operating cash flows, together with our cash, cash equivalents, restricted cash and restricted cash equivalents, to be sufficient to cover our principal liquidity requirements over the next year, the extent to which COVID-19 could impact our business, financial condition, results of operations and cash flows in the short- and medium-term cannot be predicted with certainty, but such impact could be material. To the extent COVID-19 has resulted in any increase to our Cash and cash equivalents, including as a result of any increase in revenues as described above, such increase could be temporary. Additionally,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 and require us to seek additional sources of liquidity and capital resources as described below.</w:t>
      </w:r>
    </w:p>
    <w:p>
      <w:pPr>
        <w:spacing w:after="0" w:line="63"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may also, from time to time, seek to enter into certain transactions to reduce our leverage and/or interest expense and/or to extend the maturities of our outstanding indebtedness or obtain greater covenant flexibility.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including requiring us to take charges. Further, the terms of any such transactions, including the amount of any exchange consideration and terms of any refinanced debt, could also be less favorable than we have been able to obtain in the past.</w:t>
      </w:r>
    </w:p>
    <w:p>
      <w:pPr>
        <w:spacing w:after="0" w:line="87"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6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The Company and certain of its subsidiaries are party to the Credit Agreement governing the Credit Facilities and the indentures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our various senior secured and senior unsecured notes. As of June 30, 2021, approximately $2.0 billion was outstanding under the Term Loan Facility, approximately $0.3 billion was outstanding under the Revolving Credit Facility and approximately $6.1 billion was outstanding under the senior secured and senior unsecured notes.</w:t>
      </w:r>
    </w:p>
    <w:p>
      <w:pPr>
        <w:spacing w:after="0" w:line="79"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After giving effect to previous borrowings and issued and outstanding letters of credit, approximately $0.7 billion of remaining credit was available under the Revolving Credit Facility at June 30, 2021. The Company’s outstanding debt agreements contain a number of restrictive covenants, including certain limitations on the Company’s ability to incur additional indebtedness.</w:t>
      </w:r>
    </w:p>
    <w:p>
      <w:pPr>
        <w:spacing w:after="0" w:line="76"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Credit Agreement and the indentures governing our various senior secured notes and the 6.00% Senior Notes due 2028 contain certain covenants. As of June 30, 2021 and December 31, 2020, the Company was in compliance with all such covenants. We have eliminated substantially all of the restrictive covenants and certain events of default in the indentures governing our senior unsecured notes, except for those in the indenture governing the 6.00% Senior Notes due 2028.</w:t>
      </w:r>
    </w:p>
    <w:p>
      <w:pPr>
        <w:spacing w:after="0" w:line="79"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Refer to Note 12. Debt of the Condensed Consolidated Financial Statements included in Part I, Item 1 of this report and Note 15. Debt in the Consolidated Financial Statements included in Part IV, Item 15 of the Annual Report for additional information about our indebtedness, including our debt refinancing transactions and information about covenants, maturities, interest rates, security and priority.</w:t>
      </w:r>
    </w:p>
    <w:p>
      <w:pPr>
        <w:spacing w:after="0" w:line="7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B3 with a stable outlook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 with a negative outlook, respectively. No report of any rating agency is being incorporated by reference herein.</w:t>
      </w:r>
    </w:p>
    <w:p>
      <w:pPr>
        <w:spacing w:after="0" w:line="62" w:lineRule="exact"/>
        <w:rPr>
          <w:sz w:val="20"/>
          <w:szCs w:val="20"/>
          <w:color w:val="auto"/>
        </w:rPr>
      </w:pPr>
    </w:p>
    <w:p>
      <w:pPr>
        <w:ind w:right="8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June 30, 2021 and December 31, 2020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2,569,329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2,413,258</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total current liabilities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1,409,212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1,253,824</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1,159,434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Net working capital increased by $0.7 million from December 31, 2020 to June 30, 2021. This increase was primarily driven by the favorable impact to net current assets resulting from operations during the six months ended June 30, 2021, partially offset by the following activity during the six months ended June 30, 2021: (i) an increase in the Current portion of long-term debt of $189.0 million relating to debt expected to be paid within the next twelve months; (ii) the incurrence of costs and fees related to the March 2021 Refinancing Transactions, which are further described in Note 12. Debt of the Condensed Consolidated Financial Statements included in Part I, Item 1 of this report; and (iii) Capital expenditures, excluding capitalized interest, of $41.3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firstLine="486"/>
        <w:spacing w:after="0" w:line="269" w:lineRule="auto"/>
        <w:rPr>
          <w:sz w:val="20"/>
          <w:szCs w:val="20"/>
          <w:color w:val="auto"/>
        </w:rPr>
      </w:pPr>
      <w:r>
        <w:rPr>
          <w:rFonts w:ascii="Arial" w:cs="Arial" w:eastAsia="Arial" w:hAnsi="Arial"/>
          <w:sz w:val="18"/>
          <w:szCs w:val="18"/>
          <w:color w:val="auto"/>
        </w:rPr>
        <w:t>The following table summarizes our Condensed Consolidated Statements of Cash Flows for the six months ended June 30, 2021 and 2020 (in thousands):</w:t>
      </w: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11"/>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398,816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366,888</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(31,413)</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(75,731)</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increase in cash, cash equivalents, restricted cash and restricted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288,730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258,829</w:t>
            </w: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income taxes and certain other items.</w:t>
      </w:r>
    </w:p>
    <w:p>
      <w:pPr>
        <w:spacing w:after="0" w:line="8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$31.9 million increase in Net cash provided by operating activities during the six months ended June 30, 2021 compared to the prior year period was primarily due to our results of operations as described above and the timing of cash collections and cash payments related to our operations, including a decrease of approximately $51.0 million in cash outflows for certain mesh-related matters and a decrease of approximately $60.5 million in cash outflows for interest payments as a result of the timing and amounts of interest payments related to our indebtedness. We currently expect to fund all of the remaining payments under all previously executed settlement agreements during 2021, which could result in reductions to our operating cash flows. For additional information about mesh-related matters, refer to Note 13. Commitments and Contingencies of the Condensed Consolidated Financial Statements included in Part I, Item 1.</w:t>
      </w:r>
    </w:p>
    <w:p>
      <w:pPr>
        <w:spacing w:after="0" w:line="87"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$13.6 million increase in Net cash used in investing activities during the six months ended June 30, 2021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year period was partially attributable to a decrease in Proceeds from sale of business and other assets, net of $4.7 million, an increase in Capital expenditures, excluding capitalized interest of $5.0 million, an increase in Product acquisition costs and license fees of $2.5 million and certain other items.</w:t>
      </w:r>
    </w:p>
    <w:p>
      <w:pPr>
        <w:spacing w:after="0" w:line="4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the six months ended June 30, 2021, Net cash used in financing activities primarily related to the March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Transactions, including the payment of approximately $42.6 million of associated costs and fees. The remaining amount primarily related to Payments of tax withholding for restricted shares of $14.1 million and Repayments of term loans subsequent to the March 2021 Refinancing Transactions of $5.0 million.</w:t>
      </w:r>
    </w:p>
    <w:p>
      <w:pPr>
        <w:spacing w:after="0" w:line="79"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During the six months ended June 30, 2020, Net cash used in financing activities related primarily to Repayments of notes of $47.2 million associated with the June 2020 Refinancing Transactions, Repayments of term loans of $17.1 million and Payments of tax withholding for restricted shares of $6.9 million.</w:t>
      </w:r>
    </w:p>
    <w:p>
      <w:pPr>
        <w:spacing w:after="0" w:line="76"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As of June 30, 2021, there were no material changes in our contractual obligations from those disclosed in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except for those related to the financing transactions described in Note 12. Debt of the Condensed Consolidated Financial Statements included in Part I, Item 1.</w:t>
      </w:r>
    </w:p>
    <w:p>
      <w:pPr>
        <w:spacing w:after="0" w:line="76"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b w:val="1"/>
          <w:bCs w:val="1"/>
          <w:i w:val="1"/>
          <w:iCs w:val="1"/>
          <w:color w:val="auto"/>
        </w:rPr>
        <w:t xml:space="preserve">Fluctuations. </w:t>
      </w:r>
      <w:r>
        <w:rPr>
          <w:rFonts w:ascii="Arial" w:cs="Arial" w:eastAsia="Arial" w:hAnsi="Arial"/>
          <w:sz w:val="17"/>
          <w:szCs w:val="17"/>
          <w:color w:val="auto"/>
        </w:rPr>
        <w:t>As further discussed above, our quarterly results have fluctuated in the past and may continue to fluctuate. Additionally, a substantial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Significant changes to our critical accounting estimates since December 31, 2020 are detailed below. For additional discussion of the Company’s critical accounting estimates, see “Critical Accounting Estimates” in Item 7 of the Annual Report.</w:t>
      </w:r>
    </w:p>
    <w:p>
      <w:pPr>
        <w:spacing w:after="0" w:line="62"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which could result in the fair value of a reporting unit being less than its carrying amount in an impairment test.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3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As further discussed in Note 19. Subsequent Events of the Condensed Consolidated Financial Statements included in Part I, Item 1, on August 4, 2021, the Company entered into definitive agreements to sell certain assets related to Endo’s retail generics business and, as a result, the Company expects to record a pre-tax non-cash loss during the third quarter of 2021 in the range of approximately $35 million to $45 million, approximating the difference between the total consideration and the estimated carrying amount of the disposed net assets at the sale closures. These preliminary estimated amounts are expected to be primarily attributable to our Generic Pharmaceuticals segment.</w:t>
      </w:r>
    </w:p>
    <w:p>
      <w:pPr>
        <w:spacing w:after="0" w:line="80"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Additionally, as further discussed above under the heading “RESULTS OF OPERATIONS,” our Generic Pharmaceuticals segment and certain of the products in our Sterile Injectables segment are subject to risks and uncertainties related to future competition, including the potential introduction of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If actual results for these segments differ from our expectations, as a result of competition or otherwise, and/or if we make changes to our assumptions for these segments relating to competition or any other risks or uncertainties, the estimated future revenues and cash flows could be significantly reduced, which could ultimately result in asset impairment charges that may be material, which could relate to, among other things, our Sterile Injectables segment’s goodwill balance of approximately $2.7 billion and/or our Sterile Injectables segment’s and/or our Generic Pharmaceuticals segment’s long-lived and other assets.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Refer to Note 2. Summary of Significant Accounting Policies of the Condensed Consolidated Financial Statements included in Part I, Item 1, as applicable.</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Our exposure to interest rate risk relates primarily to our variable-rate indebtedness associated with our Credit Facilities. At June 30, 2021 and December 31, 2020, the aggregate principal amounts of such variable-rate indebtedness were $2,295.0 million and $3,595.5 million, respectively. Borrowings under the Credit Facilities may from time to time bear interest at variable rates, in certain cases subject to a floor. At June 30, 2021 and December 31, 2020, a hypothetical 1% increase in the applicable rate over the floor would have resulted in $23.0 million and $36.0 million, respectively, of incremental interest expense (representing the annual rate of expense) related to our variable-rate debt borrowings.</w:t>
      </w:r>
    </w:p>
    <w:p>
      <w:pPr>
        <w:spacing w:after="0" w:line="68"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2021 and December 31, 2020, we had no other assets or liabilities with significant interest rate sensitivity.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40" w:firstLine="486"/>
        <w:spacing w:after="0" w:line="291" w:lineRule="auto"/>
        <w:rPr>
          <w:sz w:val="20"/>
          <w:szCs w:val="20"/>
          <w:color w:val="auto"/>
        </w:rPr>
      </w:pPr>
      <w:r>
        <w:rPr>
          <w:rFonts w:ascii="Arial" w:cs="Arial" w:eastAsia="Arial" w:hAnsi="Arial"/>
          <w:sz w:val="16"/>
          <w:szCs w:val="16"/>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5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expense (income), net in the Condensed Consolidated Statements of Operations. Refer to Note 16. Other Expense (Income), Net of the Condensed Consolidated Financial Statements included in Part I, Item 1 for the amounts of Foreign currency loss (gain), net.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Based on the Company’s significant foreign currency denominated intercompany loans, we separately considered the hypothetical impact of a 10%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change in the underlying currencies of our foreign currency denominated intercompany loans, relative to the U.S. dollar, at June 30, 2021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 10% change at June 30, 2021 would have resulted in approximately $11 million in incremental foreign currency losses on such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10% change at December 31, 2020 would have resulted in approximately $11 million in incremental foreign currency losses on such date.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June 30, 2021. Based on that evaluation, the Company’s Chief Executive Officer and Principal Financial Officer concluded that the Company’s disclosure controls and procedures were effective as of June 30, 2021.</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June 30, 2021 that have materially affected, or are reasonably likely to materially affect, the Company’s internal control over financial reporting.</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disclosures under Note 13. Commitments and Contingencies of the Condensed Consolidated Financial Statements included in Part I, Item 1 are incorporated into this Part II, Item 1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For a discussion of our risk factors, see the information in Part I, Item 1A. “Risk Factors” in the Annual Report and in Part II, Item 1A. “Risk Factors” of our First Quarter 2021 Form 10-Q. There have been no material changes to our risk factors from those described therein except as set forth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Liability Related Risks</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are regularly the subject of material legal proceedings, including significant lawsuits, product liability claims, governmental investigations and product recalls, any of which could have a material adverse effect on our company, including causing us to pursue one or more significant corporate transactions or remedial measures.</w:t>
      </w:r>
    </w:p>
    <w:p>
      <w:pPr>
        <w:spacing w:after="0" w:line="72"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Our business exposes us to significant potential risks from lawsuits and other material legal proceedings including, but not limited to, matters associated with the testing, manufacturing, marketing, sale and use of our products. Some plaintiffs have received substantial damage awards against or entered into significant settlements with healthcare companies based upon various legal theories including, without limitation, claims for injuries allegedly caused by the use of their products. We have been, are currently and expect to continue to be subject to various lawsuits, product liability claims, other material legal proceedings, governmental investigations and/or product recalls, any of which could have a material adverse effect on our company or cause us to take one or more significant corporate transactions or other remedial measures, including on a preventative or proactive basis. A number of legal proceedings that we are currently subject to are seeking significant monetary and other damages. Our legal proceedings are at various stages in the litigation process. Some trials or proceedings are ongoing and may be nearing a decision, others are scheduled or may begin during the remainder of 2021, and others are scheduled or may begin as soon as 2022 or 2023. The timing of any scheduled trial is subject to change.</w:t>
      </w:r>
    </w:p>
    <w:p>
      <w:pPr>
        <w:spacing w:after="0" w:line="58"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For example, we, along with other manufacturers of prescription opioid medications, as well as distributors and other sellers of such medications, are the subject of lawsuits and have received subpoenas and other requests for information from various federal, state and local government agencies regarding the sale, marketing and/or distribution of prescription opioid medications. Numerous claims against opioid manufacturers, including us, have been and may continue to be filed by or on behalf of various plaintiffs, including states, counties, cities, Native American tribes and/or other government-related persons or entities, hospitals, health systems, unions, health and welfare funds or other third-party payers and/or individuals. See Note 13. Commitments and Contingencies of the Condensed Consolidated Financial Statements included in Part I, Item 1 of this report for more information. In these cases, plaintiffs have sought various remedies including, without limitation, declaratory and/or injunctive relief; compensatory, punitive and/or treble damages; restitution, disgorgement, civil penalties, abatement, attorneys’ fees, costs and/or other relief. As described above, a number of these cases are either in trial or are scheduled for trial in the near future. At any given time, we may be engaged in settlement or similar discussions regarding these or other cases; however, settlement demands and discussions often seek significant monetary and other remedies and there can be no assurance that we will receive settlement offers that are on terms that we consider reasonable under the circumstances or indicative of the merits or potential outcome of any court proceeding with respect to the underlying claims. Additionally, in the past, we have made the decision to settle some claims even though we believe we had meritorious defenses because of the significant legal and other costs that would have been required to defend such claims. There can be no assurance that settlement opportunities will continue to be available generally, or be consistent with our historic experience, or that we will not settle additional claims even if we believe we have meritorious defenses. We have not been able to settle most of the opioid claims made against us and, as a result, there are claims currently against us at various stages in the litigation process. Some trials or proceedings are ongoing and may be nearing a decision, others are scheduled or may begin during the remainder of 2021, and others are scheduled or may begin as soon as 2022 or 2023. The timing of any scheduled trial is subject to change. Awards against and settlements by us or our competitors could also incentivize parties to bring additional claims against us or increase settlement demands against us. In addition to the risks of direct expenditures for defense costs, settlements and/or judgments in connection with these claims, proceedings and investigations, there is a possibility of loss of revenues, injunctions and disruption of business. Additionally, we have, and may continue to receive, claims or requests for indemnification from certain of our customers. Furthermore, we and other manufacturers of prescription opioid medications have been, and will likely continue to be, subject to negative publicity and press, which could harm our brand and the demand for our products. Certain other manufacturers of prescription opioid medications have publicly commenced, or announced their intention to commence, cases to seek the protections under Chapter 11 of the Bankruptcy Code to address the claims being asserted against such manufacturers in these opioid lawsuits and others may do so or take similar measures in the future. We cannot assure you how any such decisions will impact our company.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current and former products may cause or appear to cause serious adverse side effects or potentially dangerous drug interactions if misused or improperly prescribed or as a result of faulty surgical technique. We are subject to various risks associated with having operated a medical device manufacturing business, including potential and actual product liability claims for defective or allegedly defective goods and increased government scrutiny and/or potential claims regarding the marketing of medical devices. For example, we and certain other manufacturers have been named as defendants in multiple lawsuits in various federal and state courts alleging personal injury resulting from the use of transvaginal surgical mesh products designed to treat POP and SUI. The FDA held a public advisory committee meeting in February 2019 during which the members of the Obstetrics and Gynecology Devices Panel of the Medical Devices Advisory Committee discussed and made recommendations regarding the safety and effectiveness of surgical mesh to treat POP. In April 2019, following the meeting, the FDA ordered that the manufacturers of all remaining surgical mesh products indicated for the transvaginal repair of POP cease selling and distributing their products in the U.S. effective immediately. Although we have not sold transvaginal surgical mesh products since March 2016, it is possible that the FDA’s order and any additional FDA actions based on the outcome of the advisory committee meeting could result in additional litigation against the Company. See Note 13. Commitments and Contingencies of the Condensed Consolidated Financial Statements included in Part I, Item 1 of this report for more information.</w:t>
      </w:r>
    </w:p>
    <w:p>
      <w:pPr>
        <w:spacing w:after="0" w:line="71" w:lineRule="exact"/>
        <w:rPr>
          <w:sz w:val="20"/>
          <w:szCs w:val="20"/>
          <w:color w:val="auto"/>
        </w:rPr>
      </w:pPr>
    </w:p>
    <w:p>
      <w:pPr>
        <w:ind w:right="340" w:firstLine="486"/>
        <w:spacing w:after="0" w:line="308" w:lineRule="auto"/>
        <w:rPr>
          <w:sz w:val="20"/>
          <w:szCs w:val="20"/>
          <w:color w:val="auto"/>
        </w:rPr>
      </w:pPr>
      <w:r>
        <w:rPr>
          <w:rFonts w:ascii="Arial" w:cs="Arial" w:eastAsia="Arial" w:hAnsi="Arial"/>
          <w:sz w:val="17"/>
          <w:szCs w:val="17"/>
          <w:color w:val="auto"/>
        </w:rPr>
        <w:t>Any failure to effectively identify, analyze, report and protect adverse event data and/or to fully comply with relevant laws, rules and regulations around adverse event reporting could expose the Company to legal proceedings, penalties, fines and/or reputational damage.</w:t>
      </w:r>
    </w:p>
    <w:p>
      <w:pPr>
        <w:spacing w:after="0" w:line="3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in the age of social media, plaintiffs’ attorneys have a wide variety of tools to advertise their services and solicit new clients for litigation, including using judgments and settlements obtained in litigation against us or other pharmaceutical companies as an advertising tool. For these or other reasons, any product liability or other litigation in which we are a defendant could have a larger number of plaintiffs than such actions have seen historically and we could also see an increase in the number of cases filed against us because of the increasing use of widespread and media-varied advertising. This could also complicate any settlement discussions we may be engaged in. Furthermore, a ruling against other pharmaceutical companies in product liability or other litigation, or any related settlement, in which we are not a defendant could have a negative impact on pending litigation where we are a defendant.</w:t>
      </w:r>
    </w:p>
    <w:p>
      <w:pPr>
        <w:spacing w:after="0" w:line="87"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In addition, in certain circumstances, such as in the case of products that do not meet approved specifications or which subsequent data demonstrate may be unsafe, ineffective or misused, it may be necessary for us to initiate voluntary or mandatory recalls or withdraw such products from the market.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or other products including, without limitation, law enforcement concerns over diversion or marketing practices, regulatory efforts to combat abuse and litigation could result in costs to our business and damage our reputation” for more information.</w:t>
      </w:r>
    </w:p>
    <w:p>
      <w:pPr>
        <w:spacing w:after="0" w:line="56"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are found liable in any lawsuits, including the ongoing legal proceedings related to our sale, marketing and/or distribution of prescription opioid medications, product liability claims or actions related to our sales, marketing or pricing practices or if we are subject to governmental investigations or product recalls, it could result in the imposition of material damages, including punitive damages, fines, reputational harm, civil lawsuits, criminal penalties, interruptions of business, modification of business practices, equitable remedies and other sanctions against us or our personnel as well as significant legal and other costs. At any given time, we may be engaged in settlement or similar discussions, and we may voluntarily settle claims even if we believe that we have meritorious defenses because of the significant legal and other costs that may be required to defend such claims. Any judgments, claims, settlements and related costs could be well in excess of any applicable insurance or accruals. As a result, we may experience significant negative impacts on our operations or financial position. To satisfy judgments or settlements or to pursue certain appeals, we may need to seek financing or bonding, which may not be available on terms acceptable to us, or at all, when required, particularly given the nature and amount of the claims against us. Judgments also could cause defaults under our debt agreements (which could result in cross-defaults or cross-accelerations in other agreements) and/or restrictions on product use or business practices and we could incur losses as a result. Any of the risks above could have a material adverse effect on our business, financial condition, results of operations and cash flows and could be further exacerbated by the impact of COVID-19.</w:t>
      </w:r>
    </w:p>
    <w:p>
      <w:pPr>
        <w:spacing w:after="0" w:line="60"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As a result of the possibility or occurrence of an unfavorable outcome with respect to any legal proceeding, at any given time, we may be engaged in one or more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Some of these measures could take significant time to implement and others may require judicial or other third party approval. Any such actions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 See the risk factor “Our ability to fund our operations, maintain adequate liquidity and meet our financing obligations is reliant on our operations, which are subject to significant risks and uncertainties” for more information.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See Note 13. Commitments and Contingencies of the Condensed Consolidated Financial Statements included in Part I, Item 1 of this report for further discussion of the foregoing and other material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and may be unable to obtain or maintain insurance adequate to cover potential liabilities.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and, should we suffer an adverse judgment, appeal and similar bonds may not be available in such amounts as may be necessary to further challenge all or part of such judgment. We also generally no longer have product liability insurance to cover claims in connection with the mesh-related litigation described above. Additionally, we may be limited by the surviving insurance policies of acquired entities, which may not be adequate to cover against potential liabilities or other losses.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The failure to generate sufficient cash flow or to obtain other financing could affect our ability to pay the amounts due under those liabilities not covered by insurance. Additionally, the nature of our business, the legal proceedings which we are exposed to and any losses we suffer may increase the cost of insurance, which could impact our decisions regarding our insurance programs.</w:t>
      </w:r>
    </w:p>
    <w:p>
      <w:pPr>
        <w:spacing w:after="0" w:line="70"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Public concern around the abuse of opioids or other products including, without limitation, law enforcement concerns over diversion or marketing practices, regulatory efforts to combat abuse and litigation could result in costs to our business and damage our reputation.</w:t>
      </w:r>
    </w:p>
    <w:p>
      <w:pPr>
        <w:spacing w:after="0" w:line="3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Media stories regarding drug abuse and diversion, including the abuse and diversion of prescription opioid medications and other controlled substances, are commonplace and have included our company. Aggressive enforcement and unfavorable publicity regarding, for example, the use or misuse of opioids, the limitations of abuse-deterrent formulations, the ability of abusers to discover previously unknown ways to abuse our products, public inquiries and investigations into drug abuse or litigation or regulatory or enforcement activity regarding sales, marketing, distribution or storage of opioids could have a material adverse effect on our reputation, on the results of litigation and on our ability to attract or maintain relationships with third-party partners, including suppliers, vendors, advisors, distributors, manufacturers, collaboration partners, administrators and agents. As a result of the timing and schedule of certain legal proceedings against us, we will likely be subject to additional press for the foreseeable future.</w:t>
      </w:r>
    </w:p>
    <w:p>
      <w:pPr>
        <w:spacing w:after="0" w:line="69"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Manufacturers of prescription opioid medications have been the subject of significant civil and criminal investigatory and enforcement actions even in cases where such medications have received approval from the FDA or similar regulatory authorities. Numerous governmental and private persons and entities are pursuing litigation against opioid manufacturers, including us, as well as distributors and others, asserting alleged violations of various laws and regulations relating to opioids and/or other prescription medicines, relying on common law theories, and seeking to hold the defendants accountable for, among other things, societal costs associated with the misuse and abuse of prescription opioid medications as well as non-prescription opioids. A number of these legal proceedings are either in trial or are approaching trial or other significant events, which may result in increased settlement discussions, and other activity. There is a risk we will be subject to similar investigations, enforcement actions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 As a result of the possibility or occurrence of an unfavorable outcome with respect to any legal proceeding, at any given time, we may be engaged in one or more strategic reviews of all or a portion of our business. Any such review or contingency planning could ultimately result in our pursuing one or more significant corporate transactions or other remedial measures, including on a preventative or proactive basis. In 2019, several manufacturers of prescription opioid medications commenced cases under Title 11 of the U.S. Code in order to address the large volume of claims asserted against them in such litigation and others may do so or take other similar measures in the future. See Note 13. Commitments and Contingencies of the Condensed Consolidated Financial Statements included in Part I, Item 1 of this report for more information. There have been proposals in certain legislatures to restrict the ability to compromise or release liability of certain parties in such cases, and we cannot assure you whether any such proposals will be made or adopted in the future or predict how any such proposals may affect the Company.</w:t>
      </w:r>
    </w:p>
    <w:p>
      <w:pPr>
        <w:spacing w:after="0" w:line="83"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Regulatory actions at the federal, state and local level may seek to limit or restrict the manufacturing, distribution or sale of opioids, both directly and indirectly, and/or to impose novel policy or regulatory mechanisms regarding the distribution or sales of opioids. For example, in April 2019, New York enacted an excise tax on opioids. See the risk factor “Our business and financial condition may be adversely affected by legislation” in Part II, Item 1A. “Risk Factors” of the First Quarter 2021 Form 10-Q for more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firstLine="486"/>
        <w:spacing w:after="0" w:line="296" w:lineRule="auto"/>
        <w:rPr>
          <w:sz w:val="20"/>
          <w:szCs w:val="20"/>
          <w:color w:val="auto"/>
        </w:rPr>
      </w:pPr>
      <w:r>
        <w:rPr>
          <w:rFonts w:ascii="Arial" w:cs="Arial" w:eastAsia="Arial" w:hAnsi="Arial"/>
          <w:sz w:val="16"/>
          <w:szCs w:val="16"/>
          <w:color w:val="auto"/>
        </w:rPr>
        <w:t>Various government entities, including the U.S. Congress, state legislatures or other policy-making bodies in the U.S. or elsewhere have held hearings, conducted investigations and/or issued reports calling attention to opioid misuse and abuse, and some have mentioned or criticized the role of manufacturers, including us, in supplying or marketing opioid medications or failing to take adequate steps to detect or report suspicious orders or to prevent abuse and diversion. Press organizations have reported and likely will continue to report on these issues, and such reporting has and may further result in adverse publicity which could have a material adverse effect on our business, financial condition,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Liquidity Related Risks</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ability to fund our operations, maintain adequate liquidity and meet our financing obligations is reliant on our operations, which are subject to significant risks and uncertainties.</w:t>
      </w:r>
    </w:p>
    <w:p>
      <w:pPr>
        <w:spacing w:after="0" w:line="5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6"/>
          <w:szCs w:val="16"/>
          <w:color w:val="auto"/>
        </w:rPr>
        <w:t>We rely on cash from operations as well as access to the financial markets to fund our operations, maintain liquidity and meet our financial obligations. Our operations are subject to many significant risks and uncertainties, including those related to generic competition and legal challenges that could impact our key products, including VASOSTRICT</w:t>
      </w:r>
      <w:r>
        <w:rPr>
          <w:rFonts w:ascii="Arial" w:cs="Arial" w:eastAsia="Arial" w:hAnsi="Arial"/>
          <w:sz w:val="20"/>
          <w:szCs w:val="20"/>
          <w:color w:val="auto"/>
          <w:vertAlign w:val="superscript"/>
        </w:rPr>
        <w:t>®</w:t>
      </w:r>
      <w:r>
        <w:rPr>
          <w:rFonts w:ascii="Arial" w:cs="Arial" w:eastAsia="Arial" w:hAnsi="Arial"/>
          <w:sz w:val="16"/>
          <w:szCs w:val="16"/>
          <w:color w:val="auto"/>
        </w:rPr>
        <w:t>, outstanding and future legal proceedings and governmental investigations, including those related to our sale, marketing and/or distribution of prescription opioid medications, and others. Any negative development or outcome in connection with any or all of these risks and uncertainties could result in significant consequences, including one or more of the following:</w:t>
      </w:r>
    </w:p>
    <w:p>
      <w:pPr>
        <w:spacing w:after="0" w:line="4" w:lineRule="exact"/>
        <w:rPr>
          <w:sz w:val="20"/>
          <w:szCs w:val="20"/>
          <w:color w:val="auto"/>
        </w:rPr>
      </w:pPr>
    </w:p>
    <w:p>
      <w:pPr>
        <w:ind w:left="900" w:right="240" w:hanging="244"/>
        <w:spacing w:after="0" w:line="250"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causing a substantial portion of our cash flows from operations to be dedicated to the payment of legal or related expenses and therefore unavailable for other purposes, including the payment of principal and interest on our indebtedness, our operations, capital expenditures and future business opportunities;</w:t>
      </w:r>
    </w:p>
    <w:p>
      <w:pPr>
        <w:spacing w:after="0" w:line="1" w:lineRule="exact"/>
        <w:rPr>
          <w:rFonts w:ascii="Arial" w:cs="Arial" w:eastAsia="Arial" w:hAnsi="Arial"/>
          <w:sz w:val="18"/>
          <w:szCs w:val="18"/>
          <w:color w:val="auto"/>
        </w:rPr>
      </w:pPr>
    </w:p>
    <w:p>
      <w:pPr>
        <w:ind w:left="900" w:right="280" w:hanging="244"/>
        <w:spacing w:after="0" w:line="250"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causing us to be more vulnerable to periods of negative or slow growth in the general economy or in our business, causing us to be unable to carry out capital spending that is important to our growth and placing us at a competitive disadvantage;</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attract and retain key personnel;</w:t>
      </w:r>
    </w:p>
    <w:p>
      <w:pPr>
        <w:spacing w:after="0" w:line="9" w:lineRule="exact"/>
        <w:rPr>
          <w:rFonts w:ascii="Arial" w:cs="Arial" w:eastAsia="Arial" w:hAnsi="Arial"/>
          <w:sz w:val="18"/>
          <w:szCs w:val="18"/>
          <w:color w:val="auto"/>
        </w:rPr>
      </w:pPr>
    </w:p>
    <w:p>
      <w:pPr>
        <w:ind w:left="900" w:right="40" w:hanging="244"/>
        <w:spacing w:after="0" w:line="250"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causing us to be unable to maintain compliance with or making it more difficult for us to satisfy our financial obligations under certain of our outstanding debt obligations, causing a downgrade of our debt and long-term corporate ratings (which could increase our cost of capital) and exposing us to potential events of default (if not cured or waived) under financial and operating covenants contained in our or our subsidiaries’ outstanding indebtedness;</w:t>
      </w:r>
    </w:p>
    <w:p>
      <w:pPr>
        <w:spacing w:after="0" w:line="1" w:lineRule="exact"/>
        <w:rPr>
          <w:rFonts w:ascii="Arial" w:cs="Arial" w:eastAsia="Arial" w:hAnsi="Arial"/>
          <w:sz w:val="18"/>
          <w:szCs w:val="18"/>
          <w:color w:val="auto"/>
        </w:rPr>
      </w:pPr>
    </w:p>
    <w:p>
      <w:pPr>
        <w:ind w:left="900" w:right="20" w:hanging="244"/>
        <w:spacing w:after="0" w:line="250"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limiting our ability to incur additional borrowings under the covenants in our then-existing facilities or to obtain additional debt or equity financing for working capital, capital expenditures, business development, debt service requirements, acquisitions or general corporate or other purposes, or to refinance our indebtedness; and/or</w:t>
      </w:r>
    </w:p>
    <w:p>
      <w:pPr>
        <w:spacing w:after="0" w:line="1" w:lineRule="exact"/>
        <w:rPr>
          <w:rFonts w:ascii="Arial" w:cs="Arial" w:eastAsia="Arial" w:hAnsi="Arial"/>
          <w:sz w:val="18"/>
          <w:szCs w:val="18"/>
          <w:color w:val="auto"/>
        </w:rPr>
      </w:pPr>
    </w:p>
    <w:p>
      <w:pPr>
        <w:ind w:left="900" w:right="200" w:hanging="244"/>
        <w:spacing w:after="0" w:line="260"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causing a significant reduction in our short-term and long-term revenues and/or otherwise causing us to be unable to fund our operations and liquidity needs, such as future capital expenditures and payment of our indebtedness.</w:t>
      </w:r>
    </w:p>
    <w:p>
      <w:pPr>
        <w:spacing w:after="0" w:line="7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As a result of the possibility or occurrence of an unfavorable outcome with respect to any legal proceeding, at any given time, we may be engaged in one or more strategic reviews of all or a portion of our business. Any such review or contingency planning could ultimately result in our pursuing one or more significant corporate transactions or other remedial measures, including on a preventative or proactive basis. Actions that may be evaluated or pursued could include reorganization or restructuring activities of all or a portion of our business, asset sales or other divestitures, cost-saving initiatives or other corporate realignments, seeking strategic partnerships and exiting certain product or geographic markets. Some of these measures could take significant time to implement and others may require judicial or other third party approval. Additionally, we may need to refinance all or part of our then-existing indebtedness, reduce or delay capital expenditures or seek to raise additional capital. Any refinancing of our substantial indebtedness could be at significantly higher interest rates, which will depend on the conditions of the markets and our financial condition at such time, and may require us to comply with more onerous covenants, which could further restrict our business operations. Any refinancing may also increase the amount of our secured indebtedness. Negative developments in legal or other proceedings could also make it more difficult to consummate any of these transactions or for us to satisfy certain conditions required to borrow under our credit facilities. In addition, the terms of existing or future debt agreements may restrict us from consummating any of these alternatives. Likewise, any reorganizations or restructuring activities, corporate realignments, asset sales or divestitures, strategic partnerships or other actions that we take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June 30, 2021.</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Accounting Officer</w:t>
      </w:r>
    </w:p>
    <w:p>
      <w:pPr>
        <w:spacing w:after="0" w:line="117"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On August 6, 2021, the Company announced that Frank B. Raciti has been appointed to serve as Vice President, Controller and Chief Accounting Officer, effective August 9, 2021. Mr. Raciti will succeed Jack Boyle who is moving into the role of Senior Vice President, Corporate Development and Treasurer.</w:t>
      </w:r>
    </w:p>
    <w:p>
      <w:pPr>
        <w:spacing w:after="0" w:line="76"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Mr. Raciti, 40, joined the Company in August 2016 as Director of Technical Accounting and has assumed various roles of increasing responsibility, most recently serving as Assistant Controller since April 2020. Previously, he served as Senior Director, Accounting from March 2019 until April 2020 and Director of Technical Accounting from August 2016 to March 2019. Prior to joining the Company, Mr. Raciti served as a public accountant for PricewaterhouseCoopers from September 2002 until August 2016, including two years in the firm’s National Office, SEC Services organization. Mr. Raciti is a certified public accountant in the Commonwealth of Pennsylvania and holds a Bachelor of Science degree in accounting and a Master’s degree in accounting and professional consultancy from Villanova University.</w:t>
      </w:r>
    </w:p>
    <w:p>
      <w:pPr>
        <w:spacing w:after="0" w:line="84"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In connection with his appointment, Mr. Raciti will participate in the Company’s compensation and benefit plans at levels consistent with his position and scope of responsibility.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11"/>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5380" w:type="dxa"/>
            <w:vAlign w:val="bottom"/>
            <w:gridSpan w:val="12"/>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Certification of the President and Chief Executive Officer of Endo</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57">
              <w:r>
                <w:rPr>
                  <w:rFonts w:ascii="Arial" w:cs="Arial" w:eastAsia="Arial" w:hAnsi="Arial"/>
                  <w:sz w:val="18"/>
                  <w:szCs w:val="18"/>
                  <w:color w:val="0000FF"/>
                </w:rPr>
                <w:t>pursuant to Section 302 of the Sarbanes-Oxley Act of 2002</w:t>
              </w:r>
            </w:hyperlink>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5380" w:type="dxa"/>
            <w:vAlign w:val="bottom"/>
            <w:gridSpan w:val="12"/>
          </w:tcPr>
          <w:p>
            <w:pPr>
              <w:spacing w:after="0"/>
              <w:rPr>
                <w:rFonts w:ascii="Arial" w:cs="Arial" w:eastAsia="Arial" w:hAnsi="Arial"/>
                <w:sz w:val="18"/>
                <w:szCs w:val="18"/>
                <w:color w:val="0000FF"/>
                <w:w w:val="96"/>
              </w:rPr>
            </w:pPr>
            <w:hyperlink w:anchor="page58">
              <w:r>
                <w:rPr>
                  <w:rFonts w:ascii="Arial" w:cs="Arial" w:eastAsia="Arial" w:hAnsi="Arial"/>
                  <w:sz w:val="18"/>
                  <w:szCs w:val="18"/>
                  <w:color w:val="0000FF"/>
                  <w:w w:val="96"/>
                </w:rPr>
                <w:t>Certification of the Chief Financial Officer of Endo pursuant to Section</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58">
              <w:r>
                <w:rPr>
                  <w:rFonts w:ascii="Arial" w:cs="Arial" w:eastAsia="Arial" w:hAnsi="Arial"/>
                  <w:sz w:val="18"/>
                  <w:szCs w:val="18"/>
                  <w:color w:val="0000FF"/>
                  <w:w w:val="90"/>
                </w:rPr>
                <w:t>302 of the Sarbanes-Oxley Act of 2002</w:t>
              </w:r>
            </w:hyperlink>
          </w:p>
        </w:tc>
        <w:tc>
          <w:tcPr>
            <w:tcW w:w="23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0"/>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8"/>
                <w:szCs w:val="18"/>
                <w:color w:val="auto"/>
              </w:rPr>
            </w:pPr>
          </w:p>
        </w:tc>
        <w:tc>
          <w:tcPr>
            <w:tcW w:w="5380" w:type="dxa"/>
            <w:vAlign w:val="bottom"/>
            <w:gridSpan w:val="1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 of the President and Chief Executive Officer of Endo</w:t>
              </w:r>
            </w:hyperlink>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0" w:type="dxa"/>
            <w:vAlign w:val="bottom"/>
            <w:tcBorders>
              <w:top w:val="single" w:sz="8" w:color="0000FF"/>
            </w:tcBorders>
            <w:gridSpan w:val="7"/>
          </w:tcPr>
          <w:p>
            <w:pPr>
              <w:spacing w:after="0" w:line="156" w:lineRule="exact"/>
              <w:rPr>
                <w:rFonts w:ascii="Arial" w:cs="Arial" w:eastAsia="Arial" w:hAnsi="Arial"/>
                <w:sz w:val="18"/>
                <w:szCs w:val="18"/>
                <w:color w:val="0000FF"/>
                <w:w w:val="88"/>
              </w:rPr>
            </w:pPr>
            <w:hyperlink w:anchor="page59">
              <w:r>
                <w:rPr>
                  <w:rFonts w:ascii="Arial" w:cs="Arial" w:eastAsia="Arial" w:hAnsi="Arial"/>
                  <w:sz w:val="18"/>
                  <w:szCs w:val="18"/>
                  <w:color w:val="0000FF"/>
                  <w:w w:val="88"/>
                </w:rPr>
                <w:t>pursuant to 18 U.S.C. Section 1350, as adopted pursuant to Section</w:t>
              </w:r>
            </w:hyperlink>
          </w:p>
        </w:tc>
        <w:tc>
          <w:tcPr>
            <w:tcW w:w="400" w:type="dxa"/>
            <w:vAlign w:val="bottom"/>
            <w:gridSpan w:val="3"/>
          </w:tcPr>
          <w:p>
            <w:pPr>
              <w:jc w:val="right"/>
              <w:ind w:right="40"/>
              <w:spacing w:after="0" w:line="156" w:lineRule="exact"/>
              <w:rPr>
                <w:rFonts w:ascii="Arial" w:cs="Arial" w:eastAsia="Arial" w:hAnsi="Arial"/>
                <w:sz w:val="18"/>
                <w:szCs w:val="18"/>
                <w:color w:val="0000FF"/>
              </w:rPr>
            </w:pPr>
            <w:hyperlink w:anchor="page59">
              <w:r>
                <w:rPr>
                  <w:rFonts w:ascii="Arial" w:cs="Arial" w:eastAsia="Arial" w:hAnsi="Arial"/>
                  <w:sz w:val="18"/>
                  <w:szCs w:val="18"/>
                  <w:color w:val="0000FF"/>
                </w:rPr>
                <w:t>906</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of the Sarbanes-Oxley Act of 2002</w:t>
              </w:r>
            </w:hyperlink>
          </w:p>
        </w:tc>
        <w:tc>
          <w:tcPr>
            <w:tcW w:w="264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18"/>
                <w:szCs w:val="18"/>
                <w:color w:val="auto"/>
              </w:rPr>
            </w:pPr>
          </w:p>
        </w:tc>
        <w:tc>
          <w:tcPr>
            <w:tcW w:w="8500" w:type="dxa"/>
            <w:vAlign w:val="bottom"/>
            <w:gridSpan w:val="18"/>
          </w:tcPr>
          <w:p>
            <w:pPr>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 xml:space="preserve">Certification of the Chief Financial Officer of Endo pursuant to 18 U.S.C. </w:t>
              </w:r>
            </w:hyperlink>
            <w:r>
              <w:rPr>
                <w:rFonts w:ascii="Arial" w:cs="Arial" w:eastAsia="Arial" w:hAnsi="Arial"/>
                <w:sz w:val="18"/>
                <w:szCs w:val="18"/>
                <w:color w:val="000000"/>
                <w:w w:val="99"/>
              </w:rPr>
              <w:t>Not</w:t>
            </w:r>
            <w:r>
              <w:rPr>
                <w:rFonts w:ascii="Arial" w:cs="Arial" w:eastAsia="Arial" w:hAnsi="Arial"/>
                <w:sz w:val="18"/>
                <w:szCs w:val="18"/>
                <w:color w:val="0000FF"/>
                <w:w w:val="99"/>
              </w:rPr>
              <w:t xml:space="preserve"> </w:t>
            </w:r>
            <w:r>
              <w:rPr>
                <w:rFonts w:ascii="Arial" w:cs="Arial" w:eastAsia="Arial" w:hAnsi="Arial"/>
                <w:sz w:val="18"/>
                <w:szCs w:val="18"/>
                <w:color w:val="000000"/>
                <w:w w:val="99"/>
              </w:rPr>
              <w:t>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Borders>
              <w:top w:val="single" w:sz="8" w:color="0000FF"/>
            </w:tcBorders>
            <w:gridSpan w:val="11"/>
          </w:tcPr>
          <w:p>
            <w:pPr>
              <w:spacing w:after="0" w:line="156"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Section 1350, as adopted pursuant to Section 906 of the Sarbanes-Oxley</w:t>
              </w:r>
            </w:hyperlink>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60">
              <w:r>
                <w:rPr>
                  <w:rFonts w:ascii="Arial" w:cs="Arial" w:eastAsia="Arial" w:hAnsi="Arial"/>
                  <w:sz w:val="18"/>
                  <w:szCs w:val="18"/>
                  <w:color w:val="0000FF"/>
                </w:rPr>
                <w:t>Act of 2002</w:t>
              </w:r>
            </w:hyperlink>
          </w:p>
        </w:tc>
        <w:tc>
          <w:tcPr>
            <w:tcW w:w="18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101.INS</w:t>
            </w:r>
          </w:p>
        </w:tc>
        <w:tc>
          <w:tcPr>
            <w:tcW w:w="5380" w:type="dxa"/>
            <w:vAlign w:val="bottom"/>
            <w:gridSpan w:val="12"/>
          </w:tcPr>
          <w:p>
            <w:pPr>
              <w:spacing w:after="0" w:line="196" w:lineRule="exact"/>
              <w:rPr>
                <w:sz w:val="20"/>
                <w:szCs w:val="20"/>
                <w:color w:val="auto"/>
              </w:rPr>
            </w:pPr>
            <w:r>
              <w:rPr>
                <w:rFonts w:ascii="Arial" w:cs="Arial" w:eastAsia="Arial" w:hAnsi="Arial"/>
                <w:sz w:val="18"/>
                <w:szCs w:val="18"/>
                <w:color w:val="auto"/>
                <w:w w:val="95"/>
              </w:rPr>
              <w:t>iXBRL Instance Document - the instance document does not appear in</w:t>
            </w:r>
          </w:p>
        </w:tc>
        <w:tc>
          <w:tcPr>
            <w:tcW w:w="3120" w:type="dxa"/>
            <w:vAlign w:val="bottom"/>
            <w:gridSpan w:val="6"/>
          </w:tcPr>
          <w:p>
            <w:pPr>
              <w:spacing w:after="0" w:line="196" w:lineRule="exact"/>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80" w:type="dxa"/>
            <w:vAlign w:val="bottom"/>
            <w:gridSpan w:val="12"/>
          </w:tcPr>
          <w:p>
            <w:pPr>
              <w:spacing w:after="0" w:line="176" w:lineRule="exact"/>
              <w:rPr>
                <w:sz w:val="20"/>
                <w:szCs w:val="20"/>
                <w:color w:val="auto"/>
              </w:rPr>
            </w:pPr>
            <w:r>
              <w:rPr>
                <w:rFonts w:ascii="Arial" w:cs="Arial" w:eastAsia="Arial" w:hAnsi="Arial"/>
                <w:sz w:val="18"/>
                <w:szCs w:val="18"/>
                <w:color w:val="auto"/>
                <w:w w:val="94"/>
              </w:rPr>
              <w:t>the interactive data file because its XBRL tags are embedded within the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inline XBRL document.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Schema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80" w:type="dxa"/>
            <w:vAlign w:val="bottom"/>
            <w:gridSpan w:val="12"/>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104</w:t>
            </w:r>
          </w:p>
        </w:tc>
        <w:tc>
          <w:tcPr>
            <w:tcW w:w="400" w:type="dxa"/>
            <w:vAlign w:val="bottom"/>
          </w:tcPr>
          <w:p>
            <w:pPr>
              <w:spacing w:after="0"/>
              <w:rPr>
                <w:sz w:val="15"/>
                <w:szCs w:val="15"/>
                <w:color w:val="auto"/>
              </w:rPr>
            </w:pPr>
          </w:p>
        </w:tc>
        <w:tc>
          <w:tcPr>
            <w:tcW w:w="5380" w:type="dxa"/>
            <w:vAlign w:val="bottom"/>
            <w:gridSpan w:val="12"/>
          </w:tcPr>
          <w:p>
            <w:pPr>
              <w:spacing w:after="0" w:line="176" w:lineRule="exact"/>
              <w:rPr>
                <w:sz w:val="20"/>
                <w:szCs w:val="20"/>
                <w:color w:val="auto"/>
              </w:rPr>
            </w:pPr>
            <w:r>
              <w:rPr>
                <w:rFonts w:ascii="Arial" w:cs="Arial" w:eastAsia="Arial" w:hAnsi="Arial"/>
                <w:sz w:val="18"/>
                <w:szCs w:val="18"/>
                <w:color w:val="auto"/>
                <w:w w:val="96"/>
              </w:rPr>
              <w:t>Cover Page Interactive Data File, formatted in iXBRL and contained in</w:t>
            </w:r>
          </w:p>
        </w:tc>
        <w:tc>
          <w:tcPr>
            <w:tcW w:w="3120" w:type="dxa"/>
            <w:vAlign w:val="bottom"/>
            <w:gridSpan w:val="6"/>
          </w:tcPr>
          <w:p>
            <w:pPr>
              <w:spacing w:after="0" w:line="176" w:lineRule="exact"/>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80" w:type="dxa"/>
            <w:vAlign w:val="bottom"/>
            <w:gridSpan w:val="12"/>
          </w:tcPr>
          <w:p>
            <w:pPr>
              <w:spacing w:after="0"/>
              <w:rPr>
                <w:sz w:val="20"/>
                <w:szCs w:val="20"/>
                <w:color w:val="auto"/>
              </w:rPr>
            </w:pPr>
            <w:r>
              <w:rPr>
                <w:rFonts w:ascii="Arial" w:cs="Arial" w:eastAsia="Arial" w:hAnsi="Arial"/>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6"/>
          </w:tcPr>
          <w:p>
            <w:pPr>
              <w:ind w:left="4600"/>
              <w:spacing w:after="0"/>
              <w:rPr>
                <w:sz w:val="20"/>
                <w:szCs w:val="20"/>
                <w:color w:val="auto"/>
              </w:rPr>
            </w:pPr>
            <w:r>
              <w:rPr>
                <w:rFonts w:ascii="Arial" w:cs="Arial" w:eastAsia="Arial" w:hAnsi="Arial"/>
                <w:sz w:val="18"/>
                <w:szCs w:val="18"/>
                <w:color w:val="auto"/>
                <w:w w:val="79"/>
              </w:rPr>
              <w:t>52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(Registrant)</w:t>
      </w:r>
    </w:p>
    <w:p>
      <w:pPr>
        <w:spacing w:after="0" w:line="30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3"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32"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(Principal Executive Officer)</w:t>
      </w:r>
    </w:p>
    <w:p>
      <w:pPr>
        <w:spacing w:after="0" w:line="25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3"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Mark T. Bradley</w:t>
      </w:r>
    </w:p>
    <w:p>
      <w:pPr>
        <w:spacing w:after="0" w:line="32"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(Principal Financial Officer)</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6, 2021</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40"/>
          </w:cols>
          <w:pgMar w:left="320" w:top="118" w:right="5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Blaise Coleman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7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2021</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Bradley, certify that:</w:t>
      </w:r>
    </w:p>
    <w:p>
      <w:pPr>
        <w:spacing w:after="0" w:line="104" w:lineRule="exact"/>
        <w:rPr>
          <w:sz w:val="20"/>
          <w:szCs w:val="20"/>
          <w:color w:val="auto"/>
        </w:rPr>
      </w:pPr>
    </w:p>
    <w:p>
      <w:pPr>
        <w:ind w:left="600" w:hanging="187"/>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Bradley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27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2021</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Blaise Coleman,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89" w:lineRule="exact"/>
        <w:rPr>
          <w:sz w:val="20"/>
          <w:szCs w:val="20"/>
          <w:color w:val="auto"/>
        </w:rPr>
      </w:pPr>
    </w:p>
    <w:p>
      <w:pPr>
        <w:ind w:left="420" w:right="460" w:firstLine="398"/>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2021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940" w:type="dxa"/>
            <w:vAlign w:val="bottom"/>
          </w:tcPr>
          <w:p>
            <w:pPr>
              <w:spacing w:after="0"/>
              <w:rPr>
                <w:sz w:val="21"/>
                <w:szCs w:val="2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line="176" w:lineRule="exact"/>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I, Mark Bradley, as Chief Financial Officer of Endo International plc (the Company), hereby certify, pursuant to 18 U.S.C. Section 1350, as adopted pursuant to Section 906 of the Sarbanes-Oxley Act of 2002, that:</w:t>
      </w:r>
    </w:p>
    <w:p>
      <w:pPr>
        <w:spacing w:after="0" w:line="49" w:lineRule="exact"/>
        <w:rPr>
          <w:sz w:val="20"/>
          <w:szCs w:val="20"/>
          <w:color w:val="auto"/>
        </w:rPr>
      </w:pPr>
    </w:p>
    <w:p>
      <w:pPr>
        <w:ind w:left="420" w:right="460" w:firstLine="398"/>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2021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MARK BRADLEY</w:t>
            </w:r>
          </w:p>
        </w:tc>
        <w:tc>
          <w:tcPr>
            <w:tcW w:w="1900" w:type="dxa"/>
            <w:vAlign w:val="bottom"/>
          </w:tcPr>
          <w:p>
            <w:pPr>
              <w:spacing w:after="0"/>
              <w:rPr>
                <w:sz w:val="17"/>
                <w:szCs w:val="17"/>
                <w:color w:val="auto"/>
              </w:rPr>
            </w:pP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3580" w:type="dxa"/>
            <w:vAlign w:val="bottom"/>
            <w:gridSpan w:val="2"/>
          </w:tcPr>
          <w:p>
            <w:pPr>
              <w:spacing w:after="0"/>
              <w:rPr>
                <w:sz w:val="20"/>
                <w:szCs w:val="20"/>
                <w:color w:val="auto"/>
              </w:rPr>
            </w:pPr>
            <w:r>
              <w:rPr>
                <w:rFonts w:ascii="Arial" w:cs="Arial" w:eastAsia="Arial" w:hAnsi="Arial"/>
                <w:sz w:val="18"/>
                <w:szCs w:val="18"/>
                <w:color w:val="auto"/>
              </w:rPr>
              <w:t>Mark Bradley</w:t>
            </w: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580" w:type="dxa"/>
            <w:vAlign w:val="bottom"/>
            <w:gridSpan w:val="2"/>
          </w:tcPr>
          <w:p>
            <w:pPr>
              <w:spacing w:after="0" w:line="176" w:lineRule="exact"/>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2"/>
    </w:lvl>
  </w:abstractNum>
  <w:abstractNum w:abstractNumId="11">
    <w:nsid w:val="721DA317"/>
    <w:multiLevelType w:val="hybridMultilevel"/>
    <w:lvl w:ilvl="0">
      <w:lvlJc w:val="left"/>
      <w:lvlText w:val="(%1)"/>
      <w:numFmt w:val="lowerRoman"/>
      <w:start w:val="2"/>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9"/>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2021-08-06T08:04:37Z</dcterms:created>
  <dcterms:modified xsi:type="dcterms:W3CDTF">2021-08-06T08:04:37Z</dcterms:modified>
</cp:coreProperties>
</file>