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260" w:hanging="278"/>
        <w:spacing w:after="0"/>
        <w:tabs>
          <w:tab w:leader="none" w:pos="12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8" w:lineRule="exact"/>
        <w:rPr>
          <w:rFonts w:ascii="Arial" w:cs="Arial" w:eastAsia="Arial" w:hAnsi="Arial"/>
          <w:sz w:val="17"/>
          <w:szCs w:val="17"/>
          <w:color w:val="auto"/>
        </w:rPr>
      </w:pPr>
    </w:p>
    <w:p>
      <w:pPr>
        <w:ind w:left="346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MARCH 31,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247" w:lineRule="exact"/>
        <w:rPr>
          <w:sz w:val="24"/>
          <w:szCs w:val="24"/>
          <w:color w:val="auto"/>
        </w:rPr>
      </w:pPr>
    </w:p>
    <w:p>
      <w:pPr>
        <w:ind w:left="1260" w:hanging="289"/>
        <w:spacing w:after="0"/>
        <w:tabs>
          <w:tab w:leader="none" w:pos="1260" w:val="left"/>
        </w:tabs>
        <w:numPr>
          <w:ilvl w:val="0"/>
          <w:numId w:val="2"/>
        </w:numPr>
        <w:rPr>
          <w:rFonts w:ascii="Arial" w:cs="Arial" w:eastAsia="Arial" w:hAnsi="Arial"/>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 w:lineRule="exact"/>
        <w:rPr>
          <w:sz w:val="24"/>
          <w:szCs w:val="24"/>
          <w:color w:val="auto"/>
        </w:rPr>
      </w:pPr>
    </w:p>
    <w:p>
      <w:pPr>
        <w:ind w:left="3500"/>
        <w:spacing w:after="0"/>
        <w:tabs>
          <w:tab w:leader="none" w:pos="7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001-36326</w:t>
      </w:r>
    </w:p>
    <w:p>
      <w:pPr>
        <w:spacing w:after="0" w:line="41" w:lineRule="exact"/>
        <w:rPr>
          <w:sz w:val="24"/>
          <w:szCs w:val="24"/>
          <w:color w:val="auto"/>
        </w:rPr>
      </w:pPr>
    </w:p>
    <w:p>
      <w:pPr>
        <w:ind w:left="448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ENDO INTERNATIONAL PLC</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448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58"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6840" w:type="dxa"/>
            <w:vAlign w:val="bottom"/>
          </w:tcPr>
          <w:p>
            <w:pPr>
              <w:jc w:val="center"/>
              <w:ind w:right="1885"/>
              <w:spacing w:after="0"/>
              <w:rPr>
                <w:sz w:val="20"/>
                <w:szCs w:val="20"/>
                <w:color w:val="auto"/>
              </w:rPr>
            </w:pPr>
            <w:r>
              <w:rPr>
                <w:rFonts w:ascii="Arial" w:cs="Arial" w:eastAsia="Arial" w:hAnsi="Arial"/>
                <w:sz w:val="14"/>
                <w:szCs w:val="14"/>
                <w:b w:val="1"/>
                <w:bCs w:val="1"/>
                <w:color w:val="auto"/>
                <w:w w:val="95"/>
              </w:rPr>
              <w:t>Ireland</w:t>
            </w:r>
          </w:p>
        </w:tc>
        <w:tc>
          <w:tcPr>
            <w:tcW w:w="248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68-0683755</w:t>
            </w:r>
          </w:p>
        </w:tc>
      </w:tr>
      <w:tr>
        <w:trPr>
          <w:trHeight w:val="203"/>
        </w:trPr>
        <w:tc>
          <w:tcPr>
            <w:tcW w:w="6840" w:type="dxa"/>
            <w:vAlign w:val="bottom"/>
          </w:tcPr>
          <w:p>
            <w:pPr>
              <w:jc w:val="center"/>
              <w:ind w:right="1885"/>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80" w:type="dxa"/>
            <w:vAlign w:val="bottom"/>
          </w:tcPr>
          <w:p>
            <w:pPr>
              <w:jc w:val="center"/>
              <w:ind w:left="68"/>
              <w:spacing w:after="0"/>
              <w:rPr>
                <w:sz w:val="20"/>
                <w:szCs w:val="20"/>
                <w:color w:val="auto"/>
              </w:rPr>
            </w:pPr>
            <w:r>
              <w:rPr>
                <w:rFonts w:ascii="Arial" w:cs="Arial" w:eastAsia="Arial" w:hAnsi="Arial"/>
                <w:sz w:val="14"/>
                <w:szCs w:val="14"/>
                <w:color w:val="auto"/>
                <w:w w:val="96"/>
              </w:rPr>
              <w:t>(I.R.S. Employer Identification Number)</w:t>
            </w:r>
          </w:p>
        </w:tc>
      </w:tr>
      <w:tr>
        <w:trPr>
          <w:trHeight w:val="324"/>
        </w:trPr>
        <w:tc>
          <w:tcPr>
            <w:tcW w:w="6840" w:type="dxa"/>
            <w:vAlign w:val="bottom"/>
          </w:tcPr>
          <w:p>
            <w:pPr>
              <w:jc w:val="center"/>
              <w:ind w:right="1865"/>
              <w:spacing w:after="0"/>
              <w:rPr>
                <w:sz w:val="20"/>
                <w:szCs w:val="20"/>
                <w:color w:val="auto"/>
              </w:rPr>
            </w:pPr>
            <w:r>
              <w:rPr>
                <w:rFonts w:ascii="Arial" w:cs="Arial" w:eastAsia="Arial" w:hAnsi="Arial"/>
                <w:sz w:val="14"/>
                <w:szCs w:val="14"/>
                <w:b w:val="1"/>
                <w:bCs w:val="1"/>
                <w:color w:val="auto"/>
                <w:w w:val="93"/>
              </w:rPr>
              <w:t>First Floor, Minerva House, Simmonscourt Road, Ballsbridge, Dublin 4, Ireland</w:t>
            </w:r>
          </w:p>
        </w:tc>
        <w:tc>
          <w:tcPr>
            <w:tcW w:w="248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Not Applicable</w:t>
            </w:r>
          </w:p>
        </w:tc>
      </w:tr>
      <w:tr>
        <w:trPr>
          <w:trHeight w:val="203"/>
        </w:trPr>
        <w:tc>
          <w:tcPr>
            <w:tcW w:w="6840" w:type="dxa"/>
            <w:vAlign w:val="bottom"/>
          </w:tcPr>
          <w:p>
            <w:pPr>
              <w:jc w:val="center"/>
              <w:ind w:right="1885"/>
              <w:spacing w:after="0"/>
              <w:rPr>
                <w:sz w:val="20"/>
                <w:szCs w:val="20"/>
                <w:color w:val="auto"/>
              </w:rPr>
            </w:pPr>
            <w:r>
              <w:rPr>
                <w:rFonts w:ascii="Arial" w:cs="Arial" w:eastAsia="Arial" w:hAnsi="Arial"/>
                <w:sz w:val="14"/>
                <w:szCs w:val="14"/>
                <w:color w:val="auto"/>
                <w:w w:val="95"/>
              </w:rPr>
              <w:t>(Address of Principal Executive Offices)</w:t>
            </w:r>
          </w:p>
        </w:tc>
        <w:tc>
          <w:tcPr>
            <w:tcW w:w="2480" w:type="dxa"/>
            <w:vAlign w:val="bottom"/>
          </w:tcPr>
          <w:p>
            <w:pPr>
              <w:jc w:val="center"/>
              <w:ind w:left="48"/>
              <w:spacing w:after="0"/>
              <w:rPr>
                <w:sz w:val="20"/>
                <w:szCs w:val="20"/>
                <w:color w:val="auto"/>
              </w:rPr>
            </w:pPr>
            <w:r>
              <w:rPr>
                <w:rFonts w:ascii="Arial" w:cs="Arial" w:eastAsia="Arial" w:hAnsi="Arial"/>
                <w:sz w:val="14"/>
                <w:szCs w:val="14"/>
                <w:color w:val="auto"/>
                <w:w w:val="96"/>
              </w:rPr>
              <w:t>(Zip Code)</w:t>
            </w:r>
          </w:p>
        </w:tc>
      </w:tr>
      <w:tr>
        <w:trPr>
          <w:trHeight w:val="263"/>
        </w:trPr>
        <w:tc>
          <w:tcPr>
            <w:tcW w:w="6840" w:type="dxa"/>
            <w:vAlign w:val="bottom"/>
          </w:tcPr>
          <w:p>
            <w:pPr>
              <w:jc w:val="right"/>
              <w:ind w:right="845"/>
              <w:spacing w:after="0"/>
              <w:rPr>
                <w:sz w:val="20"/>
                <w:szCs w:val="20"/>
                <w:color w:val="auto"/>
              </w:rPr>
            </w:pPr>
            <w:r>
              <w:rPr>
                <w:rFonts w:ascii="Arial" w:cs="Arial" w:eastAsia="Arial" w:hAnsi="Arial"/>
                <w:sz w:val="18"/>
                <w:szCs w:val="18"/>
                <w:b w:val="1"/>
                <w:bCs w:val="1"/>
                <w:color w:val="auto"/>
              </w:rPr>
              <w:t>011-353-1-268-2000</w:t>
            </w:r>
          </w:p>
        </w:tc>
        <w:tc>
          <w:tcPr>
            <w:tcW w:w="2480" w:type="dxa"/>
            <w:vAlign w:val="bottom"/>
          </w:tcPr>
          <w:p>
            <w:pPr>
              <w:spacing w:after="0"/>
              <w:rPr>
                <w:sz w:val="22"/>
                <w:szCs w:val="22"/>
                <w:color w:val="auto"/>
              </w:rPr>
            </w:pPr>
          </w:p>
        </w:tc>
      </w:tr>
      <w:tr>
        <w:trPr>
          <w:trHeight w:val="182"/>
        </w:trPr>
        <w:tc>
          <w:tcPr>
            <w:tcW w:w="6840" w:type="dxa"/>
            <w:vAlign w:val="bottom"/>
          </w:tcPr>
          <w:p>
            <w:pPr>
              <w:jc w:val="center"/>
              <w:ind w:left="3445"/>
              <w:spacing w:after="0"/>
              <w:rPr>
                <w:sz w:val="20"/>
                <w:szCs w:val="20"/>
                <w:color w:val="auto"/>
              </w:rPr>
            </w:pPr>
            <w:r>
              <w:rPr>
                <w:rFonts w:ascii="Arial" w:cs="Arial" w:eastAsia="Arial" w:hAnsi="Arial"/>
                <w:sz w:val="14"/>
                <w:szCs w:val="14"/>
                <w:color w:val="auto"/>
                <w:w w:val="92"/>
              </w:rPr>
              <w:t>(Registrant’s telephone number, including area code)</w:t>
            </w:r>
          </w:p>
        </w:tc>
        <w:tc>
          <w:tcPr>
            <w:tcW w:w="2480" w:type="dxa"/>
            <w:vAlign w:val="bottom"/>
          </w:tcPr>
          <w:p>
            <w:pPr>
              <w:spacing w:after="0"/>
              <w:rPr>
                <w:sz w:val="15"/>
                <w:szCs w:val="15"/>
                <w:color w:val="auto"/>
              </w:rPr>
            </w:pPr>
          </w:p>
        </w:tc>
      </w:tr>
    </w:tbl>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0" w:lineRule="exact"/>
        <w:rPr>
          <w:sz w:val="24"/>
          <w:szCs w:val="24"/>
          <w:color w:val="auto"/>
        </w:rPr>
      </w:pPr>
    </w:p>
    <w:tbl>
      <w:tblPr>
        <w:tblLayout w:type="fixed"/>
        <w:tblInd w:w="174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920" w:type="dxa"/>
            <w:vAlign w:val="bottom"/>
            <w:gridSpan w:val="2"/>
          </w:tcPr>
          <w:p>
            <w:pPr>
              <w:jc w:val="center"/>
              <w:ind w:right="3768"/>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11"/>
        </w:trPr>
        <w:tc>
          <w:tcPr>
            <w:tcW w:w="5900" w:type="dxa"/>
            <w:vAlign w:val="bottom"/>
            <w:gridSpan w:val="3"/>
          </w:tcPr>
          <w:p>
            <w:pPr>
              <w:jc w:val="center"/>
              <w:ind w:right="2768"/>
              <w:spacing w:after="0"/>
              <w:rPr>
                <w:sz w:val="20"/>
                <w:szCs w:val="20"/>
                <w:color w:val="auto"/>
              </w:rPr>
            </w:pPr>
            <w:r>
              <w:rPr>
                <w:rFonts w:ascii="Arial" w:cs="Arial" w:eastAsia="Arial" w:hAnsi="Arial"/>
                <w:sz w:val="14"/>
                <w:szCs w:val="14"/>
                <w:b w:val="1"/>
                <w:bCs w:val="1"/>
                <w:color w:val="auto"/>
                <w:w w:val="92"/>
              </w:rPr>
              <w:t>Ordinary shares, nominal value $0.0001 per share</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Global Market</w:t>
            </w:r>
          </w:p>
        </w:tc>
      </w:tr>
      <w:tr>
        <w:trPr>
          <w:trHeight w:val="230"/>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66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1"/>
              </w:rPr>
              <w:t>None</w:t>
            </w:r>
          </w:p>
        </w:tc>
        <w:tc>
          <w:tcPr>
            <w:tcW w:w="2660" w:type="dxa"/>
            <w:vAlign w:val="bottom"/>
          </w:tcPr>
          <w:p>
            <w:pPr>
              <w:spacing w:after="0"/>
              <w:rPr>
                <w:sz w:val="18"/>
                <w:szCs w:val="18"/>
                <w:color w:val="auto"/>
              </w:rPr>
            </w:pPr>
          </w:p>
        </w:tc>
      </w:tr>
      <w:tr>
        <w:trPr>
          <w:trHeight w:val="109"/>
        </w:trPr>
        <w:tc>
          <w:tcPr>
            <w:tcW w:w="5900" w:type="dxa"/>
            <w:vAlign w:val="bottom"/>
            <w:gridSpan w:val="3"/>
          </w:tcPr>
          <w:p>
            <w:pPr>
              <w:jc w:val="center"/>
              <w:ind w:left="2011"/>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2660" w:type="dxa"/>
            <w:vAlign w:val="bottom"/>
          </w:tcPr>
          <w:p>
            <w:pPr>
              <w:spacing w:after="0"/>
              <w:rPr>
                <w:sz w:val="9"/>
                <w:szCs w:val="9"/>
                <w:color w:val="auto"/>
              </w:rPr>
            </w:pPr>
          </w:p>
        </w:tc>
      </w:tr>
    </w:tbl>
    <w:p>
      <w:pPr>
        <w:spacing w:after="0" w:line="123" w:lineRule="exact"/>
        <w:rPr>
          <w:sz w:val="24"/>
          <w:szCs w:val="24"/>
          <w:color w:val="auto"/>
        </w:rPr>
      </w:pPr>
    </w:p>
    <w:p>
      <w:pPr>
        <w:sectPr>
          <w:pgSz w:w="11900" w:h="16838" w:orient="portrait"/>
          <w:cols w:equalWidth="0" w:num="1">
            <w:col w:w="11400"/>
          </w:cols>
          <w:pgMar w:left="240" w:top="215" w:right="259" w:bottom="1440" w:gutter="0" w:footer="0" w:header="0"/>
        </w:sectPr>
      </w:pPr>
    </w:p>
    <w:p>
      <w:pPr>
        <w:spacing w:after="0" w:line="19" w:lineRule="exact"/>
        <w:rPr>
          <w:sz w:val="24"/>
          <w:szCs w:val="24"/>
          <w:color w:val="auto"/>
        </w:rPr>
      </w:pPr>
    </w:p>
    <w:p>
      <w:pPr>
        <w:ind w:left="40"/>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4" w:lineRule="exact"/>
        <w:rPr>
          <w:sz w:val="24"/>
          <w:szCs w:val="24"/>
          <w:color w:val="auto"/>
        </w:rPr>
      </w:pPr>
    </w:p>
    <w:p>
      <w:pPr>
        <w:jc w:val="both"/>
        <w:ind w:left="40" w:right="380"/>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br w:type="column"/>
      </w:r>
    </w:p>
    <w:p>
      <w:pPr>
        <w:jc w:val="right"/>
        <w:ind w:right="20"/>
        <w:spacing w:after="0" w:line="14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p>
      <w:pPr>
        <w:spacing w:after="0" w:line="18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 o</w:t>
      </w:r>
    </w:p>
    <w:p>
      <w:pPr>
        <w:spacing w:after="0" w:line="245" w:lineRule="exact"/>
        <w:rPr>
          <w:sz w:val="24"/>
          <w:szCs w:val="24"/>
          <w:color w:val="auto"/>
        </w:rPr>
      </w:pPr>
    </w:p>
    <w:p>
      <w:pPr>
        <w:jc w:val="right"/>
        <w:ind w:righ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p>
      <w:pPr>
        <w:spacing w:after="0" w:line="18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 o</w:t>
      </w:r>
    </w:p>
    <w:p>
      <w:pPr>
        <w:spacing w:after="0" w:line="331" w:lineRule="exact"/>
        <w:rPr>
          <w:sz w:val="24"/>
          <w:szCs w:val="24"/>
          <w:color w:val="auto"/>
        </w:rPr>
      </w:pPr>
    </w:p>
    <w:p>
      <w:pPr>
        <w:sectPr>
          <w:pgSz w:w="11900" w:h="16838" w:orient="portrait"/>
          <w:cols w:equalWidth="0" w:num="2">
            <w:col w:w="10480" w:space="460"/>
            <w:col w:w="460"/>
          </w:cols>
          <w:pgMar w:left="240" w:top="215" w:right="259" w:bottom="1440" w:gutter="0" w:footer="0" w:header="0"/>
          <w:type w:val="continuous"/>
        </w:sectPr>
      </w:pPr>
    </w:p>
    <w:p>
      <w:pPr>
        <w:ind w:right="18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680" w:type="dxa"/>
        <w:tblCellMar>
          <w:top w:w="0" w:type="dxa"/>
          <w:left w:w="0" w:type="dxa"/>
          <w:bottom w:w="0" w:type="dxa"/>
          <w:right w:w="0" w:type="dxa"/>
        </w:tblCellMar>
      </w:tblPr>
      <w:tr>
        <w:trPr>
          <w:trHeight w:val="269"/>
        </w:trPr>
        <w:tc>
          <w:tcPr>
            <w:tcW w:w="26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80" w:type="dxa"/>
            <w:vAlign w:val="bottom"/>
            <w:gridSpan w:val="2"/>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300"/>
              <w:spacing w:after="0"/>
              <w:rPr>
                <w:sz w:val="20"/>
                <w:szCs w:val="20"/>
                <w:color w:val="auto"/>
              </w:rPr>
            </w:pPr>
            <w:r>
              <w:rPr>
                <w:rFonts w:ascii="Arial" w:cs="Arial" w:eastAsia="Arial" w:hAnsi="Arial"/>
                <w:sz w:val="17"/>
                <w:szCs w:val="17"/>
                <w:color w:val="auto"/>
                <w:w w:val="84"/>
              </w:rPr>
              <w:t>o</w:t>
            </w:r>
          </w:p>
        </w:tc>
      </w:tr>
      <w:tr>
        <w:trPr>
          <w:trHeight w:val="358"/>
        </w:trPr>
        <w:tc>
          <w:tcPr>
            <w:tcW w:w="2600" w:type="dxa"/>
            <w:vAlign w:val="bottom"/>
          </w:tcPr>
          <w:p>
            <w:pPr>
              <w:spacing w:after="0"/>
              <w:rPr>
                <w:sz w:val="20"/>
                <w:szCs w:val="20"/>
                <w:color w:val="auto"/>
              </w:rPr>
            </w:pPr>
            <w:r>
              <w:rPr>
                <w:rFonts w:ascii="Arial" w:cs="Arial" w:eastAsia="Arial" w:hAnsi="Arial"/>
                <w:sz w:val="17"/>
                <w:szCs w:val="17"/>
                <w:color w:val="auto"/>
              </w:rPr>
              <w:t>Non-accelerated filer</w:t>
            </w:r>
          </w:p>
        </w:tc>
        <w:tc>
          <w:tcPr>
            <w:tcW w:w="780" w:type="dxa"/>
            <w:vAlign w:val="bottom"/>
          </w:tcPr>
          <w:p>
            <w:pPr>
              <w:ind w:left="640"/>
              <w:spacing w:after="0"/>
              <w:rPr>
                <w:sz w:val="20"/>
                <w:szCs w:val="20"/>
                <w:color w:val="auto"/>
              </w:rPr>
            </w:pPr>
            <w:r>
              <w:rPr>
                <w:rFonts w:ascii="Arial" w:cs="Arial" w:eastAsia="Arial" w:hAnsi="Arial"/>
                <w:sz w:val="17"/>
                <w:szCs w:val="17"/>
                <w:color w:val="auto"/>
              </w:rPr>
              <w:t>o</w:t>
            </w:r>
          </w:p>
        </w:tc>
        <w:tc>
          <w:tcPr>
            <w:tcW w:w="39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04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300"/>
              <w:spacing w:after="0"/>
              <w:rPr>
                <w:sz w:val="20"/>
                <w:szCs w:val="20"/>
                <w:color w:val="auto"/>
              </w:rPr>
            </w:pPr>
            <w:r>
              <w:rPr>
                <w:rFonts w:ascii="Arial" w:cs="Arial" w:eastAsia="Arial" w:hAnsi="Arial"/>
                <w:sz w:val="17"/>
                <w:szCs w:val="17"/>
                <w:color w:val="auto"/>
                <w:w w:val="84"/>
              </w:rPr>
              <w:t>o</w:t>
            </w:r>
          </w:p>
        </w:tc>
      </w:tr>
      <w:tr>
        <w:trPr>
          <w:trHeight w:val="378"/>
        </w:trPr>
        <w:tc>
          <w:tcPr>
            <w:tcW w:w="26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780" w:type="dxa"/>
            <w:vAlign w:val="bottom"/>
          </w:tcPr>
          <w:p>
            <w:pPr>
              <w:ind w:left="640"/>
              <w:spacing w:after="0"/>
              <w:rPr>
                <w:sz w:val="20"/>
                <w:szCs w:val="20"/>
                <w:color w:val="auto"/>
              </w:rPr>
            </w:pPr>
            <w:r>
              <w:rPr>
                <w:rFonts w:ascii="Arial" w:cs="Arial" w:eastAsia="Arial" w:hAnsi="Arial"/>
                <w:sz w:val="17"/>
                <w:szCs w:val="17"/>
                <w:color w:val="auto"/>
              </w:rPr>
              <w:t>o</w:t>
            </w:r>
          </w:p>
        </w:tc>
        <w:tc>
          <w:tcPr>
            <w:tcW w:w="39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89" w:lineRule="exact"/>
        <w:rPr>
          <w:sz w:val="24"/>
          <w:szCs w:val="24"/>
          <w:color w:val="auto"/>
        </w:rPr>
      </w:pPr>
    </w:p>
    <w:p>
      <w:pPr>
        <w:sectPr>
          <w:pgSz w:w="11900" w:h="16838" w:orient="portrait"/>
          <w:cols w:equalWidth="0" w:num="1">
            <w:col w:w="11400"/>
          </w:cols>
          <w:pgMar w:left="240" w:top="215" w:right="259" w:bottom="1440" w:gutter="0" w:footer="0" w:header="0"/>
          <w:type w:val="continuous"/>
        </w:sectPr>
      </w:pPr>
    </w:p>
    <w:p>
      <w:pPr>
        <w:ind w:left="40"/>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ordinary shares, as of the latest practicable date.</w:t>
      </w:r>
    </w:p>
    <w:p>
      <w:pPr>
        <w:spacing w:after="0" w:line="168" w:lineRule="exact"/>
        <w:rPr>
          <w:sz w:val="24"/>
          <w:szCs w:val="24"/>
          <w:color w:val="auto"/>
        </w:rPr>
      </w:pPr>
    </w:p>
    <w:p>
      <w:pPr>
        <w:ind w:left="40"/>
        <w:spacing w:after="0"/>
        <w:tabs>
          <w:tab w:leader="none" w:pos="5540" w:val="left"/>
        </w:tabs>
        <w:rPr>
          <w:sz w:val="20"/>
          <w:szCs w:val="20"/>
          <w:color w:val="auto"/>
        </w:rPr>
      </w:pPr>
      <w:r>
        <w:rPr>
          <w:rFonts w:ascii="Arial" w:cs="Arial" w:eastAsia="Arial" w:hAnsi="Arial"/>
          <w:sz w:val="17"/>
          <w:szCs w:val="17"/>
          <w:color w:val="auto"/>
        </w:rPr>
        <w:t>Ordinary shares, $0.0001 par value</w:t>
      </w:r>
      <w:r>
        <w:rPr>
          <w:sz w:val="20"/>
          <w:szCs w:val="20"/>
          <w:color w:val="auto"/>
        </w:rPr>
        <w:tab/>
      </w:r>
      <w:r>
        <w:rPr>
          <w:rFonts w:ascii="Arial" w:cs="Arial" w:eastAsia="Arial" w:hAnsi="Arial"/>
          <w:sz w:val="15"/>
          <w:szCs w:val="15"/>
          <w:color w:val="auto"/>
        </w:rPr>
        <w:t>Number of ordinary shares outstanding as of May 1, 2018: 223,790,900</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w:t>
      </w:r>
    </w:p>
    <w:p>
      <w:pPr>
        <w:spacing w:after="0" w:line="277" w:lineRule="exact"/>
        <w:rPr>
          <w:sz w:val="24"/>
          <w:szCs w:val="24"/>
          <w:color w:val="auto"/>
        </w:rPr>
      </w:pPr>
    </w:p>
    <w:p>
      <w:pPr>
        <w:ind w:left="40"/>
        <w:spacing w:after="0"/>
        <w:rPr>
          <w:sz w:val="20"/>
          <w:szCs w:val="20"/>
          <w:color w:val="auto"/>
        </w:rPr>
      </w:pPr>
      <w:r>
        <w:rPr>
          <w:rFonts w:ascii="Arial" w:cs="Arial" w:eastAsia="Arial" w:hAnsi="Arial"/>
          <w:sz w:val="14"/>
          <w:szCs w:val="14"/>
          <w:color w:val="auto"/>
        </w:rPr>
        <w:t>Yes o</w:t>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2">
            <w:col w:w="10540" w:space="440"/>
            <w:col w:w="420"/>
          </w:cols>
          <w:pgMar w:left="240" w:top="215"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ENDO INTERNATIONAL PLC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91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1"/>
          </w:tcPr>
          <w:p>
            <w:pPr>
              <w:jc w:val="center"/>
              <w:ind w:right="2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60" w:type="dxa"/>
            <w:vAlign w:val="bottom"/>
            <w:tcBorders>
              <w:top w:val="single" w:sz="8" w:color="0000EE"/>
            </w:tcBorders>
            <w:gridSpan w:val="9"/>
          </w:tcPr>
          <w:p>
            <w:pPr>
              <w:spacing w:after="0"/>
              <w:rPr>
                <w:sz w:val="21"/>
                <w:szCs w:val="21"/>
                <w:color w:val="auto"/>
              </w:rPr>
            </w:pPr>
          </w:p>
        </w:tc>
        <w:tc>
          <w:tcPr>
            <w:tcW w:w="2380" w:type="dxa"/>
            <w:vAlign w:val="bottom"/>
            <w:gridSpan w:val="2"/>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(Unaudited)</w:t>
              </w:r>
            </w:hyperlink>
          </w:p>
        </w:tc>
        <w:tc>
          <w:tcPr>
            <w:tcW w:w="2960" w:type="dxa"/>
            <w:vAlign w:val="bottom"/>
            <w:gridSpan w:val="4"/>
          </w:tcPr>
          <w:p>
            <w:pPr>
              <w:spacing w:after="0"/>
              <w:rPr>
                <w:sz w:val="21"/>
                <w:szCs w:val="21"/>
                <w:color w:val="auto"/>
              </w:rPr>
            </w:pPr>
          </w:p>
        </w:tc>
        <w:tc>
          <w:tcPr>
            <w:tcW w:w="20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82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21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218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21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OTHER INFORMATION</w:t>
              </w:r>
            </w:hyperlink>
          </w:p>
        </w:tc>
        <w:tc>
          <w:tcPr>
            <w:tcW w:w="252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82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Risk Factors</w:t>
              </w:r>
            </w:hyperlink>
          </w:p>
        </w:tc>
        <w:tc>
          <w:tcPr>
            <w:tcW w:w="7360" w:type="dxa"/>
            <w:vAlign w:val="bottom"/>
            <w:gridSpan w:val="17"/>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280" w:type="dxa"/>
            <w:vAlign w:val="bottom"/>
            <w:gridSpan w:val="2"/>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594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82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6.</w:t>
              </w:r>
            </w:hyperlink>
          </w:p>
        </w:tc>
        <w:tc>
          <w:tcPr>
            <w:tcW w:w="826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1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760" w:type="dxa"/>
            <w:vAlign w:val="bottom"/>
            <w:gridSpan w:val="3"/>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51"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section titled “Management’s Discussion and Analysis of Financial Condition and Results of Operations,” which is included in this document, are subject to risks and uncertainties. Forward-looking statements include the information concerning our possible or assumed results of operations. We have tried, whenever possible, to identify such statements by words such as “believes,” “expects,” “anticipates,” “intends,” “estimates,” “plan,” “projected,”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under the caption “Risk Factors” in Part II, Item 1A of this document and in Part I, Item 1A of our Annual Report on Form 10-K for the year ended December 31, 2017, and as otherwise enumerated herein, could affect our future financial results and could cause our actual results to differ materially from those expressed in forward-looking statements contained or incorporated by reference in this document.</w:t>
      </w:r>
    </w:p>
    <w:p>
      <w:pPr>
        <w:spacing w:after="0" w:line="6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 You are advised to consult any further disclosures we make on related subjects in our reports filed with the Securities and Exchange Commission (SEC) and with securities regulators in Canada on the System for Electronic Document Analysis and Retrieval (SEDAR). Also note that, in Part II, Item 1A of this document and in Part I, Item 1A of our Annual Report on Form 10-K for the year ended December 31, 2017,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118" w:right="29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860" w:type="dxa"/>
            <w:vAlign w:val="bottom"/>
          </w:tcPr>
          <w:p>
            <w:pPr>
              <w:jc w:val="center"/>
              <w:ind w:left="2033"/>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7860" w:type="dxa"/>
            <w:vAlign w:val="bottom"/>
          </w:tcPr>
          <w:p>
            <w:pPr>
              <w:jc w:val="center"/>
              <w:ind w:left="2033"/>
              <w:spacing w:after="0"/>
              <w:rPr>
                <w:sz w:val="20"/>
                <w:szCs w:val="20"/>
                <w:color w:val="auto"/>
              </w:rPr>
            </w:pPr>
            <w:r>
              <w:rPr>
                <w:rFonts w:ascii="Arial" w:cs="Arial" w:eastAsia="Arial" w:hAnsi="Arial"/>
                <w:sz w:val="18"/>
                <w:szCs w:val="18"/>
                <w:b w:val="1"/>
                <w:bCs w:val="1"/>
                <w:color w:val="auto"/>
              </w:rPr>
              <w:t>ENDO INTERNATIONAL PLC</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7860" w:type="dxa"/>
            <w:vAlign w:val="bottom"/>
          </w:tcPr>
          <w:p>
            <w:pPr>
              <w:jc w:val="center"/>
              <w:ind w:left="2033"/>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720" w:type="dxa"/>
            <w:vAlign w:val="bottom"/>
          </w:tcPr>
          <w:p>
            <w:pPr>
              <w:spacing w:after="0"/>
              <w:rPr>
                <w:sz w:val="18"/>
                <w:szCs w:val="18"/>
                <w:color w:val="auto"/>
              </w:rPr>
            </w:pPr>
          </w:p>
        </w:tc>
        <w:tc>
          <w:tcPr>
            <w:tcW w:w="7860" w:type="dxa"/>
            <w:vAlign w:val="bottom"/>
          </w:tcPr>
          <w:p>
            <w:pPr>
              <w:jc w:val="center"/>
              <w:ind w:left="2053"/>
              <w:spacing w:after="0"/>
              <w:rPr>
                <w:sz w:val="20"/>
                <w:szCs w:val="20"/>
                <w:color w:val="auto"/>
              </w:rPr>
            </w:pPr>
            <w:r>
              <w:rPr>
                <w:rFonts w:ascii="Arial" w:cs="Arial" w:eastAsia="Arial" w:hAnsi="Arial"/>
                <w:sz w:val="16"/>
                <w:szCs w:val="16"/>
                <w:b w:val="1"/>
                <w:bCs w:val="1"/>
                <w:color w:val="auto"/>
                <w:w w:val="90"/>
              </w:rPr>
              <w:t>(In thousands, except share and per share data)</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05"/>
        </w:trPr>
        <w:tc>
          <w:tcPr>
            <w:tcW w:w="7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3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7860" w:type="dxa"/>
            <w:vAlign w:val="bottom"/>
            <w:tcBorders>
              <w:top w:val="single" w:sz="8" w:color="CCEEFF"/>
              <w:bottom w:val="single" w:sz="8" w:color="CCEEFF"/>
            </w:tcBorders>
            <w:shd w:val="clear" w:color="auto" w:fill="CCEEFF"/>
          </w:tcPr>
          <w:p>
            <w:pPr>
              <w:jc w:val="center"/>
              <w:ind w:right="633"/>
              <w:spacing w:after="0"/>
              <w:rPr>
                <w:sz w:val="20"/>
                <w:szCs w:val="20"/>
                <w:color w:val="auto"/>
              </w:rPr>
            </w:pPr>
            <w:r>
              <w:rPr>
                <w:rFonts w:ascii="Arial" w:cs="Arial" w:eastAsia="Arial" w:hAnsi="Arial"/>
                <w:sz w:val="17"/>
                <w:szCs w:val="17"/>
                <w:b w:val="1"/>
                <w:bCs w:val="1"/>
                <w:color w:val="auto"/>
                <w:w w:val="91"/>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980,412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986,605</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Restricted cash and cash equivalents</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335,858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320,453</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460,019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517,436</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Inventories, net</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376,650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391,437</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43,098</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Income taxes receivable</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8,781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12,048</w:t>
            </w:r>
          </w:p>
        </w:tc>
      </w:tr>
      <w:tr>
        <w:trPr>
          <w:trHeight w:val="31"/>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2,208,454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2,271,077</w:t>
            </w:r>
          </w:p>
        </w:tc>
      </w:tr>
      <w:tr>
        <w:trPr>
          <w:trHeight w:val="21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MARKETABLE SECURITIES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3,294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1,456</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511,227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523,971</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4,056,854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4,450,082</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 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4,102,704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4,317,684</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11,582</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51,205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59,728</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10,933,745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11,635,580</w:t>
            </w:r>
          </w:p>
        </w:tc>
      </w:tr>
      <w:tr>
        <w:trPr>
          <w:trHeight w:val="237"/>
        </w:trPr>
        <w:tc>
          <w:tcPr>
            <w:tcW w:w="72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shd w:val="clear" w:color="auto" w:fill="CCEEFF"/>
          </w:tcPr>
          <w:p>
            <w:pPr>
              <w:jc w:val="center"/>
              <w:ind w:right="633"/>
              <w:spacing w:after="0"/>
              <w:rPr>
                <w:sz w:val="20"/>
                <w:szCs w:val="20"/>
                <w:color w:val="auto"/>
              </w:rPr>
            </w:pPr>
            <w:r>
              <w:rPr>
                <w:rFonts w:ascii="Arial" w:cs="Arial" w:eastAsia="Arial" w:hAnsi="Arial"/>
                <w:sz w:val="17"/>
                <w:szCs w:val="17"/>
                <w:b w:val="1"/>
                <w:bCs w:val="1"/>
                <w:color w:val="auto"/>
              </w:rPr>
              <w:t>LIABILITIES AND SHAREHOLDERS' (DEFICIT) EQUITY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953,195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1,096,825</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Current portion of legal settlement accrual</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1,098,819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1,087,793</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34,205</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2,086</w:t>
            </w:r>
          </w:p>
        </w:tc>
      </w:tr>
      <w:tr>
        <w:trPr>
          <w:trHeight w:val="31"/>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2,087,599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2,220,909</w:t>
            </w:r>
          </w:p>
        </w:tc>
      </w:tr>
      <w:tr>
        <w:trPr>
          <w:trHeight w:val="21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DEFERRED INCOME TAXES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42,581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43,131</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8,237,487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8,242,032</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LONG-TERM LEGAL SETTLEMENT ACCRUAL, LESS CURRENT PORTION</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142,059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210,450</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431,112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434,178</w:t>
            </w:r>
          </w:p>
        </w:tc>
      </w:tr>
      <w:tr>
        <w:trPr>
          <w:trHeight w:val="239"/>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COMMITMENTS AND CONTINGENCIES (NOTE 12)</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SHAREHOLDERS' (DEFICIT)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2"/>
        </w:trPr>
        <w:tc>
          <w:tcPr>
            <w:tcW w:w="8580" w:type="dxa"/>
            <w:vAlign w:val="bottom"/>
            <w:gridSpan w:val="2"/>
          </w:tcPr>
          <w:p>
            <w:pPr>
              <w:ind w:left="180"/>
              <w:spacing w:after="0"/>
              <w:rPr>
                <w:sz w:val="20"/>
                <w:szCs w:val="20"/>
                <w:color w:val="auto"/>
              </w:rPr>
            </w:pPr>
            <w:r>
              <w:rPr>
                <w:rFonts w:ascii="Arial" w:cs="Arial" w:eastAsia="Arial" w:hAnsi="Arial"/>
                <w:sz w:val="17"/>
                <w:szCs w:val="17"/>
                <w:color w:val="auto"/>
                <w:w w:val="90"/>
              </w:rPr>
              <w:t>Euro deferred shares, $0.01 par value; 4,000,000 shares authorized and issued at both March 31, 2018 and December 31,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20" w:type="dxa"/>
            <w:vAlign w:val="bottom"/>
          </w:tcPr>
          <w:p>
            <w:pPr>
              <w:ind w:left="180"/>
              <w:spacing w:after="0"/>
              <w:rPr>
                <w:sz w:val="20"/>
                <w:szCs w:val="20"/>
                <w:color w:val="auto"/>
              </w:rPr>
            </w:pPr>
            <w:r>
              <w:rPr>
                <w:rFonts w:ascii="Arial" w:cs="Arial" w:eastAsia="Arial" w:hAnsi="Arial"/>
                <w:sz w:val="17"/>
                <w:szCs w:val="17"/>
                <w:color w:val="auto"/>
              </w:rPr>
              <w:t>2017</w:t>
            </w:r>
          </w:p>
        </w:tc>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2"/>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2"/>
              </w:rPr>
              <w:t>Ordinary shares, $0.0001 par value; 1,000,000,000 shares authorized; 223,783,675 and 223,331,706 shares issued and</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outstanding at March 31, 2018 and December 31, 2017,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8,807,406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8,791,170</w:t>
            </w:r>
          </w:p>
        </w:tc>
      </w:tr>
      <w:tr>
        <w:trPr>
          <w:trHeight w:val="31"/>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(8,598,952)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(8,096,539)</w:t>
            </w:r>
          </w:p>
        </w:tc>
      </w:tr>
      <w:tr>
        <w:trPr>
          <w:trHeight w:val="239"/>
        </w:trPr>
        <w:tc>
          <w:tcPr>
            <w:tcW w:w="858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(215,618)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(209,821)</w:t>
            </w:r>
          </w:p>
        </w:tc>
      </w:tr>
      <w:tr>
        <w:trPr>
          <w:trHeight w:val="31"/>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shareholders' (deficit)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484,880</w:t>
            </w:r>
          </w:p>
        </w:tc>
      </w:tr>
      <w:tr>
        <w:trPr>
          <w:trHeight w:val="244"/>
        </w:trPr>
        <w:tc>
          <w:tcPr>
            <w:tcW w:w="8580" w:type="dxa"/>
            <w:vAlign w:val="bottom"/>
            <w:gridSpan w:val="2"/>
          </w:tcPr>
          <w:p>
            <w:pPr>
              <w:ind w:left="40"/>
              <w:spacing w:after="0"/>
              <w:rPr>
                <w:sz w:val="20"/>
                <w:szCs w:val="20"/>
                <w:color w:val="auto"/>
              </w:rPr>
            </w:pPr>
            <w:r>
              <w:rPr>
                <w:rFonts w:ascii="Arial" w:cs="Arial" w:eastAsia="Arial" w:hAnsi="Arial"/>
                <w:sz w:val="17"/>
                <w:szCs w:val="17"/>
                <w:color w:val="auto"/>
              </w:rPr>
              <w:t>TOTAL LIABILITIES AND SHAREHOLDERS' (DEFICIT)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10,933,745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11,635,580</w:t>
            </w:r>
          </w:p>
        </w:tc>
      </w:tr>
      <w:tr>
        <w:trPr>
          <w:trHeight w:val="20"/>
        </w:trPr>
        <w:tc>
          <w:tcPr>
            <w:tcW w:w="7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700,527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1,037,600</w:t>
            </w: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COSTS AND EXPENSES: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403,598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668,962</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166,667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177,240</w:t>
            </w: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43,009</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Litigation-related and other contingencies,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936</w:t>
            </w: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448,416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203,962</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Acquisition-related and integration items</w:t>
            </w:r>
          </w:p>
        </w:tc>
        <w:tc>
          <w:tcPr>
            <w:tcW w:w="2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6,835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10,880</w:t>
            </w:r>
          </w:p>
        </w:tc>
      </w:tr>
      <w:tr>
        <w:trPr>
          <w:trHeight w:val="31"/>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 FROM CONTINUING OPERATIONS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(67,389)</w:t>
            </w: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123,990</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111,999</w:t>
            </w: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(2,037)</w:t>
            </w: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LOSS FROM CONTINUING OPERATIONS BEFORE INCOME TAX</w:t>
            </w: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(482,247)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(177,351)</w:t>
            </w:r>
          </w:p>
        </w:tc>
      </w:tr>
      <w:tr>
        <w:trPr>
          <w:trHeight w:val="31"/>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(11,928)</w:t>
            </w: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LOSS FROM CONTINUING OPERATIONS</w:t>
            </w: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(497,738)</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(165,423)</w:t>
            </w:r>
          </w:p>
        </w:tc>
      </w:tr>
      <w:tr>
        <w:trPr>
          <w:trHeight w:val="31"/>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NET OF TAX (NOTE 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(8,405)</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(505,489)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(173,828)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PER SHARE—BASIC:</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(0.74)</w:t>
            </w: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(0.04)</w:t>
            </w: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Basic</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PER SHARE—DILUTED: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(0.74)</w:t>
            </w: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(0.04)</w:t>
            </w: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Diluted</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SHARES: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223,521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223,014</w:t>
            </w:r>
          </w:p>
        </w:tc>
      </w:tr>
      <w:tr>
        <w:trPr>
          <w:trHeight w:val="31"/>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9"/>
        </w:trPr>
        <w:tc>
          <w:tcPr>
            <w:tcW w:w="8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223,521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223,014</w:t>
            </w:r>
          </w:p>
        </w:tc>
      </w:tr>
      <w:tr>
        <w:trPr>
          <w:trHeight w:val="31"/>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4"/>
                <w:szCs w:val="14"/>
                <w:b w:val="1"/>
                <w:bCs w:val="1"/>
                <w:color w:val="auto"/>
              </w:rPr>
              <w:t>Three Months Ended March 31,</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(loss) on securities, net of tax:</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Unrealized gain (loss) arising during the period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adjustments for gain realized in net loss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Net unrealized (loss) gain on foreign currency:</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(loss) gain arising during the period</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Less: reclassification adjustments for loss realized in net loss</w:t>
            </w:r>
          </w:p>
        </w:tc>
        <w:tc>
          <w:tcPr>
            <w:tcW w:w="460" w:type="dxa"/>
            <w:vAlign w:val="bottom"/>
          </w:tcPr>
          <w:p>
            <w:pPr>
              <w:spacing w:after="0"/>
              <w:rPr>
                <w:sz w:val="21"/>
                <w:szCs w:val="21"/>
                <w:color w:val="auto"/>
              </w:rPr>
            </w:pPr>
          </w:p>
        </w:tc>
        <w:tc>
          <w:tcPr>
            <w:tcW w:w="13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3"/>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15,134</w:t>
            </w:r>
          </w:p>
        </w:tc>
      </w:tr>
      <w:tr>
        <w:trPr>
          <w:trHeight w:val="27"/>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(159,040)</w:t>
            </w:r>
          </w:p>
        </w:tc>
      </w:tr>
      <w:tr>
        <w:trPr>
          <w:trHeight w:val="20"/>
        </w:trPr>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(505,489)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(173,828)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191,590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286,855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step-up</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 and discount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Asset impairment charges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448,416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203,962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business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assets and liabilities which provided (used) cash:</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310,564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(482,716)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payable/receivable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48,846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167,763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 excluding capitalized interest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 payments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business and other assets,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13,350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Principal payments on term loans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other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for contingent consideration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tax withholding for restricted shares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Movement in cash held for sale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96,514</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w w:val="96"/>
              </w:rPr>
              <w:t>CASH, CASH EQUIVALENTS, RESTRICTED CASH AND RESTRICTED CASH EQUIVALENTS, BEGINNING</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OF PERIOD</w:t>
            </w: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1,311,014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805,180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END OF</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1,320,226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901,694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SUPPLEMENTAL INFORMATION:</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243,344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247,530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cash distributions for mesh legal settlements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SCHEDULE OF NON-CASH INVESTING AND 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for purchases of property, plant and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Endo International plc is an Ireland-domiciled, global specialty pharmaceutical company focused on generic and branded pharmaceuticals. We aim to be the premier partner to healthcare professionals and payment providers, delivering an innovative suite of generic and branded drugs to meet patients’ needs.</w:t>
      </w:r>
    </w:p>
    <w:p>
      <w:pPr>
        <w:spacing w:after="0" w:line="16"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62"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accompanying unaudited Condensed Consolidated Financial Statements of Endo International plc and its subsidiaries have been prepared in accordance with United States (U.S.) generally accepted accounting principles (GAAP) for interim financial information and the instructions to Form 10-Q and Article 10 of Regulation S-X of the Securities and Exchange Commission for interim financial information. Accordingly, they do not include all of the information and footnotes required by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March 31, 2018 and the results of our operations and our cash flows for the periods presented. Operating results for the three months ended March 31, 2018 are not necessarily indicative of the results that may be expected for the year ending December 31, 2018. The year-end Condensed Consolidated Balance Sheet data as of December 31, 2017 was derived from audited financial statements.</w:t>
      </w:r>
    </w:p>
    <w:p>
      <w:pPr>
        <w:spacing w:after="0" w:line="58"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2017.</w:t>
      </w:r>
    </w:p>
    <w:p>
      <w:pPr>
        <w:spacing w:after="0" w:line="62" w:lineRule="exact"/>
        <w:rPr>
          <w:sz w:val="20"/>
          <w:szCs w:val="20"/>
          <w:color w:val="auto"/>
        </w:rPr>
      </w:pPr>
    </w:p>
    <w:p>
      <w:pPr>
        <w:ind w:right="240" w:firstLine="486"/>
        <w:spacing w:after="0" w:line="312" w:lineRule="auto"/>
        <w:rPr>
          <w:sz w:val="20"/>
          <w:szCs w:val="20"/>
          <w:color w:val="auto"/>
        </w:rPr>
      </w:pPr>
      <w:r>
        <w:rPr>
          <w:rFonts w:ascii="Arial" w:cs="Arial" w:eastAsia="Arial" w:hAnsi="Arial"/>
          <w:sz w:val="16"/>
          <w:szCs w:val="16"/>
          <w:color w:val="auto"/>
        </w:rPr>
        <w:t xml:space="preserve">Certain prior period amounts have been reclassified to conform to the current period presentation as a result of our fourth-quarter 2017 adoption of Accounting Standards Update (ASU) No. 2016-18 </w:t>
      </w:r>
      <w:r>
        <w:rPr>
          <w:rFonts w:ascii="Arial" w:cs="Arial" w:eastAsia="Arial" w:hAnsi="Arial"/>
          <w:sz w:val="16"/>
          <w:szCs w:val="16"/>
          <w:i w:val="1"/>
          <w:iCs w:val="1"/>
          <w:color w:val="auto"/>
        </w:rPr>
        <w:t>“Statement of Cash Flows (Topic 230) - Restricted Cash”</w:t>
      </w:r>
      <w:r>
        <w:rPr>
          <w:rFonts w:ascii="Arial" w:cs="Arial" w:eastAsia="Arial" w:hAnsi="Arial"/>
          <w:sz w:val="16"/>
          <w:szCs w:val="16"/>
          <w:color w:val="auto"/>
        </w:rPr>
        <w:t xml:space="preserve"> (ASU 2016-18). The table below presents the effects of ASU 2016-18 on the Company’s Condensed Consolidated Statement of Cash Flows for the three months ended March 31, 2017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Prior to Adoption</w:t>
            </w:r>
          </w:p>
        </w:tc>
        <w:tc>
          <w:tcPr>
            <w:tcW w:w="100" w:type="dxa"/>
            <w:vAlign w:val="bottom"/>
            <w:vMerge w:val="restart"/>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Impact of Adoption</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Subsequent to</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167,763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167,763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foreign exchange rate</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Movement in cash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change (1)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100,339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96,514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Beginning-of-period balance (2)</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517,250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805,180</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End-of-period balance (2)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617,589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284,105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901,694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20" w:hanging="329"/>
        <w:spacing w:after="0" w:line="24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line refers to the “Net increase in cash and cash equivalents” prior to the adoption of ASU 2016-18 and the “Net increase in cash, cash equivalents, restricted cash and restricted cash equivalents” after the adoption.</w:t>
      </w:r>
    </w:p>
    <w:p>
      <w:pPr>
        <w:ind w:left="580" w:right="260" w:hanging="329"/>
        <w:spacing w:after="0" w:line="255"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lines refer to the beginning or end of period amounts of “Cash and cash equivalents” prior to the adoption of ASU 2016-18 and the beginning or end of period amounts of “Cash, cash equivalents, restricted cash and restricted cash equivalents” after the adoption.</w:t>
      </w:r>
    </w:p>
    <w:p>
      <w:pPr>
        <w:spacing w:after="0" w:line="8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Additionally, the information in this Quarterly Report on Form 10-Q has been retrospectively recast to reflect the change in reportable segments referenced in Note 5. Segment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Updated since December 31, 2017</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Significant changes to our significant accounting policies since December 31, 2017 are detailed below. For additional discussion of the Company’s significant accounting policies, see Note 2. Summary of Significant Accounting Policies in the Consolidated Financial Statements, included in Part IV, Item 15 of our Annual Report on Form 10-K for the year ended December 31, 2017, filed with the Securities and Exchange Commission on February 27,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Company adopted</w:t>
      </w:r>
      <w:r>
        <w:rPr>
          <w:rFonts w:ascii="Arial" w:cs="Arial" w:eastAsia="Arial" w:hAnsi="Arial"/>
          <w:sz w:val="16"/>
          <w:szCs w:val="16"/>
          <w:i w:val="1"/>
          <w:iCs w:val="1"/>
          <w:color w:val="auto"/>
        </w:rPr>
        <w:t xml:space="preserve"> Accounting Standards Codification Topic 606, Revenue from Contracts with Customers </w:t>
      </w:r>
      <w:r>
        <w:rPr>
          <w:rFonts w:ascii="Arial" w:cs="Arial" w:eastAsia="Arial" w:hAnsi="Arial"/>
          <w:sz w:val="16"/>
          <w:szCs w:val="16"/>
          <w:color w:val="auto"/>
        </w:rPr>
        <w:t>(ASC 606) on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2018 using the modified retrospective method for all revenue-generating contracts, including modifications thereto, that were not completed contracts at the date of adoption. For further discussion of the impact of adoption, refer to the “Recent Accounting Pronouncements Adopted or Otherwise Effective as of March 31, 2018” section below.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 to a customer pursuant to a purchase order and invoice the customer upon shipment.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distribution service agreement (DSA) and other fees for services, returns and allowances.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that it is probable that a significant revenue reversal will not occur when the uncertainty associated with the variable consideration is resolved. Payment terms for these types of contracts generally fall within 30 to 90 days of invoicing. Our most significant components of variable consideration are further described below. Our estimates for these components are based on factors such as historical experience, estimated future trends, estimated customer inventory levels, current contract sales terms with our direct and indirect customers and other competitive factors.</w:t>
      </w:r>
    </w:p>
    <w:p>
      <w:pPr>
        <w:spacing w:after="0" w:line="80" w:lineRule="exact"/>
        <w:rPr>
          <w:sz w:val="20"/>
          <w:szCs w:val="20"/>
          <w:color w:val="auto"/>
        </w:rPr>
      </w:pPr>
    </w:p>
    <w:p>
      <w:pPr>
        <w:ind w:right="240" w:firstLine="243"/>
        <w:spacing w:after="0" w:line="259" w:lineRule="auto"/>
        <w:rPr>
          <w:sz w:val="20"/>
          <w:szCs w:val="20"/>
          <w:color w:val="auto"/>
        </w:rPr>
      </w:pPr>
      <w:r>
        <w:rPr>
          <w:rFonts w:ascii="Arial" w:cs="Arial" w:eastAsia="Arial" w:hAnsi="Arial"/>
          <w:sz w:val="18"/>
          <w:szCs w:val="18"/>
          <w:i w:val="1"/>
          <w:iCs w:val="1"/>
          <w:color w:val="auto"/>
        </w:rPr>
        <w:t xml:space="preserve">Returns and Allowances. </w:t>
      </w:r>
      <w:r>
        <w:rPr>
          <w:rFonts w:ascii="Arial" w:cs="Arial" w:eastAsia="Arial" w:hAnsi="Arial"/>
          <w:sz w:val="18"/>
          <w:szCs w:val="18"/>
          <w:color w:val="auto"/>
        </w:rPr>
        <w:t>Consistent with industry practice, we maintain a return policy that allows our customers to return product within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both subsequent to and, in certain cases, prior to the product’s expiration date. Our return policy generally allows customers to receive credit for expired products within six months prior to expiration and within one year after expiration. Our provision for returns and allowances consists of our estimates for future product returns, pricing adjustments and delivery errors.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which have purchased our products from a wholesaler under a contract with us.</w:t>
      </w:r>
    </w:p>
    <w:p>
      <w:pPr>
        <w:spacing w:after="0" w:line="63"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We are subject to rebates on sales made under governmental and managed-care pricing programs based on relevant statutes with respect to governmental pricing programs and contractual sales terms with respect to managed-care providers and group purchasing organizations. For example, we are required to provide a 50% discount on our brand-name drugs to patients who fall within the Medicare Part D coverage gap, also referred to as the donut hole.</w:t>
      </w:r>
    </w:p>
    <w:p>
      <w:pPr>
        <w:spacing w:after="0" w:line="39" w:lineRule="exact"/>
        <w:rPr>
          <w:sz w:val="20"/>
          <w:szCs w:val="20"/>
          <w:color w:val="auto"/>
        </w:rPr>
      </w:pPr>
    </w:p>
    <w:p>
      <w:pPr>
        <w:jc w:val="both"/>
        <w:ind w:right="320" w:firstLine="486"/>
        <w:spacing w:after="0" w:line="286"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57" w:lineRule="exact"/>
        <w:rPr>
          <w:sz w:val="20"/>
          <w:szCs w:val="20"/>
          <w:color w:val="auto"/>
        </w:rPr>
      </w:pPr>
    </w:p>
    <w:p>
      <w:pPr>
        <w:ind w:right="80" w:firstLine="243"/>
        <w:spacing w:after="0" w:line="293"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We market and sell products to both: (i) direct customers including wholesalers, distributors, warehousing pharmacy chains and other direct</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groups and (ii) indirect customers including independent pharmacies, non-warehousing chains, managed-care organizations, group purchasing organizations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Significant Accounting Policies Added since December 31, 2017</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Contract Assets and Contract Liabilities</w:t>
      </w:r>
      <w:r>
        <w:rPr>
          <w:rFonts w:ascii="Arial" w:cs="Arial" w:eastAsia="Arial" w:hAnsi="Arial"/>
          <w:sz w:val="18"/>
          <w:szCs w:val="18"/>
          <w:color w:val="auto"/>
        </w:rPr>
        <w:t>. Contract assets represent the Company’s right to consideration in exchange for goods or services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transferred to a customer when that right is conditioned on something other than the passage of time including, for example, the entity’s future performance. The Company records revenue and a corresponding contract asset when it fulfills a contractual performance obligation, but must also fulfill one or more additional performance obligations before being entitled to payment. Once the Company’s right to consideration becomes unconditional, the contract asset amount is reclassified as Accounts receivable.</w:t>
      </w:r>
    </w:p>
    <w:p>
      <w:pPr>
        <w:spacing w:after="0" w:line="8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Contract liabilities represent the Company’s obligation to transfer goods or services to a customer. The Company records a contract liability generally upon receipt of consideration in advance of fulfilling one or more of its contractual performance obligations. Upon completing the corresponding performance obligation, the contract liability amount is reversed and revenue is recognized.</w:t>
      </w:r>
    </w:p>
    <w:p>
      <w:pPr>
        <w:spacing w:after="0" w:line="7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9. Contract Assets and Liabilities.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 as of March 31, 2018</w:t>
      </w:r>
    </w:p>
    <w:p>
      <w:pPr>
        <w:spacing w:after="0" w:line="11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ASU 2016-02 establishes the principles to report transparent and economically neutral information about the assets and liabilities that arise from leases. This guidance requires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ASU 2016-02 is effective for fiscal years beginning after December 15, 2018, including interim periods within those fiscal years. The Company is currently evaluating the impact of ASU 2016-02 on the Company’s consolidated results of operations and financial position.</w:t>
      </w:r>
    </w:p>
    <w:p>
      <w:pPr>
        <w:spacing w:after="0" w:line="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February 2018, the FASB issued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(ASU 2018-02). ASU 2018-02 allows for a reclassification from accumulated other comprehensive income or loss to retained earnings or accumulated deficit for stranded tax effects resulting from the Tax Cuts and Jobs Act of 2017 (TCJA). ASU 2018-02 also requires certain related disclosures. ASU 2018-02 is effective for annual periods, and interim periods within those annual periods, beginning after December 15, 2018 and should be applied either in the period of adoption or retrospectively to each period in which the effect of the change in the U.S. federal corporate income tax rate in the TCJA is recognized. Early adoption is permitted. The Company is currently evaluating the impact of ASU 2018-02 on the Company’s consolidated results of operations and financial position.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 or Otherwise Effective as of March 31, 2018</w:t>
      </w:r>
    </w:p>
    <w:p>
      <w:pPr>
        <w:spacing w:after="0" w:line="117"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was subsequently amended and supplemented by several additional ASUs including:</w:t>
      </w:r>
    </w:p>
    <w:p>
      <w:pPr>
        <w:spacing w:after="0" w:line="1" w:lineRule="exact"/>
        <w:rPr>
          <w:sz w:val="20"/>
          <w:szCs w:val="20"/>
          <w:color w:val="auto"/>
        </w:rPr>
      </w:pPr>
    </w:p>
    <w:p>
      <w:pPr>
        <w:ind w:left="900" w:right="440" w:hanging="244"/>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No.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xml:space="preserve"> (issued in August 2015), which deferred the effective date of ASU 2014-09 by one year, such that ASU 2014-09 became effective for Endo for annual and interim reporting periods beginning after December 15, 2017;</w:t>
      </w:r>
    </w:p>
    <w:p>
      <w:pPr>
        <w:spacing w:after="0" w:line="1" w:lineRule="exact"/>
        <w:rPr>
          <w:rFonts w:ascii="Arial" w:cs="Arial" w:eastAsia="Arial" w:hAnsi="Arial"/>
          <w:sz w:val="18"/>
          <w:szCs w:val="18"/>
          <w:color w:val="auto"/>
        </w:rPr>
      </w:pPr>
    </w:p>
    <w:p>
      <w:pPr>
        <w:ind w:left="900" w:right="460" w:hanging="244"/>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ASU No. 2016-08, </w:t>
      </w:r>
      <w:r>
        <w:rPr>
          <w:rFonts w:ascii="Arial" w:cs="Arial" w:eastAsia="Arial" w:hAnsi="Arial"/>
          <w:sz w:val="17"/>
          <w:szCs w:val="17"/>
          <w:i w:val="1"/>
          <w:iCs w:val="1"/>
          <w:color w:val="auto"/>
        </w:rPr>
        <w:t>“Revenue from Contracts with Customers (Topic 606): Principal versus Agent Consideration (Reporting Revenue Gross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versus Net)” </w:t>
      </w:r>
      <w:r>
        <w:rPr>
          <w:rFonts w:ascii="Arial" w:cs="Arial" w:eastAsia="Arial" w:hAnsi="Arial"/>
          <w:sz w:val="17"/>
          <w:szCs w:val="17"/>
          <w:color w:val="auto"/>
        </w:rPr>
        <w:t>(issued in March 2016)</w:t>
      </w:r>
      <w:r>
        <w:rPr>
          <w:rFonts w:ascii="Arial" w:cs="Arial" w:eastAsia="Arial" w:hAnsi="Arial"/>
          <w:sz w:val="17"/>
          <w:szCs w:val="17"/>
          <w:i w:val="1"/>
          <w:iCs w:val="1"/>
          <w:color w:val="auto"/>
        </w:rPr>
        <w:t xml:space="preserve">, </w:t>
      </w:r>
      <w:r>
        <w:rPr>
          <w:rFonts w:ascii="Arial" w:cs="Arial" w:eastAsia="Arial" w:hAnsi="Arial"/>
          <w:sz w:val="17"/>
          <w:szCs w:val="17"/>
          <w:color w:val="auto"/>
        </w:rPr>
        <w:t>which clarified the guidance on reporting revenue as a principal versus agent;</w:t>
      </w:r>
    </w:p>
    <w:p>
      <w:pPr>
        <w:ind w:left="900" w:right="140" w:hanging="244"/>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(issued in April 2016)</w:t>
      </w:r>
      <w:r>
        <w:rPr>
          <w:rFonts w:ascii="Arial" w:cs="Arial" w:eastAsia="Arial" w:hAnsi="Arial"/>
          <w:sz w:val="17"/>
          <w:szCs w:val="17"/>
          <w:i w:val="1"/>
          <w:iCs w:val="1"/>
          <w:color w:val="auto"/>
        </w:rPr>
        <w:t>,</w:t>
      </w:r>
      <w:r>
        <w:rPr>
          <w:rFonts w:ascii="Arial" w:cs="Arial" w:eastAsia="Arial" w:hAnsi="Arial"/>
          <w:sz w:val="17"/>
          <w:szCs w:val="17"/>
          <w:color w:val="auto"/>
        </w:rPr>
        <w:t xml:space="preserve"> which clarified the guidance on identifying performance obligations and accounting for intellectual property licenses; and</w:t>
      </w:r>
    </w:p>
    <w:p>
      <w:pPr>
        <w:jc w:val="both"/>
        <w:ind w:left="900" w:right="40" w:hanging="244"/>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ASU No. 2016-12, </w:t>
      </w:r>
      <w:r>
        <w:rPr>
          <w:rFonts w:ascii="Arial" w:cs="Arial" w:eastAsia="Arial" w:hAnsi="Arial"/>
          <w:sz w:val="18"/>
          <w:szCs w:val="18"/>
          <w:i w:val="1"/>
          <w:iCs w:val="1"/>
          <w:color w:val="auto"/>
        </w:rPr>
        <w:t>“Revenue from Contracts with Customers (Topic 606): Narrow-Scope Improvements and Practical Expedients”</w:t>
      </w:r>
      <w:r>
        <w:rPr>
          <w:rFonts w:ascii="Arial" w:cs="Arial" w:eastAsia="Arial" w:hAnsi="Arial"/>
          <w:sz w:val="18"/>
          <w:szCs w:val="18"/>
          <w:color w:val="auto"/>
        </w:rPr>
        <w:t xml:space="preserve"> and ASU No. 2016-20,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xml:space="preserve"> (issued in May 2016 and December 2016, respectively), which amended certain narrow aspects of Topic 606.</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ASUs have generally been codified in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are collectively referred to herein as ASC 606. ASC 606 supersedes the revenue recognition requirements in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requires entities to recognize revenue when control of promised goods or services is transferred to customers at an amount that reflects the consideration to which entities expect to be entitled in exchange for those goods or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revenue-generating contracts, including modifications thereto, that were not completed contracts at the date of adoption. Under the modified retrospective method, results beginning on January 1, 2018 are presented under ASC 606, while the comparative prior period results continue to be presented under ASC 605 based on the accounting standards originally in effect for such periods. As a result of adopting ASC 606, the Company recorded a net decrease of $3.1 million to its accumulated deficit at January 1, 2018, representing the cumulative impact of adopting ASC 606.</w:t>
      </w:r>
    </w:p>
    <w:p>
      <w:pPr>
        <w:spacing w:after="0" w:line="8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current period impact of adoption on our Condensed Consolidated Statements of Operations and Condensed Consolidated Balance Sheets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Three Months Ended March 31, 2018</w:t>
            </w: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Amounts assuming</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Amounts reported</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continued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Effect of adoption of</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application of ASC</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under ASC 606</w:t>
            </w:r>
          </w:p>
        </w:tc>
        <w:tc>
          <w:tcPr>
            <w:tcW w:w="260" w:type="dxa"/>
            <w:vAlign w:val="bottom"/>
          </w:tcPr>
          <w:p>
            <w:pPr>
              <w:spacing w:after="0"/>
              <w:rPr>
                <w:sz w:val="16"/>
                <w:szCs w:val="16"/>
                <w:color w:val="auto"/>
              </w:rPr>
            </w:pPr>
          </w:p>
        </w:tc>
        <w:tc>
          <w:tcPr>
            <w:tcW w:w="110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605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b w:val="1"/>
                <w:bCs w:val="1"/>
                <w:color w:val="auto"/>
              </w:rPr>
              <w:t>ASC 606 (1)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700,527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403,598</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405,326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(505,489)</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(505,070)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share—Basic: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per share—Diluted:</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080" w:type="dxa"/>
            <w:vAlign w:val="bottom"/>
          </w:tcPr>
          <w:p>
            <w:pPr>
              <w:ind w:left="180"/>
              <w:spacing w:after="0"/>
              <w:rPr>
                <w:sz w:val="20"/>
                <w:szCs w:val="20"/>
                <w:color w:val="auto"/>
              </w:rPr>
            </w:pPr>
            <w:r>
              <w:rPr>
                <w:rFonts w:ascii="Arial" w:cs="Arial" w:eastAsia="Arial" w:hAnsi="Arial"/>
                <w:sz w:val="18"/>
                <w:szCs w:val="18"/>
                <w:color w:val="auto"/>
              </w:rPr>
              <w:t>Total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7080" w:type="dxa"/>
            <w:vAlign w:val="bottom"/>
          </w:tcPr>
          <w:p>
            <w:pPr>
              <w:spacing w:after="0"/>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At March 31, 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Amounts assuming</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Amounts reported</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continued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Effect of adoption of</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application of ASC</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under ASC 606</w:t>
            </w:r>
          </w:p>
        </w:tc>
        <w:tc>
          <w:tcPr>
            <w:tcW w:w="260" w:type="dxa"/>
            <w:vAlign w:val="bottom"/>
          </w:tcPr>
          <w:p>
            <w:pPr>
              <w:spacing w:after="0"/>
              <w:rPr>
                <w:sz w:val="16"/>
                <w:szCs w:val="16"/>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605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376,650</w:t>
            </w:r>
          </w:p>
        </w:tc>
        <w:tc>
          <w:tcPr>
            <w:tcW w:w="10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383,603</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51,205</w:t>
            </w:r>
          </w:p>
        </w:tc>
        <w:tc>
          <w:tcPr>
            <w:tcW w:w="10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50,193</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953,195</w:t>
            </w:r>
          </w:p>
        </w:tc>
        <w:tc>
          <w:tcPr>
            <w:tcW w:w="10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953,505</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(deficit) equity: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(8,598,952)</w:t>
            </w:r>
          </w:p>
        </w:tc>
        <w:tc>
          <w:tcPr>
            <w:tcW w:w="10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(8,601,609)</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(ASU 2017-09). ASU 2017-09 provides guidance about which changes to the terms or conditions of a share-based payment award require an entity to apply modification accounting. It is intended to reduce both (1) diversity in practice and (2) cost and complexity when accounting for changes to the terms or conditions of share-based payment awards. ASU 2017-09 is effective for annual periods, and interim periods within those annual periods, beginning after December 15, 2017. The Company adopted the new standard on January 1, 2018 and the amendments in this update will be applied prospectively to any award modified on or after the adoption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Company’s Astora business ceased business operations on March 31, 2016. The operating results of Astora are reported as Discontinued operations, net of tax in the Condensed Consolidated Statements of Operations for all periods presented. The following table provides the operating results of Astora Discontinued operations, net of tax for the three months ended March 31, 2018 and 2017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(12,897)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Discontinued operations, net of tax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(8,405)</w:t>
            </w:r>
          </w:p>
        </w:tc>
      </w:tr>
    </w:tbl>
    <w:p>
      <w:pPr>
        <w:spacing w:after="0" w:line="121"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The cash flows from discontinued operating activities related to Astora included the impact of net losses of $7.8 million and $8.4 million for the three months ended March 31, 2018 and 2017, respectively, and the impact of cash activity related to vaginal mesh cases, which is further described in Note 12. Commitments and Contingencies. There was no net cash used in discontinued investing activities related to Astora during the three months ended March 31, 2018 or 2017. There was no depreciation or amortization during the three months ended March 31, 2018 or 2017 related to Astora.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Litha</w:t>
      </w:r>
    </w:p>
    <w:p>
      <w:pPr>
        <w:spacing w:after="0" w:line="11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During the fourth quarter of 2016, the Company initiated a process to sell its Litha Healthcare Group Limited and related Sub-Sahara African business assets (Litha) and, on February 27, 2017, the Company entered into a definitive agreement to sell Litha to Acino Pharma AG (Acino). The sale closed on July 3, 2017 and the Company received net cash proceeds of approximately $94.2 million, after giving effect to cash and net working capital purchase price adjustments, as well as a short-term receivable of $4.4 million, which was subsequently collected in October 2017. No additional gain or loss was recognized upon sale. However, in December 2017, Acino became obligated to pay $10.1 million of additional consideration to the Company related to the settlement of certain contingencies set forth in the purchase agreement, which was subsequently paid to the Company in January 2018. In December 2017, the Company recorded a short-term receivable and a gain on the sale of Litha for this amount. The gain was recorded in Other income, net in the Condensed Consolidated Statements of Operations. The purchase agreement contains an additional contingency that could result in a decrease in the purchase price of up to $26 million as a result of additional payments to Acino, which would result in a loss on the sale. This contingency is expected to be resolved by June 30, 2018. Litha was part of the Company’s International Pharmaceuticals segment. Litha does not meet the requirements for treatment as a discontinued operation.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Somar</w:t>
      </w:r>
    </w:p>
    <w:p>
      <w:pPr>
        <w:spacing w:after="0" w:line="117"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On June 30, 2017, the Company entered into a definitive agreement to sell Grupo Farmacéutico Somar, S.A.P.I. de C.V. (Somar) and all of the securities thereof, to AI Global Investments (Netherlands) PCC Limited acting for and on behalf of the Soar Cell (the Purchaser). The sale closed on October 25, 2017 and the Purchaser paid an aggregate purchase price of approximately $124 million in cash, after giving effect to estimated cash, debt and net working capital purchase price adjustments. The Company recognized a $1.3 million loss upon sale. Somar was part of the Company’s International Pharmaceuticals segment. Somar does not meet the requirements for treatment as a discontinued operation.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2017 Restructuring Initiative</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 January 26, 2017, the Company announced a restructuring initiative implemented as part of its ongoing organizational review (the January 2017 Restructuring Initiative). This restructuring was intended to further integrate, streamline and optimize the Company’s operations by aligning certain corporate and research and development (R&amp;D) functions with its recently restructured U.S. generics and U.S. branded business units in order to create efficiencies and cost savings. As part of this restructuring, the Company undertook certain cost reduction initiatives, including a reduction of approximately 90 positions of its workforce, primarily related to corporate and branded R&amp;D functions in Malvern, Pennsylvania and Chestnut Ridge, New York, a streamlining of general and administrative expenses, an optimization of commercial spend and a refocusing of research and development efforts.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did not incur any pre-tax charges during the three months ended March 31, 2018 as a result of the January 2017 Restructuring Initiative. During the three months ended March 31, 2017, the Company incurred total pre-tax charges of approximately $15.5 million related to employee separation and other benefit-related costs. Of the total charges incurred, $6.9 million are included in the U.S. Branded - Specialty &amp; Established Pharmaceuticals segment, $5.2 million are included in Corporate unallocated costs and $3.4 million are included in the U.S. Generic Pharmaceuticals segment. These charges are included in Selling, general and administrative expenses in the Condensed Consolidated Statements of Operations. The Company does not expect to incur additional material pre-tax restructuring-related expenses related to this initiative. Substantially all cash payments were made by the end of 2017 and substantially all of the actions associated with this restructuring were completed by the end of April 2017.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U.S. Generic Pharmaceuticals Restructuring Initiative</w:t>
      </w:r>
    </w:p>
    <w:p>
      <w:pPr>
        <w:spacing w:after="0" w:line="117"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On July 21, 2017, the Company announced that after completing a comprehensive review of its manufacturing network, the Company would be ceasing operations and closing its manufacturing and distribution facilities in Huntsville, Alabama (the 2017 U.S. Generic Pharmaceuticals Restructuring Initiative). The closure of the facilities is expected to occur by the end of 2018. Employee separation, retention and certain other employee benefit-related costs are expensed ratably over the requisite service period. Other costs including, but not limited to, contract termination fees and product technology transfer costs, are expensed as incurred.</w:t>
      </w:r>
    </w:p>
    <w:p>
      <w:pPr>
        <w:spacing w:after="0" w:line="80"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As a result of the 2017 U.S. Generic Pharmaceuticals Restructuring Initiative, the Company incurred pre-tax charges of $27.7 million during the three months ended March 31, 2018. The expenses consisted of charges relating to accelerated depreciation of $17.1 million, employee separation, retention and other benefit-related costs of $3.8 million, asset impairment charges of $2.6 million and certain other charges of $4.2 million. These charges are included in the U.S. Generic Pharmaceuticals segment. Accelerated depreciation and employee separation, retention and other benefit-related costs are included in Cost of revenues. Certain other charges are included in both Cost of revenues and Selling, general and administrative expenses in the Condensed Consolidated Statements of Operations. The Company expects to incur approximately $22 million of additional pre-tax restructuring-related expenses related to this initiative, which primarily relate to accelerated depreciation and employee separation, retention and other benefit-related costs. Substantially all cash payments are expected to be made by the end of the third quarter in 2019.</w:t>
      </w:r>
    </w:p>
    <w:p>
      <w:pPr>
        <w:spacing w:after="0" w:line="71"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liability related to the 2017 U.S. Generic Pharmaceuticals Restructuring Initiative is primarily included in Accounts payable and accrued expenses in the Condensed Consolidated Balance Sheets. Changes to this liability during the three months ended March 31, 2018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2018</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March 31, 2018</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2018 Restructuring Initiative</w:t>
      </w:r>
    </w:p>
    <w:p>
      <w:pPr>
        <w:spacing w:after="0" w:line="117"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In January 2018, the Company initiated a restructuring initiative that included a reorganization of its U.S. Generic Pharmaceuticals segment’s research and development network, a further simplification of the Company’s manufacturing networks and a company-wide unification of certain corporate functions (the January 2018 Restructuring Initiative).</w:t>
      </w:r>
    </w:p>
    <w:p>
      <w:pPr>
        <w:spacing w:after="0" w:line="7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the January 2018 Restructuring Initiative, the Company expects total related pre-tax charges of approximately $28 million, including total estimated cash outlays of approximately $26 million, substantially all of which will be paid by March 31, 2019. The estimated restructuring charges consist of employee separation, retention and other benefit-related costs of approximately $24 million and certain other charges of approximately $4 million. Employee separation, retention and certain other employee benefit-related costs are expensed ratably over the requisite service period. Other costs are expensed as incurred.</w:t>
      </w:r>
    </w:p>
    <w:p>
      <w:pPr>
        <w:spacing w:after="0" w:line="8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As a result of the January 2018 Restructuring Initiative, the Company incurred pre-tax charges of $22.9 million during the three months ended March 31, 2018. The expenses primarily consisted of employee separation, retention and other benefit-related costs of $21.9 million and certain other charges of $1.0 million. Of the total charges incurred, $10.2 million are included in the U.S. Generic Pharmaceuticals segment, $5.2 million are included in Corporate unallocated costs, $3.8 million are included in the U.S. Branded - Sterile Injectables segment, $3.0 million are included in the International Pharmaceuticals segment and $0.7 million are included in the U.S. Branded - Specialty &amp; Established Pharmaceuticals segment. Employee separation, retention and other benefit-related costs are included in Cost of revenues, Selling, general and administrative and Research and development expenses in the Condensed Consolidated Statements of Operations. Certain other charges are primarily included in Selling, general and administrative expenses in the Condensed Consolidated Statements of Operations. The Company does not expect to incur additional material pre-tax restructuring-related expenses related to this initiative. Substantially all cash payments are expected to be made by the end of the first quarter in 2019.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The liability related to the January 2018 Restructuring Initiative is primarily included in Accounts payable and accrued expenses in the Condensed Consolidated Balance Sheets. Changes to this liability during the three months ended March 31, 2018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21,897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March 31, 2018</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21" w:lineRule="exact"/>
        <w:rPr>
          <w:sz w:val="20"/>
          <w:szCs w:val="20"/>
          <w:color w:val="auto"/>
        </w:rPr>
      </w:pPr>
    </w:p>
    <w:p>
      <w:pPr>
        <w:jc w:val="both"/>
        <w:ind w:right="300" w:firstLine="486"/>
        <w:spacing w:after="0" w:line="288" w:lineRule="auto"/>
        <w:rPr>
          <w:sz w:val="20"/>
          <w:szCs w:val="20"/>
          <w:color w:val="auto"/>
        </w:rPr>
      </w:pPr>
      <w:r>
        <w:rPr>
          <w:rFonts w:ascii="Arial" w:cs="Arial" w:eastAsia="Arial" w:hAnsi="Arial"/>
          <w:sz w:val="16"/>
          <w:szCs w:val="16"/>
          <w:color w:val="auto"/>
        </w:rPr>
        <w:t>As of January 1, 2018, we made changes to our reportable segments. Following these changes, the four reportable business segments in which we operate are: (1) U.S. Branded - Specialty &amp; Established Pharmaceuticals, (2) U.S. Branded - Sterile Injectables, (3) U.S. Generic Pharmaceuticals and (4) International Pharmaceuticals. Previously, we had three reportable segments: (1) U.S. Generic Pharmaceuticals, (2) U.S. Branded Pharmaceuticals and (3)</w:t>
      </w:r>
    </w:p>
    <w:p>
      <w:pPr>
        <w:ind w:right="20"/>
        <w:spacing w:after="0" w:line="261" w:lineRule="auto"/>
        <w:rPr>
          <w:sz w:val="20"/>
          <w:szCs w:val="20"/>
          <w:color w:val="auto"/>
        </w:rPr>
      </w:pPr>
      <w:r>
        <w:rPr>
          <w:rFonts w:ascii="Arial" w:cs="Arial" w:eastAsia="Arial" w:hAnsi="Arial"/>
          <w:sz w:val="18"/>
          <w:szCs w:val="18"/>
          <w:color w:val="auto"/>
        </w:rPr>
        <w:t>International Pharmaceuticals. The updates to our reportable segments were made based on first quarter 2018 changes to the way we manage and evaluate our business.</w:t>
      </w:r>
    </w:p>
    <w:p>
      <w:pPr>
        <w:spacing w:after="0" w:line="76"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Our new U.S. Branded - Sterile Injectables segment consists of our sterile injectables product portfolio, which was previously part of our former U.S. Generic Pharmaceuticals segment. Our new U.S. Generic Pharmaceuticals segment represents the remainder of our former U.S. Generic Pharmaceuticals segment. Additionally, our former U.S. Branded Pharmaceuticals segment has been renamed “U.S. Branded - Specialty &amp; Established Pharmaceuticals.”</w:t>
      </w:r>
    </w:p>
    <w:p>
      <w:pPr>
        <w:spacing w:after="0" w:line="39"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Our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evaluate segment performance based on each segment’s adjusted income from continuing operations before income tax, which we define as Loss from continuing operations before income tax and before certain upfront and milestone payments to partners; acquisition-related and integration items, including transaction costs, earn-out payments or adjustments, changes in the fair value of contingent consideration and bridge financing costs;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certain non-cash interest expense; litigation-related and other contingent matters; gains or losses from early termination of debt; foreign currency gains or losses on intercompany financing arrangements; and certain other items.</w:t>
      </w:r>
    </w:p>
    <w:p>
      <w:pPr>
        <w:spacing w:after="0" w:line="70"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Certain of the corporate expenses incurred by the Company are not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consolidated adjusted income from continuing operations before income tax is equal to the combined results of each of its segments less these unallocated corporate items.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Branded - Specialty &amp; Established Pharmaceuticals</w:t>
      </w:r>
    </w:p>
    <w:p>
      <w:pPr>
        <w:spacing w:after="0" w:line="117" w:lineRule="exact"/>
        <w:rPr>
          <w:sz w:val="20"/>
          <w:szCs w:val="20"/>
          <w:color w:val="auto"/>
        </w:rPr>
      </w:pPr>
    </w:p>
    <w:p>
      <w:pPr>
        <w:ind w:right="400" w:firstLine="486"/>
        <w:spacing w:after="0" w:line="213" w:lineRule="auto"/>
        <w:rPr>
          <w:sz w:val="20"/>
          <w:szCs w:val="20"/>
          <w:color w:val="auto"/>
        </w:rPr>
      </w:pPr>
      <w:r>
        <w:rPr>
          <w:rFonts w:ascii="Arial" w:cs="Arial" w:eastAsia="Arial" w:hAnsi="Arial"/>
          <w:sz w:val="18"/>
          <w:szCs w:val="18"/>
          <w:color w:val="auto"/>
        </w:rPr>
        <w:t>Our U.S. Branded - Specialty &amp; Established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5"/>
          <w:szCs w:val="25"/>
          <w:color w:val="auto"/>
          <w:vertAlign w:val="superscript"/>
        </w:rPr>
        <w:t>®</w:t>
      </w:r>
      <w:r>
        <w:rPr>
          <w:rFonts w:ascii="Arial" w:cs="Arial" w:eastAsia="Arial" w:hAnsi="Arial"/>
          <w:sz w:val="18"/>
          <w:szCs w:val="18"/>
          <w:color w:val="auto"/>
        </w:rPr>
        <w:t>,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TESTOPEL</w:t>
      </w:r>
      <w:r>
        <w:rPr>
          <w:rFonts w:ascii="Arial" w:cs="Arial" w:eastAsia="Arial" w:hAnsi="Arial"/>
          <w:sz w:val="25"/>
          <w:szCs w:val="25"/>
          <w:color w:val="auto"/>
          <w:vertAlign w:val="superscript"/>
        </w:rPr>
        <w:t>®</w:t>
      </w:r>
      <w:r>
        <w:rPr>
          <w:rFonts w:ascii="Arial" w:cs="Arial" w:eastAsia="Arial" w:hAnsi="Arial"/>
          <w:sz w:val="18"/>
          <w:szCs w:val="18"/>
          <w:color w:val="auto"/>
        </w:rPr>
        <w:t>,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5"/>
          <w:szCs w:val="25"/>
          <w:color w:val="auto"/>
          <w:vertAlign w:val="superscript"/>
        </w:rPr>
        <w:t>®</w:t>
      </w:r>
      <w:r>
        <w:rPr>
          <w:rFonts w:ascii="Arial" w:cs="Arial" w:eastAsia="Arial" w:hAnsi="Arial"/>
          <w:sz w:val="18"/>
          <w:szCs w:val="18"/>
          <w:color w:val="auto"/>
        </w:rPr>
        <w:t>, PERCOCET</w:t>
      </w:r>
      <w:r>
        <w:rPr>
          <w:rFonts w:ascii="Arial" w:cs="Arial" w:eastAsia="Arial" w:hAnsi="Arial"/>
          <w:sz w:val="25"/>
          <w:szCs w:val="25"/>
          <w:color w:val="auto"/>
          <w:vertAlign w:val="superscript"/>
        </w:rPr>
        <w:t>®</w:t>
      </w:r>
      <w:r>
        <w:rPr>
          <w:rFonts w:ascii="Arial" w:cs="Arial" w:eastAsia="Arial" w:hAnsi="Arial"/>
          <w:sz w:val="18"/>
          <w:szCs w:val="18"/>
          <w:color w:val="auto"/>
        </w:rPr>
        <w:t>,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LIDODERM</w:t>
      </w:r>
      <w:r>
        <w:rPr>
          <w:rFonts w:ascii="Arial" w:cs="Arial" w:eastAsia="Arial" w:hAnsi="Arial"/>
          <w:sz w:val="25"/>
          <w:szCs w:val="25"/>
          <w:color w:val="auto"/>
          <w:vertAlign w:val="superscript"/>
        </w:rPr>
        <w:t>®</w:t>
      </w:r>
      <w:r>
        <w:rPr>
          <w:rFonts w:ascii="Arial" w:cs="Arial" w:eastAsia="Arial" w:hAnsi="Arial"/>
          <w:sz w:val="18"/>
          <w:szCs w:val="18"/>
          <w:color w:val="auto"/>
        </w:rPr>
        <w:t>,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TESTIM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FORTESTA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among others.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Branded - Sterile Injectables</w:t>
      </w:r>
    </w:p>
    <w:p>
      <w:pPr>
        <w:spacing w:after="0" w:line="117" w:lineRule="exact"/>
        <w:rPr>
          <w:sz w:val="20"/>
          <w:szCs w:val="20"/>
          <w:color w:val="auto"/>
        </w:rPr>
      </w:pPr>
    </w:p>
    <w:p>
      <w:pPr>
        <w:ind w:right="160" w:firstLine="486"/>
        <w:spacing w:after="0" w:line="203" w:lineRule="auto"/>
        <w:rPr>
          <w:sz w:val="20"/>
          <w:szCs w:val="20"/>
          <w:color w:val="auto"/>
        </w:rPr>
      </w:pPr>
      <w:r>
        <w:rPr>
          <w:rFonts w:ascii="Arial" w:cs="Arial" w:eastAsia="Arial" w:hAnsi="Arial"/>
          <w:sz w:val="18"/>
          <w:szCs w:val="18"/>
          <w:color w:val="auto"/>
        </w:rPr>
        <w:t>Our U.S. Branded - Sterile Injectables segment consists primarily of branded sterile injectable products such as VASOSTRICT</w:t>
      </w:r>
      <w:r>
        <w:rPr>
          <w:rFonts w:ascii="Arial" w:cs="Arial" w:eastAsia="Arial" w:hAnsi="Arial"/>
          <w:sz w:val="25"/>
          <w:szCs w:val="25"/>
          <w:color w:val="auto"/>
          <w:vertAlign w:val="superscript"/>
        </w:rPr>
        <w:t>®</w:t>
      </w:r>
      <w:r>
        <w:rPr>
          <w:rFonts w:ascii="Arial" w:cs="Arial" w:eastAsia="Arial" w:hAnsi="Arial"/>
          <w:sz w:val="18"/>
          <w:szCs w:val="18"/>
          <w:color w:val="auto"/>
        </w:rPr>
        <w:t>,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APLISOL</w:t>
      </w:r>
      <w:r>
        <w:rPr>
          <w:rFonts w:ascii="Arial" w:cs="Arial" w:eastAsia="Arial" w:hAnsi="Arial"/>
          <w:sz w:val="25"/>
          <w:szCs w:val="25"/>
          <w:color w:val="auto"/>
          <w:vertAlign w:val="superscript"/>
        </w:rPr>
        <w:t>®</w:t>
      </w:r>
      <w:r>
        <w:rPr>
          <w:rFonts w:ascii="Arial" w:cs="Arial" w:eastAsia="Arial" w:hAnsi="Arial"/>
          <w:sz w:val="18"/>
          <w:szCs w:val="18"/>
          <w:color w:val="auto"/>
        </w:rPr>
        <w:t>, among others, and certain generic sterile injectable products, including ephedrine sulfate injection and neostigmine methylsulfate injection, among others.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Generic Pharmaceuticals</w:t>
      </w:r>
    </w:p>
    <w:p>
      <w:pPr>
        <w:spacing w:after="0" w:line="117"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Our U.S. Generic Pharmaceuticals segment consists of a differentiated product portfolio including solid oral extended-release, solid oral immediate-release, abuse-deterrent products, liquids, semi-solids, patches, powders, ophthalmics and sprays and includes products in the pain management, urology, central nervous system disorders, immunosuppression, oncology, women’s health and cardiovascular disease markets, among others.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This segment’s key products serve growing therapeutic areas, including attention deficit hyperactivity disorder (ADHD), pain, women’s health and oncology. This segment also included: (i) our South African Litha business, which was sold in July 2017, and (ii) our Latin American Somar business, which was sold in October 2017.</w:t>
      </w:r>
    </w:p>
    <w:p>
      <w:pPr>
        <w:spacing w:after="0" w:line="79" w:lineRule="exact"/>
        <w:rPr>
          <w:sz w:val="20"/>
          <w:szCs w:val="20"/>
          <w:color w:val="auto"/>
        </w:rPr>
      </w:pPr>
    </w:p>
    <w:p>
      <w:pPr>
        <w:ind w:right="660" w:firstLine="44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three months ended March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U.S. Branded - Specialty &amp; Established Pharmaceuticals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200,235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250,159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Branded - Sterile Injectables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172,168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U.S. Generic Pharmaceuticals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249,240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549,815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65,458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revenues from external customers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700,527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1,037,600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from continuing operations before income tax:</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U.S. Branded - Specialty &amp; Established Pharmaceuticals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93,814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129,492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Branded - Sterile Injectables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126,467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U.S. Generic Pharmaceuticals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215,132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14,882</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351,257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485,973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340" w:hanging="329"/>
        <w:spacing w:after="0" w:line="255"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 and, prior to the sale of Litha on July 3, 2017 and Somar on October 25, 2017, South Africa and Latin America.</w:t>
      </w:r>
    </w:p>
    <w:p>
      <w:pPr>
        <w:spacing w:after="0" w:line="82"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There were no material revenues from external customers attributed to an individual country outside of the United States during any of the periods presented. There were no material tangible long-lived assets in an individual country other than the United States as of March 31, 2018 or December 31, 2017.</w:t>
      </w:r>
    </w:p>
    <w:p>
      <w:pPr>
        <w:spacing w:after="0" w:line="7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table below provides reconciliations of our consolidated Loss from continuing operations before income tax, which is determined in accordance with U.S. generally accepted accounting principles (U.S. GAAP), to our total segment adjusted income from continuing operations before income tax for the three months ended March 31, 2018 and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(177,351)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123,990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111,999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47,468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263,134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Separation benefits and other cost reduction initiatives (2)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impact related to the remeasurement of intercompany debt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351,257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485,973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and facility expenses and certain other income and expenses.</w:t>
      </w:r>
    </w:p>
    <w:p>
      <w:pPr>
        <w:spacing w:after="0" w:line="1" w:lineRule="exact"/>
        <w:rPr>
          <w:rFonts w:ascii="Arial" w:cs="Arial" w:eastAsia="Arial" w:hAnsi="Arial"/>
          <w:sz w:val="14"/>
          <w:szCs w:val="14"/>
          <w:color w:val="auto"/>
        </w:rPr>
      </w:pPr>
    </w:p>
    <w:p>
      <w:pPr>
        <w:ind w:left="580" w:right="160" w:hanging="329"/>
        <w:spacing w:after="0" w:line="246"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primarily relate to employee separation costs of $25.2 million and $20.8 million for the three months ended March 31, 2018 and 2017, respectively. Other amounts for the three months ended March 31, 2018 include accelerated depreciation of $17.1 million, charges to increase excess inventory reserves of $2.4 million and other charges of $4.3 million, each of which related primarily to our restructuring initiatives. During the three months ended March 31, 2017 there were other restructuring costs of $1.9 million. See Note 4. Restructuring for discussion of our material restructuring initiatives.</w:t>
      </w:r>
    </w:p>
    <w:p>
      <w:pPr>
        <w:sectPr>
          <w:pgSz w:w="11900" w:h="16838" w:orient="portrait"/>
          <w:cols w:equalWidth="0" w:num="1">
            <w:col w:w="11420"/>
          </w:cols>
          <w:pgMar w:left="240" w:top="118"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hanging="32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include adjustments for Litigation-related and other contingencies, net as further described in Note 12. Commitments and Contingencies.</w:t>
      </w:r>
    </w:p>
    <w:p>
      <w:pPr>
        <w:spacing w:after="0" w:line="13" w:lineRule="exact"/>
        <w:rPr>
          <w:rFonts w:ascii="Arial" w:cs="Arial" w:eastAsia="Arial" w:hAnsi="Arial"/>
          <w:sz w:val="14"/>
          <w:szCs w:val="14"/>
          <w:color w:val="auto"/>
        </w:rPr>
      </w:pPr>
    </w:p>
    <w:p>
      <w:pPr>
        <w:ind w:left="580" w:right="460" w:hanging="329"/>
        <w:spacing w:after="0" w:line="241"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8. Goodwill and Other Intangibles as well as charges to write down certain property, plant and equipment as further described in Note 6. Fair Value Measurements.</w:t>
      </w:r>
    </w:p>
    <w:p>
      <w:pPr>
        <w:ind w:left="580" w:right="280" w:hanging="329"/>
        <w:spacing w:after="0" w:line="255"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three months ended March 31, 2018 and 2017, there were charges due to changes in the fair value of contingent consideration of $6.8 million and $6.2 million, respectively. Additionally, during the three months ended March 31, 2017 there were costs directly associated with previous acquisitions of $4.7 million.</w:t>
      </w:r>
    </w:p>
    <w:p>
      <w:pPr>
        <w:spacing w:after="0" w:line="8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6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Company disaggregates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U.S. Branded - Specialty &amp; Established Pharmaceuticals:</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i w:val="1"/>
                <w:iCs w:val="1"/>
                <w:color w:val="auto"/>
              </w:rPr>
              <w:t>Specialty Products: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XIAFLEX®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57,141</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SUPPRELIN® LA</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20,577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19,181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Specialty (1)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34,197</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36,028</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Total Specialty Products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111,915</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104,734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Established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PERCOCET®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31,976</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VOLTAREN® Gel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OPANA® ER</w:t>
            </w:r>
          </w:p>
        </w:tc>
        <w:tc>
          <w:tcPr>
            <w:tcW w:w="340" w:type="dxa"/>
            <w:vAlign w:val="bottom"/>
          </w:tcPr>
          <w:p>
            <w:pPr>
              <w:spacing w:after="0"/>
              <w:rPr>
                <w:sz w:val="21"/>
                <w:szCs w:val="21"/>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35,718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Established (2)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45,027</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64,488</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Total Established Products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88,320</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145,425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Branded - Specialty &amp; Established Pharmaceuticals (3)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200,235</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250,159</w:t>
            </w:r>
          </w:p>
        </w:tc>
        <w:tc>
          <w:tcPr>
            <w:tcW w:w="0" w:type="dxa"/>
            <w:vAlign w:val="bottom"/>
          </w:tcPr>
          <w:p>
            <w:pPr>
              <w:spacing w:after="0"/>
              <w:rPr>
                <w:sz w:val="1"/>
                <w:szCs w:val="1"/>
                <w:color w:val="auto"/>
              </w:rPr>
            </w:pPr>
          </w:p>
        </w:tc>
      </w:tr>
      <w:tr>
        <w:trPr>
          <w:trHeight w:val="331"/>
        </w:trPr>
        <w:tc>
          <w:tcPr>
            <w:tcW w:w="8360" w:type="dxa"/>
            <w:vAlign w:val="bottom"/>
          </w:tcPr>
          <w:p>
            <w:pPr>
              <w:ind w:left="40"/>
              <w:spacing w:after="0"/>
              <w:rPr>
                <w:sz w:val="20"/>
                <w:szCs w:val="20"/>
                <w:color w:val="auto"/>
              </w:rPr>
            </w:pPr>
            <w:r>
              <w:rPr>
                <w:rFonts w:ascii="Arial" w:cs="Arial" w:eastAsia="Arial" w:hAnsi="Arial"/>
                <w:sz w:val="18"/>
                <w:szCs w:val="18"/>
                <w:i w:val="1"/>
                <w:iCs w:val="1"/>
                <w:color w:val="auto"/>
              </w:rPr>
              <w:t>U.S. Branded - Sterile Injectables:</w:t>
            </w: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VASOSTRICT®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113,725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99,158</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ADRENALIN®</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29,740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Sterile Injectables (4)</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72,389</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66,913</w:t>
            </w:r>
          </w:p>
        </w:tc>
        <w:tc>
          <w:tcPr>
            <w:tcW w:w="0" w:type="dxa"/>
            <w:vAlign w:val="bottom"/>
          </w:tcPr>
          <w:p>
            <w:pPr>
              <w:spacing w:after="0"/>
              <w:rPr>
                <w:sz w:val="1"/>
                <w:szCs w:val="1"/>
                <w:color w:val="auto"/>
              </w:rPr>
            </w:pPr>
          </w:p>
        </w:tc>
      </w:tr>
      <w:tr>
        <w:trPr>
          <w:trHeight w:val="331"/>
        </w:trPr>
        <w:tc>
          <w:tcPr>
            <w:tcW w:w="8360" w:type="dxa"/>
            <w:vAlign w:val="bottom"/>
          </w:tcPr>
          <w:p>
            <w:pPr>
              <w:ind w:left="40"/>
              <w:spacing w:after="0"/>
              <w:rPr>
                <w:sz w:val="20"/>
                <w:szCs w:val="20"/>
                <w:color w:val="auto"/>
              </w:rPr>
            </w:pPr>
            <w:r>
              <w:rPr>
                <w:rFonts w:ascii="Arial" w:cs="Arial" w:eastAsia="Arial" w:hAnsi="Arial"/>
                <w:sz w:val="18"/>
                <w:szCs w:val="18"/>
                <w:color w:val="auto"/>
              </w:rPr>
              <w:t>Total U.S. Branded - Sterile Injectables (3)</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215,854</w:t>
            </w:r>
          </w:p>
        </w:tc>
        <w:tc>
          <w:tcPr>
            <w:tcW w:w="34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172,168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Generic Pharmaceuticals (5)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249,240</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549,815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International Pharmaceuticals (6)</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35,198</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65,458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700,527</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1,037,600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3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Specialty include TESTOPEL</w:t>
      </w:r>
      <w:r>
        <w:rPr>
          <w:rFonts w:ascii="Arial" w:cs="Arial" w:eastAsia="Arial" w:hAnsi="Arial"/>
          <w:sz w:val="8"/>
          <w:szCs w:val="8"/>
          <w:color w:val="auto"/>
        </w:rPr>
        <w:t>®</w:t>
      </w:r>
      <w:r>
        <w:rPr>
          <w:rFonts w:ascii="Arial" w:cs="Arial" w:eastAsia="Arial" w:hAnsi="Arial"/>
          <w:sz w:val="14"/>
          <w:szCs w:val="14"/>
          <w:color w:val="auto"/>
        </w:rPr>
        <w:t>,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TESTIM</w:t>
      </w:r>
      <w:r>
        <w:rPr>
          <w:rFonts w:ascii="Arial" w:cs="Arial" w:eastAsia="Arial" w:hAnsi="Arial"/>
          <w:sz w:val="8"/>
          <w:szCs w:val="8"/>
          <w:color w:val="auto"/>
        </w:rPr>
        <w:t>®</w:t>
      </w:r>
      <w:r>
        <w:rPr>
          <w:rFonts w:ascii="Arial" w:cs="Arial" w:eastAsia="Arial" w:hAnsi="Arial"/>
          <w:sz w:val="14"/>
          <w:szCs w:val="14"/>
          <w:color w:val="auto"/>
        </w:rPr>
        <w:t xml:space="preserve"> and FORTESTA</w:t>
      </w:r>
      <w:r>
        <w:rPr>
          <w:rFonts w:ascii="Arial" w:cs="Arial" w:eastAsia="Arial" w:hAnsi="Arial"/>
          <w:sz w:val="8"/>
          <w:szCs w:val="8"/>
          <w:color w:val="auto"/>
        </w:rPr>
        <w:t>®</w:t>
      </w:r>
      <w:r>
        <w:rPr>
          <w:rFonts w:ascii="Arial" w:cs="Arial" w:eastAsia="Arial" w:hAnsi="Arial"/>
          <w:sz w:val="14"/>
          <w:szCs w:val="14"/>
          <w:color w:val="auto"/>
        </w:rPr>
        <w:t xml:space="preserve"> Gel, including the authorized generics.</w:t>
      </w:r>
    </w:p>
    <w:p>
      <w:pPr>
        <w:spacing w:after="0" w:line="1" w:lineRule="exact"/>
        <w:rPr>
          <w:rFonts w:ascii="Arial" w:cs="Arial" w:eastAsia="Arial" w:hAnsi="Arial"/>
          <w:sz w:val="14"/>
          <w:szCs w:val="14"/>
          <w:color w:val="auto"/>
        </w:rPr>
      </w:pPr>
    </w:p>
    <w:p>
      <w:pPr>
        <w:ind w:left="580" w:right="120" w:hanging="329"/>
        <w:spacing w:after="0" w:line="241"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and/or any product having revenues in excess of $25 million during any quarterly period in 2018 or 2017.</w:t>
      </w:r>
    </w:p>
    <w:p>
      <w:pPr>
        <w:ind w:left="580" w:hanging="329"/>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8"/>
          <w:szCs w:val="8"/>
          <w:color w:val="auto"/>
        </w:rPr>
        <w:t>®</w:t>
      </w:r>
      <w:r>
        <w:rPr>
          <w:rFonts w:ascii="Arial" w:cs="Arial" w:eastAsia="Arial" w:hAnsi="Arial"/>
          <w:sz w:val="14"/>
          <w:szCs w:val="14"/>
          <w:color w:val="auto"/>
        </w:rPr>
        <w:t>, ephedrine sulfate injection and neostigmine methylsulfate injection.</w:t>
      </w:r>
    </w:p>
    <w:p>
      <w:pPr>
        <w:spacing w:after="0" w:line="1" w:lineRule="exact"/>
        <w:rPr>
          <w:rFonts w:ascii="Arial" w:cs="Arial" w:eastAsia="Arial" w:hAnsi="Arial"/>
          <w:sz w:val="14"/>
          <w:szCs w:val="14"/>
          <w:color w:val="auto"/>
        </w:rPr>
      </w:pPr>
    </w:p>
    <w:p>
      <w:pPr>
        <w:ind w:left="580" w:right="100" w:hanging="329"/>
        <w:spacing w:after="0" w:line="241"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U.S. Generic Pharmaceuticals segment is comprised of a portfolio of products that are generic versions of branded products, are distributed primarily through the same wholesalers, generally have no intellectual property protection and are sold within the U.S. During the three months ended March 31, 2017, combined sales of ezetimibe tablets and quetiapine ER tablets, for which we lost temporary marketing exclusivity during the second quarter of 2017, made up 19% of consolidated total revenue. No other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80" w:right="40" w:hanging="329"/>
        <w:spacing w:after="0" w:line="246"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5% and 6% of consolidated total revenues during the three months ended March 31, 2018 and 2017, respectively, includes a variety of specialty pharmaceutical products sold outside the U.S., primarily in Canada through our operating company Paladin Labs, Inc. (Paladin). This segment also included: (i) our South African business, which was sold in July 2017 and consisted of Litha and certain assets acquired from Aspen Holdings in October 2015 and (ii) our Latin American business consisting of Somar, which was sold in October 2017.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The financial instruments recorded in our Condensed Consolidated Balance Sheets include cash and cash equivalents (including money market funds and time deposits), restricted cash and cash equivalents, accounts receivable, marketable securities, equity and cost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and time deposits), accounts receivable, accounts payable and accrued expenses approximate their fair values.</w:t>
      </w:r>
    </w:p>
    <w:p>
      <w:pPr>
        <w:spacing w:after="0" w:line="70" w:lineRule="exact"/>
        <w:rPr>
          <w:sz w:val="20"/>
          <w:szCs w:val="20"/>
          <w:color w:val="auto"/>
        </w:rPr>
      </w:pPr>
    </w:p>
    <w:p>
      <w:pPr>
        <w:ind w:right="220" w:firstLine="446"/>
        <w:spacing w:after="0" w:line="273" w:lineRule="auto"/>
        <w:rPr>
          <w:sz w:val="20"/>
          <w:szCs w:val="20"/>
          <w:color w:val="auto"/>
        </w:rPr>
      </w:pPr>
      <w:r>
        <w:rPr>
          <w:rFonts w:ascii="Arial" w:cs="Arial" w:eastAsia="Arial" w:hAnsi="Arial"/>
          <w:sz w:val="17"/>
          <w:szCs w:val="17"/>
          <w:color w:val="auto"/>
        </w:rPr>
        <w:t>At March 31, 2018 and December 31, 2017, the Company had combined restricted cash and cash equivalents of $339.8 million and $324.4 million, respectively, of which $335.9 million and $320.5 million, respectively, are classified as current assets and reported in our Condensed Consolidated Balance Sheets as Restricted cash and cash equivalents. The remaining amounts, which are classified as non-current assets, are reported in our Condensed Consolidated Balance Sheets as Other assets. Approximately $330.0 million and $313.8 million of our restricted cash and cash equivalents are held in qualified settlement funds (QSFs) for mesh-related matters at March 31, 2018 and December 31, 2017, respectively. See Note 12. Commitments and Contingencies for further information relating to the vaginal mesh liability.</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Equity securities consist of investments in the stock of publicly traded companies, the values of which are based on quoted market prices and thus represent Level 1 measurements within the above-defined fair value hierarchy. These securities are not held to support current operations and are therefore classified as non-current assets. Equity securities are included in Marketable securities in our Condensed Consolidated Balance Sheets at March 31, 2018 and December 31,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 inputs may result in a significant adjustment to fair value. See Recurring Fair Value Measurements below for additional information on acquisition-related contingent consideration.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March 31, 2018 and December 31,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3"/>
                <w:szCs w:val="13"/>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00" w:type="dxa"/>
            <w:vAlign w:val="bottom"/>
          </w:tcPr>
          <w:p>
            <w:pPr>
              <w:spacing w:after="0"/>
              <w:rPr>
                <w:sz w:val="12"/>
                <w:szCs w:val="12"/>
                <w:color w:val="auto"/>
              </w:rPr>
            </w:pPr>
          </w:p>
        </w:tc>
        <w:tc>
          <w:tcPr>
            <w:tcW w:w="10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3"/>
                <w:szCs w:val="13"/>
                <w:color w:val="auto"/>
              </w:rPr>
            </w:pPr>
          </w:p>
        </w:tc>
        <w:tc>
          <w:tcPr>
            <w:tcW w:w="13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Inputs (Level 3)</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692,745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692,745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696,039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209,820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905,859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5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consideration—short-term</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Acquisition-related contingent consideration—long-term</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113,750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113,750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169,287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169,287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80" w:type="dxa"/>
            <w:vAlign w:val="bottom"/>
          </w:tcPr>
          <w:p>
            <w:pPr>
              <w:spacing w:after="0"/>
              <w:rPr>
                <w:sz w:val="13"/>
                <w:szCs w:val="13"/>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3"/>
                <w:szCs w:val="13"/>
                <w:color w:val="auto"/>
              </w:rPr>
            </w:pPr>
          </w:p>
        </w:tc>
        <w:tc>
          <w:tcPr>
            <w:tcW w:w="132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439,831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439,831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303,410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441,287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303,410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744,697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consideration—short-term</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70,543</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Acquisition-related contingent consideration—long-term</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119,899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119,899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190,442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190,442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At March 31, 2018 and December 31, 2017, money market funds include $58.3 million and $35.6 million, respectively, in QSFs to be disbursed to mesh-related or other product liability claimants. Amounts in QSFs are considered restricted cash equivalents. See Note 12. Commitments and Contingencies for further discussion of our product liability cases. The differences between the amortized cost and fair value of our money market funds and equity securities were not material, individually or in the aggregate, at March 31, 2018 or December 31, 2017, nor were any of the related gross unrealized gains or losses.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right="60" w:firstLine="446"/>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was measured at fair value on a recurring basis using significant unobservable inputs (Level 3) for the three months ended March 31, 2018 and 2017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4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262,113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Amounts settled</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recorded in earnings</w:t>
            </w:r>
          </w:p>
        </w:tc>
        <w:tc>
          <w:tcPr>
            <w:tcW w:w="4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4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169,287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234,391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At March 31, 2018, the fair value measurements of the contingent consideration obligations were determined using risk-adjusted discount rates ranging from 10% to 22% (weighted average rate of approximately 15%). Changes in fair value recorded in earnings related to acquisition-related contingent consideration are included in our Condensed Consolidated Statements of Operations as Acquisition-related and integration items, and amounts recorded for the short-term and long-term portions of acquisition-related contingent consideration are included in Accounts payable and accrued expenses and Other liabilities, respectively, in our Condensed Consolidated Balance Sheets.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changes to the Company’s liability for acquisition-related contingent consideration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by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as of March</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Adjustments and</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Payments and Other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Accretion</w:t>
            </w: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46,401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VOLTAREN</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Gel acquisition</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98,124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8,147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95,648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15,963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190,442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169,287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three months ended March 31,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7"/>
          </w:tcPr>
          <w:p>
            <w:pPr>
              <w:jc w:val="center"/>
              <w:ind w:right="37"/>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Observable Inputs</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6"/>
                <w:szCs w:val="16"/>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assets, excluding goodwill (Note 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178,142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(54,200)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property, plant and equipment (1)</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57"/>
        </w:trPr>
        <w:tc>
          <w:tcPr>
            <w:tcW w:w="5620" w:type="dxa"/>
            <w:vAlign w:val="bottom"/>
          </w:tcPr>
          <w:p>
            <w:pPr>
              <w:jc w:val="center"/>
              <w:ind w:right="4814"/>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178,142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(57,416)</w:t>
            </w:r>
          </w:p>
        </w:tc>
        <w:tc>
          <w:tcPr>
            <w:tcW w:w="0" w:type="dxa"/>
            <w:vAlign w:val="bottom"/>
          </w:tcPr>
          <w:p>
            <w:pPr>
              <w:spacing w:after="0"/>
              <w:rPr>
                <w:sz w:val="1"/>
                <w:szCs w:val="1"/>
                <w:color w:val="auto"/>
              </w:rPr>
            </w:pPr>
          </w:p>
        </w:tc>
      </w:tr>
      <w:tr>
        <w:trPr>
          <w:trHeight w:val="20"/>
        </w:trPr>
        <w:tc>
          <w:tcPr>
            <w:tcW w:w="5620" w:type="dxa"/>
            <w:vAlign w:val="bottom"/>
            <w:vMerge w:val="restart"/>
          </w:tcPr>
          <w:p>
            <w:pPr>
              <w:jc w:val="right"/>
              <w:ind w:right="4814"/>
              <w:spacing w:after="0" w:line="155" w:lineRule="exact"/>
              <w:rPr>
                <w:sz w:val="20"/>
                <w:szCs w:val="20"/>
                <w:color w:val="auto"/>
              </w:rPr>
            </w:pPr>
            <w:r>
              <w:rPr>
                <w:rFonts w:ascii="Arial" w:cs="Arial" w:eastAsia="Arial" w:hAnsi="Arial"/>
                <w:sz w:val="14"/>
                <w:szCs w:val="14"/>
                <w:color w:val="auto"/>
                <w:w w:val="89"/>
              </w:rPr>
              <w:t>__________</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 includes $2.6 million related to the 2017 U.S. Generic Pharmaceuticals Restructuring Initiative, which is described further in Note 4. Restructuring.</w:t>
      </w:r>
    </w:p>
    <w:p>
      <w:pPr>
        <w:spacing w:after="0" w:line="10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Additionally, the Company recorded aggregate goodwill impairment charges during the three months ended March 31, 2018 of $391.0 million. Refer to Note 8. Goodwill and Other Intangibles for further description, including the valuation methodologies utilized.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at March 31,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124,685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Work-in-process (1)</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93,000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109,897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159,230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156,855</w:t>
            </w:r>
          </w:p>
        </w:tc>
        <w:tc>
          <w:tcPr>
            <w:tcW w:w="0" w:type="dxa"/>
            <w:vAlign w:val="bottom"/>
          </w:tcPr>
          <w:p>
            <w:pPr>
              <w:spacing w:after="0"/>
              <w:rPr>
                <w:sz w:val="1"/>
                <w:szCs w:val="1"/>
                <w:color w:val="auto"/>
              </w:rPr>
            </w:pPr>
          </w:p>
        </w:tc>
      </w:tr>
      <w:tr>
        <w:trPr>
          <w:trHeight w:val="257"/>
        </w:trPr>
        <w:tc>
          <w:tcPr>
            <w:tcW w:w="83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376,650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391,437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196" w:lineRule="exact"/>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4"/>
          <w:szCs w:val="14"/>
          <w:color w:val="auto"/>
        </w:rPr>
        <w:t>(1) The components of inventory shown in the table above are net of allowance for obsolescence.</w:t>
      </w:r>
    </w:p>
    <w:p>
      <w:pPr>
        <w:spacing w:after="0" w:line="101" w:lineRule="exact"/>
        <w:rPr>
          <w:sz w:val="20"/>
          <w:szCs w:val="20"/>
          <w:color w:val="auto"/>
        </w:rPr>
      </w:pPr>
    </w:p>
    <w:p>
      <w:pPr>
        <w:ind w:right="80" w:firstLine="486"/>
        <w:spacing w:after="0" w:line="235" w:lineRule="auto"/>
        <w:rPr>
          <w:sz w:val="20"/>
          <w:szCs w:val="20"/>
          <w:color w:val="auto"/>
        </w:rPr>
      </w:pPr>
      <w:r>
        <w:rPr>
          <w:rFonts w:ascii="Arial" w:cs="Arial" w:eastAsia="Arial" w:hAnsi="Arial"/>
          <w:sz w:val="18"/>
          <w:szCs w:val="18"/>
          <w:color w:val="auto"/>
        </w:rPr>
        <w:t>Inventory that is in excess of the amount expected to be sold within one year, which relates primarily to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inventory, is classified as long-term inventory and is not included in the table above. At March 31, 2018 and December 31, 2017, $18.4 million and $17.1 million, respectively, of long-term inventory was included in Other assets in the Condensed Consolidated Balance Sheets. As of March 31, 2018 and December 31, 2017, the Company’s Condensed Consolidated Balance Sheets included approximately $7.9 million and $5.9 million, respectively, of capitalized pre-launch inventories related to generic products that were not yet available to be sold.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our goodwill for the three months ended March 31,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U.S. Branded -</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Specialty &amp;</w:t>
            </w:r>
          </w:p>
        </w:tc>
        <w:tc>
          <w:tcPr>
            <w:tcW w:w="1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Branded -</w:t>
            </w:r>
          </w:p>
        </w:tc>
        <w:tc>
          <w:tcPr>
            <w:tcW w:w="1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 Generic</w:t>
            </w:r>
          </w:p>
        </w:tc>
        <w:tc>
          <w:tcPr>
            <w:tcW w:w="1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Established</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Sterile Injectables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3,531,301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89,963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4,450,082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Allocation to current segments (1)</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(391,000)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2,731,193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409,108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87,735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4,056,854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80" w:hanging="329"/>
        <w:spacing w:after="0" w:line="255"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allocation relates to the change in segments described in Note 5. Segment Results. The amount of goodwill initially attributed to the new U.S. Branded - Sterile Injectables and U.S. Generic Pharmaceuticals segments was determined using a relative fair value methodology in accordance with U.S. GAAP.</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amounts of goodwill at March 31, 2018 and December 31, 2017 are net of the following accumulated impairments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U.S. Branded -</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Specialty &amp;</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U.S. Branded -</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U.S. Generic</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Established</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Sterile Injectables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Accumulated impairment losses as of December 31,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jc w:val="right"/>
              <w:ind w:right="34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855,810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2,342,549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463,545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3,661,904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4"/>
              </w:rPr>
              <w:t>Accumulated impairment losses as of March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42"/>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2,733,549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451,858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4,041,217</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other intangible assets for the three months ended March 31, 2018 are set forth in the table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4"/>
                <w:szCs w:val="14"/>
                <w:color w:val="auto"/>
              </w:rPr>
            </w:pPr>
          </w:p>
        </w:tc>
        <w:tc>
          <w:tcPr>
            <w:tcW w:w="13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Balance as of March</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31, 2018</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347,200</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(40,600)</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306,600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i w:val="1"/>
                <w:iCs w:val="1"/>
                <w:color w:val="auto"/>
              </w:rPr>
              <w:t>Total indefinite-lived 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347,200</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306,600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Licenses (weighted average life of 12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457,402</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457,402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Developed technology (weighted average life of 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6,187,764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6,167,427</w:t>
            </w:r>
          </w:p>
        </w:tc>
        <w:tc>
          <w:tcPr>
            <w:tcW w:w="0" w:type="dxa"/>
            <w:vAlign w:val="bottom"/>
          </w:tcPr>
          <w:p>
            <w:pPr>
              <w:spacing w:after="0"/>
              <w:rPr>
                <w:sz w:val="1"/>
                <w:szCs w:val="1"/>
                <w:color w:val="auto"/>
              </w:rPr>
            </w:pPr>
          </w:p>
        </w:tc>
      </w:tr>
      <w:tr>
        <w:trPr>
          <w:trHeight w:val="209"/>
        </w:trPr>
        <w:tc>
          <w:tcPr>
            <w:tcW w:w="4120" w:type="dxa"/>
            <w:vAlign w:val="bottom"/>
          </w:tcPr>
          <w:p>
            <w:pPr>
              <w:ind w:left="280"/>
              <w:spacing w:after="0"/>
              <w:rPr>
                <w:sz w:val="20"/>
                <w:szCs w:val="20"/>
                <w:color w:val="auto"/>
              </w:rPr>
            </w:pPr>
            <w:r>
              <w:rPr>
                <w:rFonts w:ascii="Arial" w:cs="Arial" w:eastAsia="Arial" w:hAnsi="Arial"/>
                <w:sz w:val="18"/>
                <w:szCs w:val="18"/>
                <w:i w:val="1"/>
                <w:iCs w:val="1"/>
                <w:color w:val="auto"/>
                <w:w w:val="95"/>
              </w:rPr>
              <w:t>Total finite-lived intangibles (weighted average life</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80"/>
              <w:spacing w:after="0"/>
              <w:rPr>
                <w:sz w:val="20"/>
                <w:szCs w:val="20"/>
                <w:color w:val="auto"/>
              </w:rPr>
            </w:pPr>
            <w:r>
              <w:rPr>
                <w:rFonts w:ascii="Arial" w:cs="Arial" w:eastAsia="Arial" w:hAnsi="Arial"/>
                <w:sz w:val="18"/>
                <w:szCs w:val="18"/>
                <w:i w:val="1"/>
                <w:iCs w:val="1"/>
                <w:color w:val="auto"/>
              </w:rPr>
              <w:t>of 11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6,651,575</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6,631,238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6,998,775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6,937,838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Pr>
          <w:p>
            <w:pPr>
              <w:spacing w:after="0"/>
              <w:rPr>
                <w:sz w:val="22"/>
                <w:szCs w:val="22"/>
                <w:color w:val="auto"/>
              </w:rPr>
            </w:pPr>
          </w:p>
        </w:tc>
        <w:tc>
          <w:tcPr>
            <w:tcW w:w="13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22"/>
                <w:szCs w:val="2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Balance as of March</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31, 2018</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(370,221)</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(377,308)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(2,304,461)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(2,451,417)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(2,681,091)</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Net other intangibles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4,317,684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4,102,704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17</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Amortization expense for the three months ended March 31, 2018 and 2017 totaled $157.2 million and $263.1 million, respectively. Amortization expense is included in Cost of revenues in the Condensed Consolidated Statements of Operations. Estimated amortization of intangibles for the five fiscal years subsequent to December 31, 2017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2018</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596,239</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2019</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504,032</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w w:val="94"/>
              </w:rPr>
              <w:t>2020</w:t>
            </w:r>
          </w:p>
        </w:tc>
        <w:tc>
          <w:tcPr>
            <w:tcW w:w="5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466,965</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2021</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448,867</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2022</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435,074</w:t>
            </w:r>
          </w:p>
        </w:tc>
      </w:tr>
      <w:tr>
        <w:trPr>
          <w:trHeight w:val="27"/>
        </w:trPr>
        <w:tc>
          <w:tcPr>
            <w:tcW w:w="524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Endo tests goodwill and indefinite-lived intangible assets for impairment annually, or more frequently whenever events or changes in circumstances indicate that the asset might be impaired. Our annual assessment is performed as of October 1st.</w:t>
      </w:r>
    </w:p>
    <w:p>
      <w:pPr>
        <w:spacing w:after="0" w:line="6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part of our goodwill and intangible asset impairment assessments, we estimate the fair values of our reporting units and our intangible assets using an income approach that utilizes a discounted cash flow model or, where appropriate, a market approach. The discounted cash flow models are dependent upon our estimates of future cash flows and other factors. These estimates of future cash flows involve assumptions concerning (i) future operating performance, including future sales, long-term growth rates, operating margins, tax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A summary of significant goodwill and other intangible asset impairment tests and related charges for the three months ended March 31, 2018 and 2017 is included below.</w:t>
      </w:r>
    </w:p>
    <w:p>
      <w:pPr>
        <w:spacing w:after="0" w:line="6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first quarter 2018 change in segments described in Note 5. Segment Results resulted in changes to our reporting units for goodwill impairment testing purposes, including the creation of a new U.S. Branded - Sterile Injectables reporting unit, which was previously part of our Generics reporting unit. As a result of these changes, under U.S. GAAP, we tested the goodwill of the former Generics reporting unit immediately before the segment realignment and the goodwill of both the new U.S. Branded - Sterile Injectables and U.S. Generic Pharmaceuticals reporting units immediately after the segment realignment. These goodwill tests were performed using an income approach that utilizes a discounted cash flow model. The results of these goodwill impairment tests were as follows:</w:t>
      </w:r>
    </w:p>
    <w:p>
      <w:pPr>
        <w:spacing w:after="0" w:line="2" w:lineRule="exact"/>
        <w:rPr>
          <w:sz w:val="20"/>
          <w:szCs w:val="20"/>
          <w:color w:val="auto"/>
        </w:rPr>
      </w:pPr>
    </w:p>
    <w:p>
      <w:pPr>
        <w:ind w:left="900" w:right="220" w:hanging="244"/>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former Generics reporting unit’s estimated fair value (determined using a discount rate of 9.5%) exceeded its carrying amount, resulting in no related goodwill impairment charge.</w:t>
      </w:r>
    </w:p>
    <w:p>
      <w:pPr>
        <w:ind w:left="900" w:right="120" w:hanging="244"/>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new U.S. Branded - Sterile Injectables reporting unit’s estimated fair value (determined using a discount rate of 9.5%) exceeded its carrying amount, resulting in no related goodwill impairment charge.</w:t>
      </w:r>
    </w:p>
    <w:p>
      <w:pPr>
        <w:ind w:left="900" w:right="280" w:hanging="244"/>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new U.S. Generic Pharmaceuticals reporting unit’s carrying amount exceeded its estimated fair value (determined using a discount rate of 9.5%), resulting in a pre-tax non-cash goodwill impairment charge of $391.0 million.</w:t>
      </w:r>
    </w:p>
    <w:p>
      <w:pPr>
        <w:spacing w:after="0" w:line="76"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During the three months ended March 31, 2018, the Company identified certain market conditions impacting the recoverability of certain in-process research and development and developed technology intangible assets. Accordingly, we tested these assets for impairment and determined that their carrying amounts were no longer fully recoverable, resulting in pre-tax, non-cash asset impairment charges totaling $54.2 million during the first quarter of 2018.</w:t>
      </w:r>
    </w:p>
    <w:p>
      <w:pPr>
        <w:spacing w:after="0" w:line="3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During the three months ended March 31, 2017, the Company identified certain market conditions impacting the recoverability of certain developed technology intangible assets. Accordingly, we tested these assets for impairment and determined that their carrying amounts were no longer fully recoverable, resulting in pre-tax, non-cash asset impairment charges totaling $72.7 million during the first quarter of 2017.</w:t>
      </w:r>
    </w:p>
    <w:p>
      <w:pPr>
        <w:spacing w:after="0" w:line="73"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Pursuant to an existing agreement with a wholly owned subsidiary of Novartis AG (Novartis), Paladin licensed the Canadian rights to commercialize serelaxin, an investigational drug for the treatment of acute heart failure (AHF). In March 2017, Novartis announced that a Phase 3 study of serelaxin in patients with AHF failed to meet its primary endpoints. As a result, we concluded that the full carrying amount of our serelaxin in-process research and development intangible asset was impaired, resulting in a $45.5 million pre-tax non-cash impairment charge for the three months ended March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addition and as a result of the serelaxin impairment discussed above, we assessed the recoverability of our Paladin goodwill balance and determined that the estimated fair value of the Paladin reporting unit was below its carrying amount. We recorded a pre-tax, non-cash asset impairment charge of $82.6 million during the three months ended March 31, 2017 for the amount by which the carrying amount exceeded the reporting unit’s fair value. We estimated the fair value of the Paladin reporting unit using an income approach that utilized a discounted cash flow model.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CONTRACT ASSETS AND LIABILITIES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March 31, 2018, the unfulfilled performance obligations for these types of contracts relate to ordered but undelivered product.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 2018</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net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liabilities, net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20,483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20,954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82"/>
        </w:trPr>
        <w:tc>
          <w:tcPr>
            <w:tcW w:w="5520" w:type="dxa"/>
            <w:vAlign w:val="bottom"/>
          </w:tcPr>
          <w:p>
            <w:pPr>
              <w:jc w:val="right"/>
              <w:ind w:right="4716"/>
              <w:spacing w:after="0"/>
              <w:rPr>
                <w:sz w:val="20"/>
                <w:szCs w:val="20"/>
                <w:color w:val="auto"/>
              </w:rPr>
            </w:pPr>
            <w:r>
              <w:rPr>
                <w:rFonts w:ascii="Arial" w:cs="Arial" w:eastAsia="Arial" w:hAnsi="Arial"/>
                <w:sz w:val="14"/>
                <w:szCs w:val="14"/>
                <w:color w:val="auto"/>
                <w:w w:val="89"/>
              </w:rPr>
              <w:t>__________</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right="20" w:hanging="329"/>
        <w:spacing w:after="0" w:line="24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March 31, 2018 and January 1, 2018, approximately $8.3 million and $8.2 million, respectively, of these contract asset amounts are classified as current assets and are included in Prepaid expenses and other current assets in the Company’s Condensed Consolidated Balance Sheets. The remaining amounts are classified as non-current and are included in Other assets. The decrease in contract assets during the three months ended March 31, 2018 was primarily due to a reclassification to accounts receivable following the resolution of certain conditions other than the passage of time affecting the Company’s rights to consideration for the sale of certain goods.</w:t>
      </w:r>
    </w:p>
    <w:p>
      <w:pPr>
        <w:spacing w:after="0" w:line="1" w:lineRule="exact"/>
        <w:rPr>
          <w:rFonts w:ascii="Arial" w:cs="Arial" w:eastAsia="Arial" w:hAnsi="Arial"/>
          <w:sz w:val="14"/>
          <w:szCs w:val="14"/>
          <w:color w:val="auto"/>
        </w:rPr>
      </w:pPr>
    </w:p>
    <w:p>
      <w:pPr>
        <w:ind w:left="580" w:right="40" w:hanging="329"/>
        <w:spacing w:after="0" w:line="246"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March 31, 2018 and January 1, 2018, approximately $1.8 million and $1.9 million, respectively, of these contract liability amounts are classified as current liabilities and are included in Accounts payable and accrued expenses in the Company’s Condensed Consolidated Balance Sheets. The remaining amounts are classified as non-current and are included in Other liabilities. During the three months ended March 31, 2018, the Company recognized revenue of $0.5 million that was included in the contract liability balance at January 1, 2018, resulting in a corresponding decrease in contract liabilities.</w:t>
      </w:r>
    </w:p>
    <w:p>
      <w:pPr>
        <w:spacing w:after="0" w:line="89"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During the three months ended March 31, 2018, we recognized a reduction in revenue of $3.3 million relating to performance obligations satisfied, or partially satisfied, in prior periods. Such revenue generally relates to changes in estimates with respect to our variable consideration.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March 31,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85,348</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Returns and allowances</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293,840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291,034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168,333</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130,257</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79,956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113,908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 and other distribution partner payables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63,114</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consideration—short-term</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70,543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174,367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159,684</w:t>
            </w:r>
          </w:p>
        </w:tc>
        <w:tc>
          <w:tcPr>
            <w:tcW w:w="0" w:type="dxa"/>
            <w:vAlign w:val="bottom"/>
          </w:tcPr>
          <w:p>
            <w:pPr>
              <w:spacing w:after="0"/>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953,195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1,096,825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80" w:type="dxa"/>
            <w:vAlign w:val="bottom"/>
            <w:vMerge w:val="restart"/>
          </w:tcPr>
          <w:p>
            <w:pPr>
              <w:jc w:val="right"/>
              <w:ind w:right="269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information about the Company’s total indebtedness at March 31, 2018 and December 31, 2017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8"/>
              </w:rPr>
              <w:t>March 31, 2018</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4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3"/>
                <w:szCs w:val="13"/>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7.25% Senior Notes due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391,454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390,974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5.75% Senior Notes due 2022</w:t>
            </w:r>
          </w:p>
        </w:tc>
        <w:tc>
          <w:tcPr>
            <w:tcW w:w="8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693,248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692,855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742,388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742,048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6.00% Senior Notes due 2023</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1,635,000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1,614,269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1,613,446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Secured Notes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295,647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295,513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6.00% Senior Notes due 2025</w:t>
            </w: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1,181,773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1,181,243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Facility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3,389,388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3,352,858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3,397,925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3,360,103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debt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8,374,443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8,271,692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8,382,980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8,276,237</w:t>
            </w:r>
          </w:p>
        </w:tc>
        <w:tc>
          <w:tcPr>
            <w:tcW w:w="0" w:type="dxa"/>
            <w:vAlign w:val="bottom"/>
          </w:tcPr>
          <w:p>
            <w:pPr>
              <w:spacing w:after="0"/>
              <w:rPr>
                <w:sz w:val="1"/>
                <w:szCs w:val="1"/>
                <w:color w:val="auto"/>
              </w:rPr>
            </w:pP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Less current portion,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34,205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less current portion,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8,340,238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8,237,487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8,348,775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8,242,032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senior unsecured notes are unsecured and effectively subordinated in right of priority to our credit agreement (the 2017 Credit Agreement) and our senior secured notes, in each case to the extent of the value of the collateral securing such instruments, which collateral represents substantially all of the assets of the issuers or borrowers and the guarantors party thereto.</w:t>
      </w:r>
    </w:p>
    <w:p>
      <w:pPr>
        <w:spacing w:after="0" w:line="7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$7.3 billion and $7.5 billion at March 31, 2018 and December 31, 2017, respectively. Based on this valuation methodology, we determined these debt instruments represent Level 2 measurements within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have $996.8 million of remaining credit available through our Revolving Credit Facility as of March 31, 2018. As of March 31, 2018, we were in compliance with all covenants contained in our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and certain of our subsidiaries are involved in various claims, legal proceedings, internal and governmental investigations (collectively, proceedings) that arise from time to time in the ordinary course of our business, including, among others, those relating to product liability, intellectual property, regulatory compliance, consumer protection and commercial matters. While we cannot predict the outcome of these proceedings and we intend to vigorously prosecute or defend our position as appropriate, there can be no assurance that we will be successful or obtain any requested relief, and an adverse outcome in any of these proceedings could have a material adverse effect on our current and future financial position,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such matters.</w:t>
      </w:r>
    </w:p>
    <w:p>
      <w:pPr>
        <w:spacing w:after="0" w:line="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and all such disputes with our insurance carriers and to enforce our rights under the terms of our insurance policies. Accordingly, we will record receivables with respect to amounts due under these policies only when the resolution of any dispute has been reached and realization of the potential claim for recovery is considered probable. Amounts recovered under our insurance policies will likely be less than the stated coverage limits and may not be adequate to cover damages and/or costs relating to claims. In addition, there is no guarantee that insurers will pay claims or that coverage will otherwise be available.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2018, our reserve for loss contingencies totaled $1,240.9 million, of which $1,032.0 million relates to our liability accrual for vaginal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mesh cases and other mesh-related matters. During the fourth quarter of 2017, the Company recorded a total increase to its legal reserves of approximately</w:t>
      </w:r>
    </w:p>
    <w:p>
      <w:pPr>
        <w:spacing w:after="0" w:line="237" w:lineRule="auto"/>
        <w:rPr>
          <w:sz w:val="20"/>
          <w:szCs w:val="20"/>
          <w:color w:val="auto"/>
        </w:rPr>
      </w:pPr>
      <w:r>
        <w:rPr>
          <w:rFonts w:ascii="Arial" w:cs="Arial" w:eastAsia="Arial" w:hAnsi="Arial"/>
          <w:sz w:val="16"/>
          <w:szCs w:val="16"/>
          <w:color w:val="auto"/>
        </w:rPr>
        <w:t>$200 million related to testosterone-related product liability matters and LIDODERM</w:t>
      </w:r>
      <w:r>
        <w:rPr>
          <w:rFonts w:ascii="Arial" w:cs="Arial" w:eastAsia="Arial" w:hAnsi="Arial"/>
          <w:sz w:val="22"/>
          <w:szCs w:val="22"/>
          <w:color w:val="auto"/>
          <w:vertAlign w:val="superscript"/>
        </w:rPr>
        <w:t>®</w:t>
      </w:r>
      <w:r>
        <w:rPr>
          <w:rFonts w:ascii="Arial" w:cs="Arial" w:eastAsia="Arial" w:hAnsi="Arial"/>
          <w:sz w:val="16"/>
          <w:szCs w:val="16"/>
          <w:color w:val="auto"/>
        </w:rPr>
        <w:t>-related antitrust matters, which reflects the Company’s conclusion that</w:t>
      </w:r>
    </w:p>
    <w:p>
      <w:pPr>
        <w:spacing w:after="0" w:line="205" w:lineRule="auto"/>
        <w:rPr>
          <w:sz w:val="20"/>
          <w:szCs w:val="20"/>
          <w:color w:val="auto"/>
        </w:rPr>
      </w:pPr>
      <w:r>
        <w:rPr>
          <w:rFonts w:ascii="Arial" w:cs="Arial" w:eastAsia="Arial" w:hAnsi="Arial"/>
          <w:sz w:val="16"/>
          <w:szCs w:val="16"/>
          <w:color w:val="auto"/>
        </w:rPr>
        <w:t>a loss is probable with respect to these matters. The reserve for LIDODERM</w:t>
      </w:r>
      <w:r>
        <w:rPr>
          <w:rFonts w:ascii="Arial" w:cs="Arial" w:eastAsia="Arial" w:hAnsi="Arial"/>
          <w:sz w:val="22"/>
          <w:szCs w:val="22"/>
          <w:color w:val="auto"/>
          <w:vertAlign w:val="superscript"/>
        </w:rPr>
        <w:t>®</w:t>
      </w:r>
      <w:r>
        <w:rPr>
          <w:rFonts w:ascii="Arial" w:cs="Arial" w:eastAsia="Arial" w:hAnsi="Arial"/>
          <w:sz w:val="16"/>
          <w:szCs w:val="16"/>
          <w:color w:val="auto"/>
        </w:rPr>
        <w:t>-related matters includes an estimated loss for, among other matters, settlement</w:t>
      </w:r>
    </w:p>
    <w:p>
      <w:pPr>
        <w:spacing w:after="0"/>
        <w:rPr>
          <w:sz w:val="20"/>
          <w:szCs w:val="20"/>
          <w:color w:val="auto"/>
        </w:rPr>
      </w:pPr>
      <w:r>
        <w:rPr>
          <w:rFonts w:ascii="Arial" w:cs="Arial" w:eastAsia="Arial" w:hAnsi="Arial"/>
          <w:sz w:val="17"/>
          <w:szCs w:val="17"/>
          <w:color w:val="auto"/>
        </w:rPr>
        <w:t>of all remaining claims filed against EPI in multidistrict litigation (MDL) No. 2521, which is further discussed below under the heading “Other Antitrust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Matters.” The testosterone-related reserve includes an estimated loss for, among other matters, all testosterone-related product liability cases filed in MDL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2545 and in other courts. These cases are further discussed below under the heading “Product Liability and Related Matters.” Although we believe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reasonable possibility that a loss in excess of the amount recognized exists, we are unable to estimate the possible loss or range of loss in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recognized at this time.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Liability and Related Matters</w:t>
      </w:r>
    </w:p>
    <w:p>
      <w:pPr>
        <w:spacing w:after="0" w:line="11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and certain of our subsidiaries have been named as defendants in numerous lawsuits in various U.S. federal and state courts, as well as in Canada and other countries, alleging personal injury resulting from the use of certain products of our subsidiaries. These and other related matters are described below in more detail.</w:t>
      </w:r>
    </w:p>
    <w:p>
      <w:pPr>
        <w:spacing w:after="0" w:line="7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b w:val="1"/>
          <w:bCs w:val="1"/>
          <w:i w:val="1"/>
          <w:iCs w:val="1"/>
          <w:color w:val="auto"/>
        </w:rPr>
        <w:t xml:space="preserve">Vaginal Mesh. </w:t>
      </w:r>
      <w:r>
        <w:rPr>
          <w:rFonts w:ascii="Arial" w:cs="Arial" w:eastAsia="Arial" w:hAnsi="Arial"/>
          <w:sz w:val="18"/>
          <w:szCs w:val="18"/>
          <w:color w:val="auto"/>
        </w:rPr>
        <w:t>Since 2008, we and certain of our subsidiaries, including American Medical Systems Holdings, Inc. (subsequently converted to Astora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Women’s Health Holding LLC and merged into Astora Women’s Health LLC and referred to herein as AMS) and/or Astora, have been named as defendants in multiple lawsuits in the U.S. in various state and federal courts (including a federal MDL pending in the U.S. District Court for the Southern District of West Virginia (MDL No. 2325)), and in Canada and other countries, alleging personal injury resulting from the use of transvaginal surgical mesh products designed to treat pelvic organ prolapse (POP) and stress urinary incontinence (SUI). In January 2018, a representative proceeding (class action) was filed in the Federal Court of Australia against American Medical Systems, LLC. In the various class action and individual complaints, plaintiffs claim a variety of personal injuries, including chronic pain, incontinence, inability to control bowel function and permanent deformities, and seek compensatory and punitive damages, where available.</w:t>
      </w:r>
    </w:p>
    <w:p>
      <w:pPr>
        <w:spacing w:after="0" w:line="8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and certain plaintiffs’ counsel representing mesh-related product liability claimants have entered into various Master Settlement Agreements (MSAs) and other agreements to resolve up to approximately 71,000 filed and unfiled mesh claims handled or controlled by the participating counsel. These MSAs and other agreements were entered into at various times between June 2013 and the present, were solely by way of compromise and settlement and were not in any way an admission of liability or fault by us or any of our subsidiaries.</w:t>
      </w:r>
    </w:p>
    <w:p>
      <w:pPr>
        <w:spacing w:after="0" w:line="79"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All MSAs are subject to a process that includes guidelines and procedures for administering the settlements and the release of funds. In certain cases, the MSAs provide for the creation of QSFs into which funds may be deposited pursuant to certain schedules set forth in those agreements. All MSAs have participation requirements regarding the claims represented by each law firm party to the MSA. In addition, one agreement gives us a unilateral right of approval regarding which claims may be eligible to participate under that settlement. To the extent fewer claims than are authorized under an agreement participate, the total settlement payment under that agreement will be reduced by an agreed-upon amount for each such non-participating claim. Funds deposited in QSFs are included in restricted cash and cash equivalents in the Condensed Consolidated Balance Sheets.</w:t>
      </w:r>
    </w:p>
    <w:p>
      <w:pPr>
        <w:spacing w:after="0" w:line="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Distribution of funds to any individual claimant is conditioned upon the receipt of documentation substantiating the validity of the claim, a full release and dismissal of the entire action or claim as to all AMS parties and affiliates. Prior to receiving funds, an individual claimant is required to represent and warrant that liens, assignment rights or other claims identified in the claims administration process have been or will be satisfied by the individual claimant. Confidentiality provisions apply to the amount of settlement awards to participating claimants, the claims evaluation process and procedures used in conjunction with award distributions, and the negotiations leading to the settlements.</w:t>
      </w:r>
    </w:p>
    <w:p>
      <w:pPr>
        <w:spacing w:after="0" w:line="80"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color w:val="auto"/>
        </w:rPr>
        <w:t>In June 2017, the MDL court entered a case management order which, among other things, requires plaintiffs in newly-filed MDL cases to provide expert disclosures on specific causation within one hundred twenty (120) days of filing a claim (the Order). Under the Order, a plaintiff's failure to meet the foregoing deadline may be grounds for the entry of judgment against such plaintiff. In July 2017, a similar order was entered in Minnesota state court.</w:t>
      </w:r>
    </w:p>
    <w:p>
      <w:pPr>
        <w:spacing w:after="0" w:line="39"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matters as of the date of this report, it is reasonably possible that further claims may be filed or asserted and adjustments to our liability accrual may be required. This could have a material adverse effect on our business, financial condition, results of operations and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the QSFs and mesh liability accrual balance during the three months ended March 31, 2018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Qualified Settlement</w:t>
            </w: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Mesh Liability</w:t>
            </w:r>
          </w:p>
        </w:tc>
      </w:tr>
      <w:tr>
        <w:trPr>
          <w:trHeight w:val="192"/>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Funds</w:t>
            </w:r>
          </w:p>
        </w:tc>
        <w:tc>
          <w:tcPr>
            <w:tcW w:w="1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1,087,172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(50,636)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1,031,989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As of March 31, 2018, $899.9 million of the mesh liability accrual amount shown above is classified in the Current portion of the legal settlement accrual in the Condensed Consolidated Balance Sheets, with the remainder classified as Long-term legal settlement accrual, less current portion. Charges related to vaginal mesh liability and associated legal fees and other expenses for all periods presented are reported in Discontinued operations, net of tax in our Condensed Consolidated Statements of Operations.</w:t>
      </w:r>
    </w:p>
    <w:p>
      <w:pPr>
        <w:spacing w:after="0" w:line="7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To date, the Company has made total mesh liability payments of approximately $3.0 billion, $330.0 million of which remains in the QSFs as of March 31, 2018. We expect to fund into the QSFs the remaining payments under all settlement agreements during the remainder of 2018 and 2019.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were contacted in October 2012 regarding a civil investigation initiated by a number of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currently cooperating with these investigations.</w:t>
      </w:r>
    </w:p>
    <w:p>
      <w:pPr>
        <w:spacing w:after="0" w:line="3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firstLine="486"/>
        <w:spacing w:after="0" w:line="230" w:lineRule="auto"/>
        <w:rPr>
          <w:sz w:val="20"/>
          <w:szCs w:val="20"/>
          <w:color w:val="auto"/>
        </w:rPr>
      </w:pPr>
      <w:r>
        <w:rPr>
          <w:rFonts w:ascii="Arial" w:cs="Arial" w:eastAsia="Arial" w:hAnsi="Arial"/>
          <w:sz w:val="17"/>
          <w:szCs w:val="17"/>
          <w:b w:val="1"/>
          <w:bCs w:val="1"/>
          <w:i w:val="1"/>
          <w:iCs w:val="1"/>
          <w:color w:val="auto"/>
        </w:rPr>
        <w:t xml:space="preserve">Testosterone. </w:t>
      </w:r>
      <w:r>
        <w:rPr>
          <w:rFonts w:ascii="Arial" w:cs="Arial" w:eastAsia="Arial" w:hAnsi="Arial"/>
          <w:sz w:val="17"/>
          <w:szCs w:val="17"/>
          <w:color w:val="auto"/>
        </w:rPr>
        <w:t>Various manufacturers of prescription medications containing testosterone, including our subsidiaries Endo Pharmaceuticals Inc. (EPI)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Auxilium Pharmaceuticals, Inc. (subsequently converted to Auxilium Pharmaceuticals, LLC and hereinafter referred to as Auxilium), have been named as defendants in multiple lawsuits alleging personal injury resulting from the use of such medications, including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DELATESTRYL</w:t>
      </w:r>
      <w:r>
        <w:rPr>
          <w:rFonts w:ascii="Arial" w:cs="Arial" w:eastAsia="Arial" w:hAnsi="Arial"/>
          <w:sz w:val="24"/>
          <w:szCs w:val="24"/>
          <w:color w:val="auto"/>
          <w:vertAlign w:val="superscript"/>
        </w:rPr>
        <w:t>®</w:t>
      </w:r>
      <w:r>
        <w:rPr>
          <w:rFonts w:ascii="Arial" w:cs="Arial" w:eastAsia="Arial" w:hAnsi="Arial"/>
          <w:sz w:val="17"/>
          <w:szCs w:val="17"/>
          <w:color w:val="auto"/>
        </w:rPr>
        <w:t>, TESTIM</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AVEED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STRIANT</w:t>
      </w:r>
      <w:r>
        <w:rPr>
          <w:rFonts w:ascii="Arial" w:cs="Arial" w:eastAsia="Arial" w:hAnsi="Arial"/>
          <w:sz w:val="24"/>
          <w:szCs w:val="24"/>
          <w:color w:val="auto"/>
          <w:vertAlign w:val="superscript"/>
        </w:rPr>
        <w:t>®</w:t>
      </w:r>
      <w:r>
        <w:rPr>
          <w:rFonts w:ascii="Arial" w:cs="Arial" w:eastAsia="Arial" w:hAnsi="Arial"/>
          <w:sz w:val="17"/>
          <w:szCs w:val="17"/>
          <w:color w:val="auto"/>
        </w:rPr>
        <w:t>. Plaintiffs in these suits generally allege various personal injuries, including pulmonary embolism, stroke or other vascular and/or cardiac injuries, and seek compensatory and/or punitive damages, where available.</w:t>
      </w:r>
    </w:p>
    <w:p>
      <w:pPr>
        <w:spacing w:after="0" w:line="9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As of May 1, 2018, we were aware of approximately 1,300 testosterone cases (some of which may have been filed on behalf of multiple plaintiffs) pending against one or more of our subsidiaries. Many of these cases have been coordinated in a federal MDL pending in the U.S. District Court for the Northern District of Illinois (MDL No. 2545). In addition, there are cases pending against EPI and/or Auxilium in the Philadelphia Court of Common Pleas (PCCP) and in certain other state courts.</w:t>
      </w:r>
    </w:p>
    <w:p>
      <w:pPr>
        <w:spacing w:after="0" w:line="79" w:lineRule="exact"/>
        <w:rPr>
          <w:sz w:val="20"/>
          <w:szCs w:val="20"/>
          <w:color w:val="auto"/>
        </w:rPr>
      </w:pPr>
    </w:p>
    <w:p>
      <w:pPr>
        <w:ind w:right="20" w:firstLine="486"/>
        <w:spacing w:after="0" w:line="232" w:lineRule="auto"/>
        <w:rPr>
          <w:sz w:val="20"/>
          <w:szCs w:val="20"/>
          <w:color w:val="auto"/>
        </w:rPr>
      </w:pPr>
      <w:r>
        <w:rPr>
          <w:rFonts w:ascii="Arial" w:cs="Arial" w:eastAsia="Arial" w:hAnsi="Arial"/>
          <w:sz w:val="18"/>
          <w:szCs w:val="18"/>
          <w:color w:val="auto"/>
        </w:rPr>
        <w:t>In November 2015, the MDL court entered an order granting defendants’ motion to dismiss claims involving certain testosterone products that were approved pursuant to Abbreviated New Drug Applications (ANDAs), including TESTOPEL</w:t>
      </w:r>
      <w:r>
        <w:rPr>
          <w:rFonts w:ascii="Arial" w:cs="Arial" w:eastAsia="Arial" w:hAnsi="Arial"/>
          <w:sz w:val="25"/>
          <w:szCs w:val="25"/>
          <w:color w:val="auto"/>
          <w:vertAlign w:val="superscript"/>
        </w:rPr>
        <w:t>®</w:t>
      </w:r>
      <w:r>
        <w:rPr>
          <w:rFonts w:ascii="Arial" w:cs="Arial" w:eastAsia="Arial" w:hAnsi="Arial"/>
          <w:sz w:val="18"/>
          <w:szCs w:val="18"/>
          <w:color w:val="auto"/>
        </w:rPr>
        <w:t>. Plaintiffs filed a motion for reconsideration and clarification of this order. In March 2016, the MDL court granted plaintiffs’ motion in part and entered an order permitting certain claims to go forward to the extent they are based on allegations of fraudulent off-label marketing.</w:t>
      </w:r>
    </w:p>
    <w:p>
      <w:pPr>
        <w:spacing w:after="0" w:line="94" w:lineRule="exact"/>
        <w:rPr>
          <w:sz w:val="20"/>
          <w:szCs w:val="20"/>
          <w:color w:val="auto"/>
        </w:rPr>
      </w:pPr>
    </w:p>
    <w:p>
      <w:pPr>
        <w:ind w:right="80" w:firstLine="486"/>
        <w:spacing w:after="0" w:line="227" w:lineRule="auto"/>
        <w:rPr>
          <w:sz w:val="20"/>
          <w:szCs w:val="20"/>
          <w:color w:val="auto"/>
        </w:rPr>
      </w:pPr>
      <w:r>
        <w:rPr>
          <w:rFonts w:ascii="Arial" w:cs="Arial" w:eastAsia="Arial" w:hAnsi="Arial"/>
          <w:sz w:val="18"/>
          <w:szCs w:val="18"/>
          <w:color w:val="auto"/>
        </w:rPr>
        <w:t>The first MDL trial against Auxilium involving TESTIM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took place in November 2017 and resulted in a defense verdict. The first PCCP trial against Auxilium involving TESTIM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scheduled for January 2018 but resolved prior to trial.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In February 2018, counsel for plaintiffs and counsel for Auxilium and EPI signed a memorandum of understanding regarding a potential settlement, subject to certain contingencies and conditions. The MDL court subsequently entered case management orders directing that proceedings involving these parties be temporarily stayed so that the parties may devote their efforts to finalizing a master settlement agreement. Similarly, in March 2018, orders were entered in the PCCP temporarily staying the testosterone-related product liability proceedings involving these parties. A fourth quarter 2017 increase to the Company’s legal reserves included, among other things, an estimated loss for all testosterone-related product liability claims filed in MDL No. 2545 and in other courts. Although the Company believes it has appropriately estimated the probable total amount of loss associated with testosterone-related product liability matters as of the date of this report, it is reasonably possible that further claims may be filed or asserted and adjustments to our liability accrual may be required. This could have a material adverse effect on our business, financial condition, results of operations and cash flows.</w:t>
      </w:r>
    </w:p>
    <w:p>
      <w:pPr>
        <w:spacing w:after="0" w:line="58"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MDL also includes a lawsuit filed in November 2014 in the U.S. District for the Northern District of Illinois against EPI, Auxilium and various other manufacturers of testosterone products on behalf of a proposed class of health insurance companies and other third party payers that claim to have paid for certain testosterone products. After a series of motions to dismiss, plaintiffs filed a third amended complaint in April 2016, asserting civil claims for alleged violations of the Racketeer Influenced and Corrupt Organizations Act (RICO) and for negligent misrepresentation based on defendants’ marketing of certain testosterone products. The court denied a motion to dismiss this complaint in August 2016 and the case is currently in discovery. In November 2017, plaintiff filed a motion to certify a nationwide class of third party payers. This lawsuit is not part of the potential settlement described above.</w:t>
      </w:r>
    </w:p>
    <w:p>
      <w:pPr>
        <w:spacing w:after="0" w:line="57"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Unapproved Drug Litigation</w:t>
      </w:r>
    </w:p>
    <w:p>
      <w:pPr>
        <w:spacing w:after="0" w:line="11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September 2013, the State of Louisiana filed a petition for damages against certain of our subsidiaries, including EPI, and more than 50 other pharmaceutical companies in Louisiana state court (19th Judicial District) alleging that the defendants or their subsidiaries marketed products that were not approved by the FDA and seeking damages, fines, penalties, attorneys’ fees and costs under various causes of action. In October 2015, the district court entered judgment for defendants on their exception for no right of action. The State appealed, and in October 2016 the Louisiana First Circuit Court of Appeals reversed the dismissal as to the State’s Medicaid Assistance Program Integrity Law (MAPIL) and Louisiana Unfair Trade Practices Act (LUTPA) claims but affirmed the dismissal as to the State’s other claims. The State’s petition for rehearing was denied in December 2016. Both sides applied to the Louisiana Supreme Court for a writ of certiorari to review the First Circuit’s decision. Those writs were denied in March 2017. In May 2017, defendants filed exceptions for no cause of action in the district court. In August 2017, the court sustained defendants’ exception as to the MAPIL claim but overruled defendants’ exception as to the LUTPA claim. The State then filed a motion seeking reconsideration with respect to the MAPIL claim, and defendants filed a motion for clarification with respect to the court’s ruling on the LUTPA claim. In October 2017, the court denied the State’s motion and entered final judgment against the State with respect to the MAPIL claim. The court also granted defendants’ motion for clarification and dismissed the State’s LUTPA claim insofar as it sought civil penalties for alleged violations occurring before June 2, 2006. In October 2017, defendants applied for a supervisory writ to the Louisiana First Circuit Court of Appeals on the district court’s August 2017 order overruling defendants’ exception on the State’s LUTPA claim. In March 2018, defendants refiled the writ application after the court instructed the defendants to do so.</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March 2017, the State of Mississippi filed a complaint against our subsidiary EPI in Mississippi state court (Hinds County Chancery Court) alleging that EPI marketed products that were not approved by the FDA and seeking damages, penalties, attorneys’ fees, costs and other relief under various causes of action. In April 2017, EPI removed the case to the U.S. District Court for the Southern District of Mississippi. In May 2017, the State moved to remand the case to state court, and that motion was granted in October 2017. In November 2017, EPI filed a motion to dismiss the State’s complaint on various grounds. In January 2018, the State filed a motion for leave to amend its complaint. In February 2018, following an unopposed motion by the State, the court consolidated the State’s case against EPI with five substantially similar cases brought by the State against other defendants. The consolidation is solely for purposes of coordinated pretrial proceedings and discovery, not for trial. In March 2018, the court signed an Agreed Order dismissing EPI and granting the State leave to file a first amended complaint. The first amended complaint names our subsidiary Generics International (US), Inc. (Generics) as the defendant. In April 2018, Generics moved to dismiss on various grounds.</w:t>
      </w:r>
    </w:p>
    <w:p>
      <w:pPr>
        <w:spacing w:after="0" w:line="74"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Since 2014, multiple U.S. states, counties, other governmental persons or entities and private plaintiffs have filed suit against our subsidiaries Endo Health Solutions Inc. (EHSI) and EPI, in some instances the Company and/or our subsidiaries Par Pharmaceutical, Inc. (PPI), Vintage Pharmaceuticals, LLC and/or Generics Bidco I, LLC, and/or various other manufacturers, distributors and/or others, asserting claims relating to defendants’ alleged sales, marketing and/or distribution practices with respect to prescription opioid medications, including certain of our products. As of May 1, 2018, the cases of which we were aware include, but are not limited to, approximately 10 cases filed by states; approximately 780 cases filed by counties, cities, Native American tribes and/or other government-related persons or entities; approximately 50 cases filed by hospitals, health systems, unions, health and welfare funds or other third-party payers; and approximately 20 cases filed by individuals.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7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Many of these cases have been coordinated in a federal MDL pending in the U.S. District Court for the Northern District of Ohio (MDL No. 2804). In March 2018, the U.S. Department of Justice (DOJ) filed a statement of interest in the case, and in April 2018 it filed a motion to participate in settlement discussions and as a friend of the court. In April 2018, the MDL Court issued a scheduling order permitting motions to dismiss addressing threshold legal issues in certain cases, setting a trial date of March 2019 for three cases originally filed in the Northern District of Ohio, and establishing certain other deadlines and procedures.</w:t>
      </w:r>
    </w:p>
    <w:p>
      <w:pPr>
        <w:spacing w:after="0" w:line="80"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Other cases remain pending in various state courts. In some jurisdictions, such as Connecticut, Illinois, New York and Pennsylvania, certain state court cases have been transferred to a single court within their respective state court systems for coordinated pretrial proceedings. Some state courts have allowed discovery to begin.</w:t>
      </w:r>
    </w:p>
    <w:p>
      <w:pPr>
        <w:spacing w:after="0" w:line="73"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The complaints in the cases assert a variety of claims including, but not limited to, claims for alleged violations of public nuisance, consumer protection, unfair trade practices, racketeering, Medicaid fraud and/or drug dealer liability statutes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an alleged failure to take adequate steps to prevent abuse and diversion. Plaintiffs generally seek declaratory and/or injunctive relief; compensatory, punitive and/or treble damages; restitution, disgorgement, civil penalties, abatement, attorneys’ fees, costs and/or other relief. Certain of the cases are brought as putative class actions.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September 2017, the Department of Justice for the State of Oregon and the Office of the Attorney General for the Commonwealth of Massachusetts issued CIDs to EHSI and EPI on behalf of a multistate group which we understand currently includes the District of Columbia and the following additional states: Arizona, California, Colorado, Connecticut, Florida, Georgia, Hawaii, Idaho, Illinois, Iowa, Kansas, Maine, Maryland, Michigan, Minnesota, Nebraska, Nevada, New York, North Carolina, North Dakota, Pennsylvania, Rhode Island, Tennessee, Texas, Utah, Vermont, Virginia, West Virginia, Wisconsin and Wyoming. Our subsidiaries are currently cooperating with this investigation. We understand that these CIDs superseded prior subpoenas and/or CIDs issued by certain of the foregoing states.</w:t>
      </w:r>
    </w:p>
    <w:p>
      <w:pPr>
        <w:spacing w:after="0" w:line="85"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Other states are conducting their own investigations outside of the multistate group. These states include New Hampshire (subpoenas received by EPI in August 2015 and December 2017); New Jersey (subpoena received by EPI in March 2017); Washington (CID received by the Company, EHSI and EPI in August 2017); Indiana (CID received by EHSI and EPI in November 2017); Montana (CID received by EHSI and EPI in January 2018); Alaska (CID received by EPI in February 2018); and South Carolina (CID received by EHSI and EPI in February 2018). We are cooperating with these investigations.</w:t>
      </w:r>
    </w:p>
    <w:p>
      <w:pPr>
        <w:spacing w:after="0" w:line="46" w:lineRule="exact"/>
        <w:rPr>
          <w:sz w:val="20"/>
          <w:szCs w:val="20"/>
          <w:color w:val="auto"/>
        </w:rPr>
      </w:pPr>
    </w:p>
    <w:p>
      <w:pPr>
        <w:ind w:right="240" w:firstLine="486"/>
        <w:spacing w:after="0" w:line="294" w:lineRule="auto"/>
        <w:rPr>
          <w:sz w:val="20"/>
          <w:szCs w:val="20"/>
          <w:color w:val="auto"/>
        </w:rPr>
      </w:pPr>
      <w:r>
        <w:rPr>
          <w:rFonts w:ascii="Arial" w:cs="Arial" w:eastAsia="Arial" w:hAnsi="Arial"/>
          <w:sz w:val="16"/>
          <w:szCs w:val="16"/>
          <w:color w:val="auto"/>
        </w:rPr>
        <w:t>In January 2018, our subsidiary EPI received a federal grand jury subpoena from the U.S. District Court for the Southern District of Florida in connection with an investigation being conducted by the U.S. Attorney’s Office for the Southern District of Florida in conjunction with the U.S. Food and Drug Administration. The subpoena seeks information related to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other oxymorphone products. EPI is cooperating with the investigation.</w:t>
      </w:r>
    </w:p>
    <w:p>
      <w:pPr>
        <w:ind w:right="80" w:firstLine="486"/>
        <w:spacing w:after="0" w:line="272" w:lineRule="auto"/>
        <w:rPr>
          <w:sz w:val="20"/>
          <w:szCs w:val="20"/>
          <w:color w:val="auto"/>
        </w:rPr>
      </w:pPr>
      <w:r>
        <w:rPr>
          <w:rFonts w:ascii="Arial" w:cs="Arial" w:eastAsia="Arial" w:hAnsi="Arial"/>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In December 2014, our subsidiary Par Pharmaceuticals received a grand jury subpoena from the Antitrust Division of the DOJ issued by the U.S. District Court for the Eastern District of Pennsylvania. The subpoena requested documents and information focused primarily on product and pricing information relating to Par’s authorized generic version of Lanoxin (digoxin) oral tablets and Par’s generic doxycycline products, and on communications with competitors and others regarding those products. Par is cooperating with the investigation.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December 2015, EPI received interrogatories and a subpoena from the Connecticut Attorney General’s Office requesting documents and information regarding pricing of certain of generic products, including doxycycline hyclate, amitriptyline hydrochloride, doxazosin mesylate, methotrexate sodium and oxybutynin chloride. EPI is cooperating with this investigation.</w:t>
      </w:r>
    </w:p>
    <w:p>
      <w:pPr>
        <w:spacing w:after="0" w:line="7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Since April 2017, certain private plaintiff cases alleging price-fixing and other anticompetitive conduct with respect to at least 18 different generic pharmaceutical products have been consolidated and/or coordinated for pretrial proceedings in a federal MDL pending in the U.S. District Court for the Eastern District of Pennsylvania under the caption </w:t>
      </w:r>
      <w:r>
        <w:rPr>
          <w:rFonts w:ascii="Arial" w:cs="Arial" w:eastAsia="Arial" w:hAnsi="Arial"/>
          <w:sz w:val="18"/>
          <w:szCs w:val="18"/>
          <w:i w:val="1"/>
          <w:iCs w:val="1"/>
          <w:color w:val="auto"/>
        </w:rPr>
        <w:t>In re Generic Pharmaceuticals Pricing Antitrust Litigation</w:t>
      </w:r>
      <w:r>
        <w:rPr>
          <w:rFonts w:ascii="Arial" w:cs="Arial" w:eastAsia="Arial" w:hAnsi="Arial"/>
          <w:sz w:val="18"/>
          <w:szCs w:val="18"/>
          <w:color w:val="auto"/>
        </w:rPr>
        <w:t xml:space="preserve"> (MDL No. 2724). The various cases included in the MDL involve different groups of defendants. Our subsidiary PPI is named as a defendant in proposed class actions relating to six of these products: digoxin, doxycycline hyclate, divalproex ER, propranolol, baclofen and amitriptyline hydrochloride. Among the private plaintiff lawsuits now consolidated and/or coordinated in the MDL, the earliest lawsuits naming the Company and/or its subsidiaries were filed in November 2016 and related to digoxin and doxycycline.</w:t>
      </w:r>
    </w:p>
    <w:p>
      <w:pPr>
        <w:spacing w:after="0" w:line="8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private plaintiffs in the MDL include alleged direct purchasers, end-payers, and indirect purchaser resellers, and they purport to represent not only themselves but also all others similarly situated. At the MDL court’s direction, in August 2017, private plaintiffs filed separate consolidated amended class action complaints as to each product and each type of purchaser (direct purchasers, end-payers and indirect purchaser resellers), except the propranolol direct purchaser plaintiffs are attempting to proceed on a consolidated amended complaint filed in the U.S. District Court for the Southern District of New York prior to MDL transfer (the Southern District of New York had denied a motion to dismiss this complaint). The MDL court has divided the various cases into three separate tranches for certain administrative and scheduling purposes, including briefing on motions to dismiss. As to the six products in the first tranche (which include digoxin, doxycycline hyclate and divalproex ER), defendants filed motions to dismiss in October 2017; those motions remain pending. Defendants have also asserted that they are entitled to move the MDL court to dismiss the propranolol direct purchaser consolidated amended complaint; the MDL court has taken this issue under advisement. Defendants moved to stay discovery in all cases pending rulings on their motions to dismiss; in February 2018, the court denied that motion with certain exceptions.</w:t>
      </w:r>
    </w:p>
    <w:p>
      <w:pPr>
        <w:spacing w:after="0" w:line="70"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December 2016, the Attorney General for the State of Connecticut, leading a coalition of 20 state attorneys general, filed a complaint in the U.S. District Court for the District of Connecticut alleging price-fixing and other anticompetitive conduct with respect to doxycycline hyclate delayed release and glyburide against certain manufacturers of those products. The Company and its subsidiaries were not named in that complaint, or in an amended complaint filed on behalf of 40 states in March 2017, or in a separate lawsuit filed by four more states and the District of Columbia in the same court in July 2017. In August 2017, the state cases were transferred to MDL No. 2724. In October 2017, the state plaintiffs filed a motion for leave to (1) consolidate their two cases, (2) add Alaska and the Commonwealth of Puerto Rico as plaintiffs and (3) assert additional claims against existing and new defendants. The proposed amended complaint would add new allegations and claims against 14 new defendants, including our subsidiary Par Pharmaceutical Companies, Inc. (subsequently renamed Endo Generics Holding, Inc. but referred to as Par in this Commitments and Contingencies note), relating to 13 additional products. As to our subsidiary, the proposed amended complaint alleges anticompetitive conduct with respect to doxycycline monohydrate. The proposed amended complaint also alleges that the defendants engaged in an overarching conspiracy to restrain trade across the generic pharmaceutical industry and seeks to hold all defendants, including our subsidiary, jointly and severally liable for harm caused by alleged anticompetitive activity concerning the 15 drugs at issue. The proposed amended complaint seeks declaratory and injunctive relief, disgorgement and other equitable relief, compensatory and treble damages, civil penalties, costs and attorneys’ fees. Defendants have opposed the states’ motion for leave to file their proposed consolidated amended complaint, and the court has not yet ruled on the issue.</w:t>
      </w:r>
    </w:p>
    <w:p>
      <w:pPr>
        <w:spacing w:after="0" w:line="77"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In January 2018, The Kroger Co., Albertsons Companies, LLC, and H.E. Butt Grocery Company LP filed a lawsuit in the U.S. District Court for the Eastern District of Pennsylvania against PPI, as well as numerous other manufacturers of generic pharmaceuticals, alleging anticompetitive conduct relating to thirty separate generic pharmaceutical products, including seven products allegedly manufactured by PPI: digoxin, doxycycline hyclate, doxycycline monohydrate, divalproex ER, propranolol, baclofen and amitriptyline hydrochloride. The complaint alleges an overarching conspiracy among all named defendants to engage in price-fixing for all thirty products, as well as product-specific conspiracies relating to each individual product, in violation of federal antitrust law. The complaint seeks monetary damages, including treble damages, attorneys’ fees and injunctive relief.</w:t>
      </w:r>
    </w:p>
    <w:p>
      <w:pPr>
        <w:spacing w:after="0" w:line="57"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Pricing Matters</w:t>
      </w:r>
    </w:p>
    <w:p>
      <w:pPr>
        <w:spacing w:after="0" w:line="117" w:lineRule="exact"/>
        <w:rPr>
          <w:sz w:val="20"/>
          <w:szCs w:val="20"/>
          <w:color w:val="auto"/>
        </w:rPr>
      </w:pPr>
    </w:p>
    <w:p>
      <w:pPr>
        <w:ind w:right="660" w:firstLine="486"/>
        <w:spacing w:after="0" w:line="303" w:lineRule="auto"/>
        <w:rPr>
          <w:sz w:val="20"/>
          <w:szCs w:val="20"/>
          <w:color w:val="auto"/>
        </w:rPr>
      </w:pPr>
      <w:r>
        <w:rPr>
          <w:rFonts w:ascii="Arial" w:cs="Arial" w:eastAsia="Arial" w:hAnsi="Arial"/>
          <w:sz w:val="17"/>
          <w:szCs w:val="17"/>
          <w:color w:val="auto"/>
        </w:rPr>
        <w:t>In March 2016, EPI received a CID from the U.S. Attorney’s Office for the Southern District of New York. The CID requested documents and information regarding contracts with pharmacy benefit managers regarding FROVA</w:t>
      </w:r>
      <w:r>
        <w:rPr>
          <w:rFonts w:ascii="Arial" w:cs="Arial" w:eastAsia="Arial" w:hAnsi="Arial"/>
          <w:sz w:val="24"/>
          <w:szCs w:val="24"/>
          <w:color w:val="auto"/>
          <w:vertAlign w:val="superscript"/>
        </w:rPr>
        <w:t>®</w:t>
      </w:r>
      <w:r>
        <w:rPr>
          <w:rFonts w:ascii="Arial" w:cs="Arial" w:eastAsia="Arial" w:hAnsi="Arial"/>
          <w:sz w:val="17"/>
          <w:szCs w:val="17"/>
          <w:color w:val="auto"/>
        </w:rPr>
        <w:t>. We are cooperating with this investigation.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losses that could be incurred.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Beginning in November 2013, multiple direct and indirect purchasers of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filed a number of cases against our subsidiary EPI and co-defendants Teikoku Seiyaku Co., Ltd. and Teikoku Pharma USA, Inc. (collectively, Teikoku), and Actavis plc and certain of its subsidiaries (collectively, Actavis), which was subsequently acquired by Teva Pharmaceuticals Industries Ltd and its subsidiaries from Allergan plc. Plaintiffs generally alleged that EPI, Teikoku and Actavis entered into an anticompetitive conspiracy to restrain trade through the settlement of patent infringement litigation concerning U.S. Patent No. 5,827,529 (the ‘529 patent) and other patents. Some complaints also alleged that Teikoku wrongfully listed the ‘529 patent in FDA’s Approved Drug Products with Therapeutic Equivalence Evaluations (Orange Book) as related to LIDODERM</w:t>
      </w:r>
      <w:r>
        <w:rPr>
          <w:rFonts w:ascii="Arial" w:cs="Arial" w:eastAsia="Arial" w:hAnsi="Arial"/>
          <w:sz w:val="22"/>
          <w:szCs w:val="22"/>
          <w:color w:val="auto"/>
          <w:vertAlign w:val="superscript"/>
        </w:rPr>
        <w:t>®</w:t>
      </w:r>
      <w:r>
        <w:rPr>
          <w:rFonts w:ascii="Arial" w:cs="Arial" w:eastAsia="Arial" w:hAnsi="Arial"/>
          <w:sz w:val="16"/>
          <w:szCs w:val="16"/>
          <w:color w:val="auto"/>
        </w:rPr>
        <w:t>, that EPI and Teikoku commenced sham patent litigation against Actavis and that EPI abused the FDA citizen petition process by filing a citizen petition and amendments solely to interfere with generic companies’ efforts to obtain FDA approval of their versions of LIDODERM</w:t>
      </w:r>
      <w:r>
        <w:rPr>
          <w:rFonts w:ascii="Arial" w:cs="Arial" w:eastAsia="Arial" w:hAnsi="Arial"/>
          <w:sz w:val="22"/>
          <w:szCs w:val="22"/>
          <w:color w:val="auto"/>
          <w:vertAlign w:val="superscript"/>
        </w:rPr>
        <w:t>®</w:t>
      </w:r>
      <w:r>
        <w:rPr>
          <w:rFonts w:ascii="Arial" w:cs="Arial" w:eastAsia="Arial" w:hAnsi="Arial"/>
          <w:sz w:val="16"/>
          <w:szCs w:val="16"/>
          <w:color w:val="auto"/>
        </w:rPr>
        <w:t>. The complaints asserted claims under Sections 1 and 2 of the Sherman Act (15 U.S.C. §§ 1, 2), and/or various state antitrust and consumer protection statutes, as well as common law claims, and generally sought damages, treble damages, disgorgement of profits, restitution, injunctive relief and attorneys’ fees. The cases were consolidated and/or coordinated in April 2014 in a federal MDL in the U.S. District Court for the Northern District of California (MDL No. 2521). The MDL court certified classes of direct and indirect purchasers in February 2017. In June 2017, defendants moved for summary judgment on all claims, and plaintiffs also moved for partial summary judgment on certain elements of their claims. In November 2017, the court granted defendants’ motion in part, ruling in defendants’ favor on the issues of infringement and derivation and also limiting the time period at issue. Defendants’ motions for summary judgment were denied in all other respects. The court also granted plaintiffs’ motions for summary judgment on the issues of agreement and relevant market. EPI settled with certain opt-out plaintiffs in October 2017. EPI reached an agreement in principle with the class plaintiffs in February 2018. In connection with the settlements, several indirect purchasers which previously had opted out were permitted to rejoin the class. The settlement agreements with the direct and indirect purchaser classes, which have received preliminary approval but remain subject to final approval by the court, provide that, subject to certain conditions, EPI will make aggregate payments of approximately $100 million, approximately $90 million of which are classified in the Current portion of the legal settlement accrual in the Condensed Consolidated Balance Sheets at March 31, 2018, with the remainder classified as Long-term legal settlement accrual, less current portion.</w:t>
      </w:r>
    </w:p>
    <w:p>
      <w:pPr>
        <w:spacing w:after="0" w:line="73" w:lineRule="exact"/>
        <w:rPr>
          <w:sz w:val="20"/>
          <w:szCs w:val="20"/>
          <w:color w:val="auto"/>
        </w:rPr>
      </w:pPr>
    </w:p>
    <w:p>
      <w:pPr>
        <w:ind w:right="20" w:firstLine="486"/>
        <w:spacing w:after="0" w:line="270" w:lineRule="auto"/>
        <w:rPr>
          <w:sz w:val="20"/>
          <w:szCs w:val="20"/>
          <w:color w:val="auto"/>
        </w:rPr>
      </w:pPr>
      <w:r>
        <w:rPr>
          <w:rFonts w:ascii="Arial" w:cs="Arial" w:eastAsia="Arial" w:hAnsi="Arial"/>
          <w:sz w:val="16"/>
          <w:szCs w:val="16"/>
          <w:color w:val="auto"/>
        </w:rPr>
        <w:t>Beginning in June 2014, multiple direct and indirect purchasers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filed cases against our subsidiaries EHSI and EPI and other pharmaceutical companies, including Impax Laboratories Inc. (Impax) and Penwest Pharmaceuticals Co., which our subsidiary EPI had acquired. Some cases were filed on behalf of putative classes of direct and indirect purchasers, while others were filed on behalf of individual retailers or health care benefit plans. All cases have been consolidated and/or coordinated for pretrial proceedings in a federal MDL pending in the U.S. District Court for the Northern District of Illinois (MDL No. 2580). Plaintiffs generally allege that an agreement reached by EPI and Impax to settle patent infringement litigation concerning multiple patents pertaining to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EPI’s introduction of reformulated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violated antitrust laws. The complaints assert claims under Sections 1 and 2 of the Sherman Act, various state antitrust and consumer protection statutes and/or state common law. Plaintiffs generally seek damages, treble damages, disgorgement of profits, restitution, injunctive relief and attorneys’ fees. In February 2016, the MDL court issued orders (i) denying defendants’ motion to dismiss the claims of the direct purchasers, (ii) denying in part and granting in part defendants’ motion to dismiss the claims of the indirect purchasers, but giving them permission to file amended complaints and (iii) granting defendants’ motion to dismiss the complaints filed by certain retailers, but giving them permission to file amended complaints. In response to the MDL court’s orders, the indirect purchasers filed an amended complaint to which the defendants filed a renewed motion to dismiss certain claims, and certain retailers also filed amended complaints. The court has dismissed the indirect purchaser unjust enrichment claims arising under the laws of the states of California, Rhode Island and Illinois. The cases are currently in discovery. We will continue to vigorously defend these matters and to explore other options as appropriate in our best interests.</w:t>
      </w:r>
    </w:p>
    <w:p>
      <w:pPr>
        <w:spacing w:after="0" w:line="80" w:lineRule="exact"/>
        <w:rPr>
          <w:sz w:val="20"/>
          <w:szCs w:val="20"/>
          <w:color w:val="auto"/>
        </w:rPr>
      </w:pPr>
    </w:p>
    <w:p>
      <w:pPr>
        <w:ind w:firstLine="486"/>
        <w:spacing w:after="0" w:line="276" w:lineRule="auto"/>
        <w:rPr>
          <w:sz w:val="20"/>
          <w:szCs w:val="20"/>
          <w:color w:val="auto"/>
        </w:rPr>
      </w:pPr>
      <w:r>
        <w:rPr>
          <w:rFonts w:ascii="Arial" w:cs="Arial" w:eastAsia="Arial" w:hAnsi="Arial"/>
          <w:sz w:val="16"/>
          <w:szCs w:val="16"/>
          <w:color w:val="auto"/>
        </w:rPr>
        <w:t>Beginning in February 2009, the FTC and certain private plaintiffs, including distributors and retailers, filed suit against our subsidiary Par and others alleging violations of antitrust law arising out of Par’s settlement of certain patent litigation concerning the generic version of AndroGel</w:t>
      </w:r>
      <w:r>
        <w:rPr>
          <w:rFonts w:ascii="Arial" w:cs="Arial" w:eastAsia="Arial" w:hAnsi="Arial"/>
          <w:sz w:val="22"/>
          <w:szCs w:val="22"/>
          <w:color w:val="auto"/>
          <w:vertAlign w:val="superscript"/>
        </w:rPr>
        <w:t>®</w:t>
      </w:r>
      <w:r>
        <w:rPr>
          <w:rFonts w:ascii="Arial" w:cs="Arial" w:eastAsia="Arial" w:hAnsi="Arial"/>
          <w:sz w:val="16"/>
          <w:szCs w:val="16"/>
          <w:color w:val="auto"/>
        </w:rPr>
        <w:t>. Generally, the complaints seek damages, treble damages, equitable relief, and attorneys’ fees and costs. The cases have been consolidated and/or coordinated for pretrial proceedings in a federal MDL pending in the U.S. District Court for the Northern District of Georgia (MDL No. 2084). In September 2012, the district court granted summary judgment to defendants on plaintiffs’ claims of sham litigation. In May 2016, plaintiffs representing a putative class of indirect purchasers voluntarily dismissed their case against Par with prejudice. In February 2017, the FTC voluntarily dismissed its claims against Par with prejudice. Claims by a putative class of direct purchasers and certain specific alleged direct purchasers or their assignees are still pending. Par has moved for summary judgment on all remaining claims, and the direct purchaser plaintiffs have moved for class certification. The court has not yet ruled on these motions. We will continue to vigorously defend these matters and to explore other options as appropriate in our best interests.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68" w:lineRule="auto"/>
        <w:rPr>
          <w:sz w:val="20"/>
          <w:szCs w:val="20"/>
          <w:color w:val="auto"/>
        </w:rPr>
      </w:pPr>
      <w:r>
        <w:rPr>
          <w:rFonts w:ascii="Arial" w:cs="Arial" w:eastAsia="Arial" w:hAnsi="Arial"/>
          <w:sz w:val="16"/>
          <w:szCs w:val="16"/>
          <w:color w:val="auto"/>
        </w:rPr>
        <w:t>Beginning in February 2018, several alleged indirect purchasers filed proposed class actions against our subsidiary PPI and others alleging a conspiracy to delay generic competition and monopolize the market for Zetia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(ezetimibe) and its generic equivalents. The complaints assert claims under Sections 1 and 2 of the Sherman Act, various state antitrust and consumer protection statutes and state common law and seek injunctive relief, damages, treble damages, attorneys’ fees and costs. We intend to vigorously defend these matters and to explore other options as appropriate in our best interests.</w:t>
      </w:r>
    </w:p>
    <w:p>
      <w:pPr>
        <w:spacing w:after="0" w:line="74" w:lineRule="exact"/>
        <w:rPr>
          <w:sz w:val="20"/>
          <w:szCs w:val="20"/>
          <w:color w:val="auto"/>
        </w:rPr>
      </w:pPr>
    </w:p>
    <w:p>
      <w:pPr>
        <w:ind w:right="20" w:firstLine="486"/>
        <w:spacing w:after="0" w:line="224" w:lineRule="auto"/>
        <w:rPr>
          <w:sz w:val="20"/>
          <w:szCs w:val="20"/>
          <w:color w:val="auto"/>
        </w:rPr>
      </w:pPr>
      <w:r>
        <w:rPr>
          <w:rFonts w:ascii="Arial" w:cs="Arial" w:eastAsia="Arial" w:hAnsi="Arial"/>
          <w:sz w:val="18"/>
          <w:szCs w:val="18"/>
          <w:color w:val="auto"/>
        </w:rPr>
        <w:t>In November 2014, EPI received a CID from Florida’s Office of the Attorney General seeking documents and other information concerning EPI’s agreement with Actavis settling the LIDODERM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patent litigation, as well as information concerning marketing and sales of LIDODERM</w:t>
      </w:r>
      <w:r>
        <w:rPr>
          <w:rFonts w:ascii="Arial" w:cs="Arial" w:eastAsia="Arial" w:hAnsi="Arial"/>
          <w:sz w:val="25"/>
          <w:szCs w:val="25"/>
          <w:color w:val="auto"/>
          <w:vertAlign w:val="superscript"/>
        </w:rPr>
        <w:t>®</w:t>
      </w:r>
      <w:r>
        <w:rPr>
          <w:rFonts w:ascii="Arial" w:cs="Arial" w:eastAsia="Arial" w:hAnsi="Arial"/>
          <w:sz w:val="18"/>
          <w:szCs w:val="18"/>
          <w:color w:val="auto"/>
        </w:rPr>
        <w:t>. EPI received similar CIDs from South Carolina’s Office of the Attorney General in February 2016 and from Alaska’s Office of the Attorney General in February 2015. The Alaska CID was also directed to EHSI and included requests for documents and information concerning agreements with Actavis and Impax settling the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patent litigation.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February 2015, Par and affiliates received a CID from the Office of the Attorney General for the State of Alaska seeking production of certain</w:t>
      </w:r>
    </w:p>
    <w:p>
      <w:pPr>
        <w:spacing w:after="0" w:line="15"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documents and information regarding Par’s settlement of the AndroGel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patent litigation as well as documents produced in the aforementioned litigation filed by the FTC.</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cooperating with each of the foregoing investigations.</w:t>
      </w:r>
    </w:p>
    <w:p>
      <w:pPr>
        <w:spacing w:after="0" w:line="117" w:lineRule="exact"/>
        <w:rPr>
          <w:sz w:val="20"/>
          <w:szCs w:val="20"/>
          <w:color w:val="auto"/>
        </w:rPr>
      </w:pPr>
    </w:p>
    <w:p>
      <w:pPr>
        <w:ind w:right="100" w:firstLine="486"/>
        <w:spacing w:after="0" w:line="232" w:lineRule="auto"/>
        <w:rPr>
          <w:sz w:val="20"/>
          <w:szCs w:val="20"/>
          <w:color w:val="auto"/>
        </w:rPr>
      </w:pPr>
      <w:r>
        <w:rPr>
          <w:rFonts w:ascii="Arial" w:cs="Arial" w:eastAsia="Arial" w:hAnsi="Arial"/>
          <w:sz w:val="18"/>
          <w:szCs w:val="18"/>
          <w:color w:val="auto"/>
        </w:rPr>
        <w:t>A fourth quarter 2017 increase to the Company’s legal reserves includes, among other things, an estimated loss for certain LIDODERM</w:t>
      </w:r>
      <w:r>
        <w:rPr>
          <w:rFonts w:ascii="Arial" w:cs="Arial" w:eastAsia="Arial" w:hAnsi="Arial"/>
          <w:sz w:val="25"/>
          <w:szCs w:val="25"/>
          <w:color w:val="auto"/>
          <w:vertAlign w:val="superscript"/>
        </w:rPr>
        <w:t>®</w:t>
      </w:r>
      <w:r>
        <w:rPr>
          <w:rFonts w:ascii="Arial" w:cs="Arial" w:eastAsia="Arial" w:hAnsi="Arial"/>
          <w:sz w:val="18"/>
          <w:szCs w:val="18"/>
          <w:color w:val="auto"/>
        </w:rPr>
        <w:t>-related claims. 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6"/>
          <w:szCs w:val="16"/>
          <w:color w:val="auto"/>
        </w:rPr>
        <w:t xml:space="preserve">In May 2016, a putative class action entitled </w:t>
      </w:r>
      <w:r>
        <w:rPr>
          <w:rFonts w:ascii="Arial" w:cs="Arial" w:eastAsia="Arial" w:hAnsi="Arial"/>
          <w:sz w:val="16"/>
          <w:szCs w:val="16"/>
          <w:i w:val="1"/>
          <w:iCs w:val="1"/>
          <w:color w:val="auto"/>
        </w:rPr>
        <w:t>Craig Friedman v. Endo International plc, Rajiv Kanishka Liyanaarchchie de Silva and Suketu 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Upadhyay </w:t>
      </w:r>
      <w:r>
        <w:rPr>
          <w:rFonts w:ascii="Arial" w:cs="Arial" w:eastAsia="Arial" w:hAnsi="Arial"/>
          <w:sz w:val="16"/>
          <w:szCs w:val="16"/>
          <w:color w:val="auto"/>
        </w:rPr>
        <w:t>was filed in the U.S. District Court for the Southern District of New York by an individual shareholder on behalf of himself and all similarly</w:t>
      </w:r>
      <w:r>
        <w:rPr>
          <w:rFonts w:ascii="Arial" w:cs="Arial" w:eastAsia="Arial" w:hAnsi="Arial"/>
          <w:sz w:val="16"/>
          <w:szCs w:val="16"/>
          <w:i w:val="1"/>
          <w:iCs w:val="1"/>
          <w:color w:val="auto"/>
        </w:rPr>
        <w:t xml:space="preserve"> </w:t>
      </w:r>
      <w:r>
        <w:rPr>
          <w:rFonts w:ascii="Arial" w:cs="Arial" w:eastAsia="Arial" w:hAnsi="Arial"/>
          <w:sz w:val="16"/>
          <w:szCs w:val="16"/>
          <w:color w:val="auto"/>
        </w:rPr>
        <w:t>situated shareholders. In August 2016, the court appointed Steamfitters’ Industry Pension Fund and Steamfitters’ Industry Security Benefit Fund as lead plaintiffs in the action. In October 2016, plaintiffs filed a second amended complaint that, among other things, added Paul Campanelli as a defendant, and we filed a motion to dismiss. In response, and without resolving the motion, the Court permitted lead plaintiffs to file a third amended complaint. The amended complaint alleged violations of Sections 10(b) and 20(a) of the Exchange Act based on the Company’s revision of its 2016 earnings guidance and certain disclosures about its generics business, the integration of Par and its subsidiaries, certain other alleged business issues and the receipt of a CID from the U.S. Attorney’s Office for the Southern District of New York regarding contracts with pharmacy benefit managers concerning FROVA</w:t>
      </w:r>
      <w:r>
        <w:rPr>
          <w:rFonts w:ascii="Arial" w:cs="Arial" w:eastAsia="Arial" w:hAnsi="Arial"/>
          <w:sz w:val="22"/>
          <w:szCs w:val="22"/>
          <w:color w:val="auto"/>
          <w:vertAlign w:val="superscript"/>
        </w:rPr>
        <w:t>®</w:t>
      </w:r>
      <w:r>
        <w:rPr>
          <w:rFonts w:ascii="Arial" w:cs="Arial" w:eastAsia="Arial" w:hAnsi="Arial"/>
          <w:sz w:val="16"/>
          <w:szCs w:val="16"/>
          <w:color w:val="auto"/>
        </w:rPr>
        <w:t>. Lead plaintiffs sought class certification, damages in an unspecified amount and attorneys’ fees and costs. We filed a motion to dismiss the third amended complaint in December 2016. In January 2018, the Court granted our motion and dismissed the case with prejudice. In February 2018, lead plaintiffs filed a motion for relief from the judgment and leave to file a fourth amended complaint; the court denied this motion in April 2018. The time for appeal has not yet run.</w:t>
      </w:r>
    </w:p>
    <w:p>
      <w:pPr>
        <w:spacing w:after="0" w:line="6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 xml:space="preserve">In February 2017, a putative class action entitled </w:t>
      </w:r>
      <w:r>
        <w:rPr>
          <w:rFonts w:ascii="Arial" w:cs="Arial" w:eastAsia="Arial" w:hAnsi="Arial"/>
          <w:sz w:val="16"/>
          <w:szCs w:val="16"/>
          <w:i w:val="1"/>
          <w:iCs w:val="1"/>
          <w:color w:val="auto"/>
        </w:rPr>
        <w:t>Public Employees’ Retirement System of Mississippi v. Endo International plc</w:t>
      </w:r>
      <w:r>
        <w:rPr>
          <w:rFonts w:ascii="Arial" w:cs="Arial" w:eastAsia="Arial" w:hAnsi="Arial"/>
          <w:sz w:val="16"/>
          <w:szCs w:val="16"/>
          <w:color w:val="auto"/>
        </w:rPr>
        <w:t xml:space="preserve"> was filed in the Court of Common Pleas of Chester County, Pennsylvania by an institutional purchaser of shares in our June 2, 2015 public offering, on behalf of itself and all similarly situated purchasers. The lawsuit alleges violations of Sections 11, 12(a)(2) and 15 of the Securities Act of 1933 against Endo, certain of its current and former directors and officers, and the underwriters who participated in the offering, based on certain disclosures about Endo’s generics business. In March 2017, defendants removed the case to the U.S. District Court for the Eastern District of Pennsylvania. In August 2017, the court remanded the case back to the Chester County Court of Common Pleas. In October 2017, plaintiff filed an amended complaint. In December 2017, defendants filed preliminary objections to the amended complaint. The court denied those preliminary objections in April 2018. The case is currently in discovery.</w:t>
      </w:r>
    </w:p>
    <w:p>
      <w:pPr>
        <w:spacing w:after="0" w:line="5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 xml:space="preserve">In April 2017, a putative class action entitled </w:t>
      </w:r>
      <w:r>
        <w:rPr>
          <w:rFonts w:ascii="Arial" w:cs="Arial" w:eastAsia="Arial" w:hAnsi="Arial"/>
          <w:sz w:val="18"/>
          <w:szCs w:val="18"/>
          <w:i w:val="1"/>
          <w:iCs w:val="1"/>
          <w:color w:val="auto"/>
        </w:rPr>
        <w:t>Phaedra A. Makris v. Endo International plc, Rajiv Kanishka Liyanaarchchie de Silva and Suketu 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Upadhyay </w:t>
      </w:r>
      <w:r>
        <w:rPr>
          <w:rFonts w:ascii="Arial" w:cs="Arial" w:eastAsia="Arial" w:hAnsi="Arial"/>
          <w:sz w:val="18"/>
          <w:szCs w:val="18"/>
          <w:color w:val="auto"/>
        </w:rPr>
        <w:t>was filed in the Superior Court of Justice in Ontario, Canada by an individual shareholder on behalf of herself and similarly-situated Canadian-based investors who purchased Endo’s securities between January 11 and May 5, 2016. The statement of claim generally seeks class certification, declaratory relief, damages, interest and costs based on alleged violations of the Ontario Securities Act. The statement of claim alleges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54" w:lineRule="auto"/>
        <w:rPr>
          <w:sz w:val="20"/>
          <w:szCs w:val="20"/>
          <w:color w:val="auto"/>
        </w:rPr>
      </w:pPr>
      <w:r>
        <w:rPr>
          <w:rFonts w:ascii="Arial" w:cs="Arial" w:eastAsia="Arial" w:hAnsi="Arial"/>
          <w:sz w:val="17"/>
          <w:szCs w:val="17"/>
          <w:color w:val="auto"/>
        </w:rPr>
        <w:t xml:space="preserve">In August 2017, a putative class action entitled </w:t>
      </w:r>
      <w:r>
        <w:rPr>
          <w:rFonts w:ascii="Arial" w:cs="Arial" w:eastAsia="Arial" w:hAnsi="Arial"/>
          <w:sz w:val="17"/>
          <w:szCs w:val="17"/>
          <w:i w:val="1"/>
          <w:iCs w:val="1"/>
          <w:color w:val="auto"/>
        </w:rPr>
        <w:t>Bier v. Endo International plc, et al.</w:t>
      </w:r>
      <w:r>
        <w:rPr>
          <w:rFonts w:ascii="Arial" w:cs="Arial" w:eastAsia="Arial" w:hAnsi="Arial"/>
          <w:sz w:val="17"/>
          <w:szCs w:val="17"/>
          <w:color w:val="auto"/>
        </w:rPr>
        <w:t xml:space="preserve"> was filed in the U.S. District Court for the Eastern District of Pennsylvania by an individual shareholder on behalf of himself and all similarly situated shareholders. The original complaint alleged violations of Section 10(b) and 20(a) of the Exchange Act against Endo and four current and former directors and officers, based on the Company’s decision to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In December 2017, SEB Investment Management AB was appointed lead plaintiff in the action. In February 2018, the lead plaintiff filed an amended complaint, which added claims alleging violations of Sections 11 and 15 of the Securities Act in connection with the June 2015 offering. The amended complaint named the Company, EHSI and twenty current and former directors, officers and employees of Endo as defendants. In April 2018, the defendants moved to dismiss the amended complaint.</w:t>
      </w:r>
    </w:p>
    <w:p>
      <w:pPr>
        <w:spacing w:after="0" w:line="8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 xml:space="preserve">In November 2017, a putative class action entitled </w:t>
      </w:r>
      <w:r>
        <w:rPr>
          <w:rFonts w:ascii="Arial" w:cs="Arial" w:eastAsia="Arial" w:hAnsi="Arial"/>
          <w:sz w:val="18"/>
          <w:szCs w:val="18"/>
          <w:i w:val="1"/>
          <w:iCs w:val="1"/>
          <w:color w:val="auto"/>
        </w:rPr>
        <w:t>Pelletier v. Endo International plc, Rajiv Kanishka Liyanaarchchie De Silva, Suketu P. Upadhyay,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Paul V. Campanelli </w:t>
      </w:r>
      <w:r>
        <w:rPr>
          <w:rFonts w:ascii="Arial" w:cs="Arial" w:eastAsia="Arial" w:hAnsi="Arial"/>
          <w:sz w:val="18"/>
          <w:szCs w:val="18"/>
          <w:color w:val="auto"/>
        </w:rPr>
        <w:t>was filed in the U.S. District Court for the Eastern District of Pennsylvania by an individual shareholder on behalf of himself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similarly situated shareholders. The lawsuit alleges violations of Section 10(b) and 20(a) of the Exchange Act in connection with the allegations of anticompetitive conduct asserted in </w:t>
      </w:r>
      <w:r>
        <w:rPr>
          <w:rFonts w:ascii="Arial" w:cs="Arial" w:eastAsia="Arial" w:hAnsi="Arial"/>
          <w:sz w:val="18"/>
          <w:szCs w:val="18"/>
          <w:i w:val="1"/>
          <w:iCs w:val="1"/>
          <w:color w:val="auto"/>
        </w:rPr>
        <w:t>In re Generic Pharmaceuticals Pricing Antitrust Litigation</w:t>
      </w:r>
      <w:r>
        <w:rPr>
          <w:rFonts w:ascii="Arial" w:cs="Arial" w:eastAsia="Arial" w:hAnsi="Arial"/>
          <w:sz w:val="18"/>
          <w:szCs w:val="18"/>
          <w:color w:val="auto"/>
        </w:rPr>
        <w:t xml:space="preserve">, MDL No. 2724. In January 2018, the Chief Judge of the Eastern District of Pennsylvania designated </w:t>
      </w:r>
      <w:r>
        <w:rPr>
          <w:rFonts w:ascii="Arial" w:cs="Arial" w:eastAsia="Arial" w:hAnsi="Arial"/>
          <w:sz w:val="18"/>
          <w:szCs w:val="18"/>
          <w:i w:val="1"/>
          <w:iCs w:val="1"/>
          <w:color w:val="auto"/>
        </w:rPr>
        <w:t>Pelletier</w:t>
      </w:r>
      <w:r>
        <w:rPr>
          <w:rFonts w:ascii="Arial" w:cs="Arial" w:eastAsia="Arial" w:hAnsi="Arial"/>
          <w:sz w:val="18"/>
          <w:szCs w:val="18"/>
          <w:color w:val="auto"/>
        </w:rPr>
        <w:t xml:space="preserve"> as related to </w:t>
      </w:r>
      <w:r>
        <w:rPr>
          <w:rFonts w:ascii="Arial" w:cs="Arial" w:eastAsia="Arial" w:hAnsi="Arial"/>
          <w:sz w:val="18"/>
          <w:szCs w:val="18"/>
          <w:i w:val="1"/>
          <w:iCs w:val="1"/>
          <w:color w:val="auto"/>
        </w:rPr>
        <w:t>Bier</w:t>
      </w:r>
      <w:r>
        <w:rPr>
          <w:rFonts w:ascii="Arial" w:cs="Arial" w:eastAsia="Arial" w:hAnsi="Arial"/>
          <w:sz w:val="18"/>
          <w:szCs w:val="18"/>
          <w:color w:val="auto"/>
        </w:rPr>
        <w:t xml:space="preserve"> and reassigned </w:t>
      </w:r>
      <w:r>
        <w:rPr>
          <w:rFonts w:ascii="Arial" w:cs="Arial" w:eastAsia="Arial" w:hAnsi="Arial"/>
          <w:sz w:val="18"/>
          <w:szCs w:val="18"/>
          <w:i w:val="1"/>
          <w:iCs w:val="1"/>
          <w:color w:val="auto"/>
        </w:rPr>
        <w:t>Pelletier</w:t>
      </w:r>
      <w:r>
        <w:rPr>
          <w:rFonts w:ascii="Arial" w:cs="Arial" w:eastAsia="Arial" w:hAnsi="Arial"/>
          <w:sz w:val="18"/>
          <w:szCs w:val="18"/>
          <w:color w:val="auto"/>
        </w:rPr>
        <w:t xml:space="preserve"> to the judge overseeing </w:t>
      </w:r>
      <w:r>
        <w:rPr>
          <w:rFonts w:ascii="Arial" w:cs="Arial" w:eastAsia="Arial" w:hAnsi="Arial"/>
          <w:sz w:val="18"/>
          <w:szCs w:val="18"/>
          <w:i w:val="1"/>
          <w:iCs w:val="1"/>
          <w:color w:val="auto"/>
        </w:rPr>
        <w:t>Bier</w:t>
      </w:r>
      <w:r>
        <w:rPr>
          <w:rFonts w:ascii="Arial" w:cs="Arial" w:eastAsia="Arial" w:hAnsi="Arial"/>
          <w:sz w:val="18"/>
          <w:szCs w:val="18"/>
          <w:color w:val="auto"/>
        </w:rPr>
        <w:t>. A lead plaintiff has not yet been selected.</w:t>
      </w:r>
    </w:p>
    <w:p>
      <w:pPr>
        <w:spacing w:after="0" w:line="8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Related Matters</w:t>
      </w:r>
    </w:p>
    <w:p>
      <w:pPr>
        <w:spacing w:after="0" w:line="41" w:lineRule="exact"/>
        <w:rPr>
          <w:sz w:val="20"/>
          <w:szCs w:val="20"/>
          <w:color w:val="auto"/>
        </w:rPr>
      </w:pPr>
    </w:p>
    <w:p>
      <w:pPr>
        <w:ind w:right="20" w:firstLine="486"/>
        <w:spacing w:after="0" w:line="273" w:lineRule="auto"/>
        <w:rPr>
          <w:sz w:val="20"/>
          <w:szCs w:val="20"/>
          <w:color w:val="auto"/>
        </w:rPr>
      </w:pPr>
      <w:r>
        <w:rPr>
          <w:rFonts w:ascii="Arial" w:cs="Arial" w:eastAsia="Arial" w:hAnsi="Arial"/>
          <w:sz w:val="16"/>
          <w:szCs w:val="16"/>
          <w:color w:val="auto"/>
        </w:rPr>
        <w:t>In July 2016, Fresenius Kabi USA, LLC (Fresenius) filed a complaint against Par and its affiliate Par Sterile Products, LLC in the U.S. District Court for the District of New Jersey alleging that Par and its affiliate engaged in an anticompetitive scheme to exclude competition from the market for vasopressin solution for intravenous injection in view of Par’s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(vasopressin) product. The complaint alleges violations of Sections 1 and 2 of the Sherman Antitrust Act, as well as state antitrust and common law, based on assertions that Par and its affiliate entered into exclusive supply agreements with one or more active pharmaceutical ingredient (API) manufacturers and that, as a result, Fresenius has been unable to obtain vasopressin API in order to file an ANDA to obtain FDA approval for its own vasopressin product. Fresenius seeks actual, treble and punitive damages, attorneys’ fees and costs, and injunctive relief. In September 2016, Par and its affiliate filed a motion to dismiss, which the district court denied in February 2017. The case is currently in discovery.</w:t>
      </w:r>
    </w:p>
    <w:p>
      <w:pPr>
        <w:spacing w:after="0" w:line="73" w:lineRule="exact"/>
        <w:rPr>
          <w:sz w:val="20"/>
          <w:szCs w:val="20"/>
          <w:color w:val="auto"/>
        </w:rPr>
      </w:pPr>
    </w:p>
    <w:p>
      <w:pPr>
        <w:ind w:firstLine="486"/>
        <w:spacing w:after="0" w:line="273" w:lineRule="auto"/>
        <w:rPr>
          <w:sz w:val="20"/>
          <w:szCs w:val="20"/>
          <w:color w:val="auto"/>
        </w:rPr>
      </w:pPr>
      <w:r>
        <w:rPr>
          <w:rFonts w:ascii="Arial" w:cs="Arial" w:eastAsia="Arial" w:hAnsi="Arial"/>
          <w:sz w:val="16"/>
          <w:szCs w:val="16"/>
          <w:color w:val="auto"/>
        </w:rPr>
        <w:t>In August 2017, our subsidiaries PPI and Par Sterile Products, LLC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2"/>
          <w:szCs w:val="22"/>
          <w:color w:val="auto"/>
          <w:vertAlign w:val="superscript"/>
        </w:rPr>
        <w:t>®</w:t>
      </w:r>
      <w:r>
        <w:rPr>
          <w:rFonts w:ascii="Arial" w:cs="Arial" w:eastAsia="Arial" w:hAnsi="Arial"/>
          <w:sz w:val="16"/>
          <w:szCs w:val="16"/>
          <w:color w:val="auto"/>
        </w:rPr>
        <w:t>, a vasopressin-based cardiopulmonary drug. In October 2017, defendants answered the complaint and QuVa asserted counterclaims against PPI and Par Sterile Products, LLC alleging unfair competition under New Jersey common law and seeking declaratory judgment of non-infringement as to five U.S. Patents assigned to PPI that are listed in FDA’s Orange Book for VASOSTRICT</w:t>
      </w:r>
      <w:r>
        <w:rPr>
          <w:rFonts w:ascii="Arial" w:cs="Arial" w:eastAsia="Arial" w:hAnsi="Arial"/>
          <w:sz w:val="22"/>
          <w:szCs w:val="22"/>
          <w:color w:val="auto"/>
          <w:vertAlign w:val="superscript"/>
        </w:rPr>
        <w:t>®</w:t>
      </w:r>
      <w:r>
        <w:rPr>
          <w:rFonts w:ascii="Arial" w:cs="Arial" w:eastAsia="Arial" w:hAnsi="Arial"/>
          <w:sz w:val="16"/>
          <w:szCs w:val="16"/>
          <w:color w:val="auto"/>
        </w:rPr>
        <w:t>. The counterclaims seek actual, exemplary, and punitive damages, injunctive relief and other relief. We filed a motion to dismiss the unfair competition counterclaim in November 2017. Briefing on that motion has been completed but no ruling has been issued. Also in November 2017, we filed a motion for preliminary injunction seeking various forms of relief. Briefing on that motion has been completed and a hearing on that motion was held in February 2018. In January 2018, we filed a first amended complaint adding five former employees of Par Sterile Products, LLC as defendants and numerous causes of action against some or all of those former employees, including misappropriation under the federal Defend Trade Secrets Act, New Jersey’s Trade Secrets Act and New Jersey common law, as well as breach of contract, breach of the duty of loyalty and breach of the duty of confidence. In March 2018, the court granted in part our motion for preliminary injunction and enjoined QuVa from marketing and releasing its planned vasopressin product through the conclusion of trial. Also in March 2018, QuVa and seven of the individual defendants filed a motion to dismiss the New Jersey common law claims, four of the individual defendants filed a motion to dismiss for lack of personal jurisdiction and one of the individuals filed a motion to dismiss the breach of contract claim. In April 2018, another individual defendant filed a motion to dismiss asserting numerous arguments, including lack of personal jurisdiction, improper venue and choice of law. These motions are still pending. Full discovery began in May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 xml:space="preserve">In October 2017, Endo Par Innovation Company, LLC (EPIC) and Par Sterile Products, LLC (PSP) filed a complaint in the United States District Court for the District of Columbia challenging the legality of the FDA’s </w:t>
      </w:r>
      <w:r>
        <w:rPr>
          <w:rFonts w:ascii="Arial" w:cs="Arial" w:eastAsia="Arial" w:hAnsi="Arial"/>
          <w:sz w:val="16"/>
          <w:szCs w:val="16"/>
          <w:i w:val="1"/>
          <w:iCs w:val="1"/>
          <w:color w:val="auto"/>
        </w:rPr>
        <w:t>Interim Policy on Compounding Using Bulk Drug Substances Under Section 503B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Federal Food, Drug, and Cosmetic Act </w:t>
      </w:r>
      <w:r>
        <w:rPr>
          <w:rFonts w:ascii="Arial" w:cs="Arial" w:eastAsia="Arial" w:hAnsi="Arial"/>
          <w:sz w:val="16"/>
          <w:szCs w:val="16"/>
          <w:color w:val="auto"/>
        </w:rPr>
        <w:t>(January 2017) with respect to the listing of vasopressin in Category 1 of the</w:t>
      </w:r>
      <w:r>
        <w:rPr>
          <w:rFonts w:ascii="Arial" w:cs="Arial" w:eastAsia="Arial" w:hAnsi="Arial"/>
          <w:sz w:val="16"/>
          <w:szCs w:val="16"/>
          <w:i w:val="1"/>
          <w:iCs w:val="1"/>
          <w:color w:val="auto"/>
        </w:rPr>
        <w:t xml:space="preserve"> Interim Policy</w:t>
      </w:r>
      <w:r>
        <w:rPr>
          <w:rFonts w:ascii="Arial" w:cs="Arial" w:eastAsia="Arial" w:hAnsi="Arial"/>
          <w:sz w:val="16"/>
          <w:szCs w:val="16"/>
          <w:color w:val="auto"/>
        </w:rPr>
        <w:t>. The complaint contends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is unlawful because it is inconsistent with the Federal, Food, Drug, and Cosmetic Act, including, but not limited to, Section 503B of that Act. The complaint seeks (i) a declaration that FDA’s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its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are unlawful, and</w:t>
      </w:r>
    </w:p>
    <w:p>
      <w:pPr>
        <w:spacing w:after="0" w:line="2" w:lineRule="exact"/>
        <w:rPr>
          <w:sz w:val="20"/>
          <w:szCs w:val="20"/>
          <w:color w:val="auto"/>
        </w:rPr>
      </w:pPr>
    </w:p>
    <w:p>
      <w:pPr>
        <w:ind w:right="60" w:firstLine="8"/>
        <w:spacing w:after="0" w:line="253"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 order enjoining and vacating the </w:t>
      </w:r>
      <w:r>
        <w:rPr>
          <w:rFonts w:ascii="Arial" w:cs="Arial" w:eastAsia="Arial" w:hAnsi="Arial"/>
          <w:sz w:val="18"/>
          <w:szCs w:val="18"/>
          <w:i w:val="1"/>
          <w:iCs w:val="1"/>
          <w:color w:val="auto"/>
        </w:rPr>
        <w:t>Interim Policy</w:t>
      </w:r>
      <w:r>
        <w:rPr>
          <w:rFonts w:ascii="Arial" w:cs="Arial" w:eastAsia="Arial" w:hAnsi="Arial"/>
          <w:sz w:val="18"/>
          <w:szCs w:val="18"/>
          <w:color w:val="auto"/>
        </w:rPr>
        <w:t xml:space="preserve"> and FDA’s listing of vasopressin in Category 1 of the </w:t>
      </w:r>
      <w:r>
        <w:rPr>
          <w:rFonts w:ascii="Arial" w:cs="Arial" w:eastAsia="Arial" w:hAnsi="Arial"/>
          <w:sz w:val="18"/>
          <w:szCs w:val="18"/>
          <w:i w:val="1"/>
          <w:iCs w:val="1"/>
          <w:color w:val="auto"/>
        </w:rPr>
        <w:t>Interim Policy</w:t>
      </w:r>
      <w:r>
        <w:rPr>
          <w:rFonts w:ascii="Arial" w:cs="Arial" w:eastAsia="Arial" w:hAnsi="Arial"/>
          <w:sz w:val="18"/>
          <w:szCs w:val="18"/>
          <w:color w:val="auto"/>
        </w:rPr>
        <w:t>. In January 2018, EPIC and PSP agreed to a temporary 60-day stay of the litigation in light of the FDA’s announcement that forthcoming guidance will address the concerns set forth in the Company’s complaint. In March 2018, the FDA released new draft guidance for industry entitled “Evaluation of Bulk Drug Substances Nominated for Use in Compounding Under Section 503B of the Federal Food, Drug, and Cosmetic Act.” Shortly thereafter, the parties agreed to extend the temporary stay for an additional 180 days.</w:t>
      </w:r>
    </w:p>
    <w:p>
      <w:pPr>
        <w:spacing w:after="0" w:line="83" w:lineRule="exact"/>
        <w:rPr>
          <w:sz w:val="20"/>
          <w:szCs w:val="20"/>
          <w:color w:val="auto"/>
        </w:rPr>
      </w:pPr>
    </w:p>
    <w:p>
      <w:pPr>
        <w:jc w:val="both"/>
        <w:ind w:right="540" w:firstLine="486"/>
        <w:spacing w:after="0" w:line="259"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Paragraph IV Certifications on OPANA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ER</w:t>
      </w:r>
    </w:p>
    <w:p>
      <w:pPr>
        <w:spacing w:after="0" w:line="41" w:lineRule="exact"/>
        <w:rPr>
          <w:sz w:val="20"/>
          <w:szCs w:val="20"/>
          <w:color w:val="auto"/>
        </w:rPr>
      </w:pPr>
    </w:p>
    <w:p>
      <w:pPr>
        <w:ind w:right="40" w:firstLine="486"/>
        <w:spacing w:after="0" w:line="245" w:lineRule="auto"/>
        <w:rPr>
          <w:sz w:val="20"/>
          <w:szCs w:val="20"/>
          <w:color w:val="auto"/>
        </w:rPr>
      </w:pPr>
      <w:r>
        <w:rPr>
          <w:rFonts w:ascii="Arial" w:cs="Arial" w:eastAsia="Arial" w:hAnsi="Arial"/>
          <w:sz w:val="16"/>
          <w:szCs w:val="16"/>
          <w:color w:val="auto"/>
        </w:rPr>
        <w:t>In late 2012, two patents (U.S. Patent Nos. 8,309,122 and 8,329,216) were issued to EPI covering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(oxymorphone hydrochloride extended-release tablets CII). In December 2012, EPI filed a complaint against Actavis in U.S. District Court for the Southern District of New York for patent infringement based on its ANDA for a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version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 May 2013 and June 2013, EPI filed similar suits in the U.S. District Court for the Southern District of New York against the following applicants for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Roxane Laboratories, Inc. (Roxane) and Ranbaxy Laboratories Limited, which was acquired by Sun Pharmaceutical Industries Ltd. (Ranbaxy). Those suits allege infringement of U.S. Patent Nos. 7,851,482, 8,309,122 and 8,329,216. In July 2013, Actavis and Roxane were granted FDA approval to market all strengths of their respective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formulations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 September 2013, Actavis launched its generic version of non-crush-resistant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5, 10, 20, 30 and 40 mg tablets. A trial in this case was held from March 2015 through April 2015 in the U.S. District Court for the Southern District of New York. In August 2015, the District Court ruled that all defendants infringed the claims of U.S. Patent Nos. 8,309,122 and 8,329,216. The District Court also ruled that the defendants failed to show that U.S. Patent Nos. 8,309,122 and 8,329,216 were invalid, enjoined the defendants from launching their generic products until the expiration of those patents and directed Actavis to withdraw its generic product within 60 days. In October 2015, the District Court tolled the 60-day period until it decided two pending post-trial motions. In April 2016, the District Court issued an order upholding its August 2015 ruling in EPI’s favor and confirming the prior injunction against the manufacture or sale of the generic version of the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currently offered by Actavis and the additional approved but not yet marketed generic version of the product developed by Roxane. The defendants filed appeals to the Court of Appeals for the Federal Circuit. EPI continued its suit for damages for Actavis’s sales of its infringing generic version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 August 2017, EPI settled the damages portion of this suit with Actavis. As a result of that settlement, EPI received $25 million from Actavis in August 2017. We intend to continue vigorously asserting our intellectual property rights and to oppose any such appeal.</w:t>
      </w:r>
    </w:p>
    <w:p>
      <w:pPr>
        <w:spacing w:after="0" w:line="91" w:lineRule="exact"/>
        <w:rPr>
          <w:sz w:val="20"/>
          <w:szCs w:val="20"/>
          <w:color w:val="auto"/>
        </w:rPr>
      </w:pPr>
    </w:p>
    <w:p>
      <w:pPr>
        <w:ind w:right="20" w:firstLine="486"/>
        <w:spacing w:after="0" w:line="260" w:lineRule="auto"/>
        <w:rPr>
          <w:sz w:val="20"/>
          <w:szCs w:val="20"/>
          <w:color w:val="auto"/>
        </w:rPr>
      </w:pPr>
      <w:r>
        <w:rPr>
          <w:rFonts w:ascii="Arial" w:cs="Arial" w:eastAsia="Arial" w:hAnsi="Arial"/>
          <w:sz w:val="16"/>
          <w:szCs w:val="16"/>
          <w:color w:val="auto"/>
        </w:rPr>
        <w:t>From September 21, 2012 through October 30, 2013, EPI and its partner Grünenthal received Paragraph IV Notices from each of Teva Pharmaceuticals USA, Inc., Amneal Pharmaceuticals, LLC (Amneal), ThoRx Laboratories, Inc. (ThoRx), Actavis, Impax and Ranbaxy (now Sun Pharmaceutical Industries Ltd.), advising of the filing by each such company of an ANDA for a generic version of the formulation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with 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These Paragraph IV Notices refer to U.S. Patent Nos. 7,851,482, 8,075,872, 8,114,383, 8,192,722, 8,309,060, 8,309,122 and 8,329,216, which variously cover the formulation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 highly pure version of the active pharmaceutical ingredient and the release profile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EPI filed lawsuits against each of these filers in the U.S. District Court for the Southern District of New York. Each lawsuit was filed within the 45-day deadline to invoke a 30-month stay of FDA approval pursuant to the Hatch-Waxman legislative scheme. A trial in this case was held from March 2015 through April 2015 in the U.S. District Court for the Southern District of New York against the remaining filers. In August 2015, the District Court issued an Opinion holding that all defendants infringed the claims of U.S. Patent Nos. 8,309,060, 8,309,122 and 8,329,216. The Opinion also held that the defendants had shown that U.S. Patent No. 8,309,060 was invalid, but that the defendants had failed to show that U.S. Patent Nos. 8,309,122 and 8,329,216 were invalid. The District Court also issued an Order enjoining the defendants from launching their generic products until the expiration of U.S. Patent Nos. 8,309,122 and 8,329,216. The defendants filed appeals to the Court of Appeals for the Federal Circuit. An argument was held at the Federal Circuit on this appeal in December 2017. No opinion has yet been issued. We intend to continue to vigorously assert our intellectual property and oppose appeals by the defendants. However, there can be no assurance that we and/or Grünenthal will be successful. If we are unsuccessful and Teva, Amneal, ThoRx, Actavis or Impax is able to obtain FDA approval of its product, generic versions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may be launched prior to the applicable patents’ expirations in 2023. Additionally, we cannot predict or determine the timing or outcome of this defense but will explore all options as appropriate in our best interests.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62" w:lineRule="auto"/>
        <w:rPr>
          <w:sz w:val="20"/>
          <w:szCs w:val="20"/>
          <w:color w:val="auto"/>
        </w:rPr>
      </w:pPr>
      <w:r>
        <w:rPr>
          <w:rFonts w:ascii="Arial" w:cs="Arial" w:eastAsia="Arial" w:hAnsi="Arial"/>
          <w:sz w:val="16"/>
          <w:szCs w:val="16"/>
          <w:color w:val="auto"/>
        </w:rPr>
        <w:t>In August 2014 and October 2014, the U.S. Patent Office issued U.S. Patent Nos. 8,808,737 and 8,871,779 respectively, which cover a method of using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a highly pure version of the active pharmaceutical ingredient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 November 2014, EPI filed lawsuits against Teva, ThoRx, Actavis, Impax, Ranbaxy, Roxane, Amneal and Sandoz Inc. based on their ANDAs filed against both the 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versions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Those lawsuits were filed in the U.S. District Court for the District of Delaware alleging infringement of these new patents, which expire in 2027 and 2029, respectively. On November 17, 2015, the District Court held the ‘737 patent invalid for claiming unpatentable subject matter. That patent has been dismissed from all suits and the suits administratively closed as to that patent, subject to appeal at the end of the case on the ‘779 patent. In July 2016, a three-day trial was held in the U.S. District Court for the District of Delaware against Teva and Amneal for infringement of the ‘779 patent. In October 2016, the District Court issued an Opinion holding that the defendants infringed the claims of U.S. Patent No. 8,871,779. The Opinion also held that the defendants had failed to show that U.S. Patent No. 8,871,779 was invalid. The District Court issued an Order enjoining the defendants from launching their generic products until the expiration of U.S. Patent No. 8,871,779 in November 2029. A trial for infringement of the ‘799 patent by Actavis was held in February 2017 in the same court (U.S. District Court for the District of Delaware) in front of the same judge. In August 2017, the District Court issued an Opinion holding that Actavis infringed the claims of U.S. Patent No. 8,871,779, and that Actavis had failed to show that U.S. Patent No. 8,871,779 was invalid. Teva, Amneal and Actavis have appealed these holdings. We have appealed the holding that the ‘737 patent is invalid.</w:t>
      </w:r>
    </w:p>
    <w:p>
      <w:pPr>
        <w:spacing w:after="0" w:line="80" w:lineRule="exact"/>
        <w:rPr>
          <w:sz w:val="20"/>
          <w:szCs w:val="20"/>
          <w:color w:val="auto"/>
        </w:rPr>
      </w:pPr>
    </w:p>
    <w:p>
      <w:pPr>
        <w:ind w:right="400" w:firstLine="486"/>
        <w:spacing w:after="0" w:line="241" w:lineRule="auto"/>
        <w:rPr>
          <w:sz w:val="20"/>
          <w:szCs w:val="20"/>
          <w:color w:val="auto"/>
        </w:rPr>
      </w:pPr>
      <w:r>
        <w:rPr>
          <w:rFonts w:ascii="Arial" w:cs="Arial" w:eastAsia="Arial" w:hAnsi="Arial"/>
          <w:sz w:val="16"/>
          <w:szCs w:val="16"/>
          <w:color w:val="auto"/>
        </w:rPr>
        <w:t>We will continue to vigorously defend or prosecute the foregoing matters as appropriate, to protect our intellectual property rights, to pursue all available legal and regulatory avenues and to explore other options as appropriate in our best interests in defense of both the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formulation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the 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formulation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including enforcement of the product’s intellectual property rights and approved labeling. We are unable to predict the outcome of these matters or to estimate the possible range of any losses that could be incurred.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COMPREHENSIVE (LOSS) INCOME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tax effects allocated to each component of Other comprehensive (loss) income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Before-Tax Amount</w:t>
            </w:r>
          </w:p>
        </w:tc>
        <w:tc>
          <w:tcPr>
            <w:tcW w:w="180" w:type="dxa"/>
            <w:vAlign w:val="bottom"/>
          </w:tcPr>
          <w:p>
            <w:pPr>
              <w:spacing w:after="0"/>
              <w:rPr>
                <w:sz w:val="13"/>
                <w:szCs w:val="13"/>
                <w:color w:val="auto"/>
              </w:rPr>
            </w:pPr>
          </w:p>
        </w:tc>
        <w:tc>
          <w:tcPr>
            <w:tcW w:w="120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0"/>
              </w:rPr>
              <w:t>Tax (Expense)</w:t>
            </w:r>
          </w:p>
        </w:tc>
        <w:tc>
          <w:tcPr>
            <w:tcW w:w="100" w:type="dxa"/>
            <w:vAlign w:val="bottom"/>
          </w:tcPr>
          <w:p>
            <w:pPr>
              <w:spacing w:after="0"/>
              <w:rPr>
                <w:sz w:val="13"/>
                <w:szCs w:val="13"/>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Net-of-Tax Amount</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Before-Tax Amount</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Tax Benefit</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Net-of-Tax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(Expense)</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unrealized loss on securities:</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w w:val="91"/>
              </w:rPr>
              <w:t>Unrealized loss arising during the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period</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reclassification adjustments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gain realized in net loss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80"/>
              <w:spacing w:after="0"/>
              <w:rPr>
                <w:sz w:val="20"/>
                <w:szCs w:val="20"/>
                <w:color w:val="auto"/>
              </w:rPr>
            </w:pPr>
            <w:r>
              <w:rPr>
                <w:rFonts w:ascii="Arial" w:cs="Arial" w:eastAsia="Arial" w:hAnsi="Arial"/>
                <w:sz w:val="18"/>
                <w:szCs w:val="18"/>
                <w:color w:val="auto"/>
              </w:rPr>
              <w:t>Net unrealized gains (losses)</w:t>
            </w:r>
          </w:p>
        </w:tc>
        <w:tc>
          <w:tcPr>
            <w:tcW w:w="460" w:type="dxa"/>
            <w:vAlign w:val="bottom"/>
            <w:tcBorders>
              <w:top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7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unrealized (loss) gain on</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(loss) gain arising during the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period</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reclassification adjustments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loss realized in net loss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(loss) gain</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30</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Substantially all of the Company’s Accumulated other comprehensive loss at March 31, 2018 and December 31, 2017 consists of Foreign currency translation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SHAREHOLDERS' (DEFICIT)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Shareholders' (Deficit) Equity</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displays a reconciliation of our beginning and ending balances in shareholders' (deficit) equity for the three months ended March 31,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10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Equity (Deficit)</w:t>
            </w: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at January 1, 2018, prior to the adoption of ASC 606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484,880</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Effect of adopting ASC 606 (1)</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487,956</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(505,489)</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Compensation related to share-based awards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restricted shares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 at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description of ASC 606.</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40" w:firstLine="486"/>
        <w:spacing w:after="0" w:line="312" w:lineRule="auto"/>
        <w:rPr>
          <w:sz w:val="20"/>
          <w:szCs w:val="20"/>
          <w:color w:val="auto"/>
        </w:rPr>
      </w:pPr>
      <w:r>
        <w:rPr>
          <w:rFonts w:ascii="Arial" w:cs="Arial" w:eastAsia="Arial" w:hAnsi="Arial"/>
          <w:sz w:val="16"/>
          <w:szCs w:val="16"/>
          <w:color w:val="auto"/>
        </w:rPr>
        <w:t>The Company recognized share-based compensation expense of $17.9 million and $19.5 million during the three months ended March 31, 2018 and 2017, respectively. As of March 31, 2018, the total remaining unrecognized compensation cost related to non-vested share-based compensation awards amounted to $47.6 million. This amount excludes $16.4 million of additional unrecognized compensation cost related to awards granted on April 2, 2018.</w:t>
      </w:r>
    </w:p>
    <w:p>
      <w:pPr>
        <w:spacing w:after="0" w:line="3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During the third quarter of 2017, the Company issued approximately 1.0 million stock options and 0.1 million restricted stock units for which a grant date has not been established as the awards are subject to shareholder approval at the Company’s 2018 Annual General Meeting of Shareholders. If approved, the options will have an exercise price equal to the closing share price on their issuance date in August 2017. Additionally, there are 0.1 million performance share units outstanding as of March 31, 2018, representing target amounts, for which a grant date has not been established. No fair value has been ascribed to these awards as no grant date has been established. Accordingly, they are not reflected in the remaining unrecognized compensation cost above or the weighted average remaining requisite service period below.</w:t>
      </w:r>
    </w:p>
    <w:p>
      <w:pPr>
        <w:spacing w:after="0" w:line="70"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As of March 31, 2018, the weighted average remaining requisite service period of the non-vested stock options was 2.3 years and for non-vested restricted stock units was 2.0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net for the three months ended March 31, 2018 and 2017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gain,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loss from investments accounted for under the equity method, net</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miscellaneous,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1640" w:hanging="5129"/>
        <w:spacing w:after="0" w:line="559" w:lineRule="auto"/>
        <w:rPr>
          <w:sz w:val="20"/>
          <w:szCs w:val="20"/>
          <w:color w:val="auto"/>
        </w:rPr>
      </w:pPr>
      <w:r>
        <w:rPr>
          <w:rFonts w:ascii="Arial" w:cs="Arial" w:eastAsia="Arial" w:hAnsi="Arial"/>
          <w:sz w:val="18"/>
          <w:szCs w:val="18"/>
          <w:color w:val="auto"/>
        </w:rPr>
        <w:t>Foreign currency gain, net results from the remeasurement of the Company’s foreign currency denominated assets and liabilities. 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color w:val="auto"/>
        </w:rPr>
        <w:t>During the three months ended March 31, 2018, the Company recognized income tax expense of $15.5 million on $482.2 million of loss from continuing operations before income tax, compared to $11.9 million of income tax benefit on $177.4 million of loss from continuing operations before income tax during the comparable 2017 period. The income tax expense for the current period is primarily related to the geographic mix of pretax earnings and discrete tax expense incurred in connection with an intercompany asset restructuring. As of March 31, 2018, the Company had valuation allowances established against our deferred tax assets in most jurisdictions in which we operate, with the exception of Canada and India. The tax benefit for the comparable 2017 period was primarily related to the geographic mix of pretax earnings and the discrete tax benefit associated with the International Pharmaceuticals Segment intangible asset impairment.</w:t>
      </w:r>
    </w:p>
    <w:p>
      <w:pPr>
        <w:spacing w:after="0" w:line="8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During the year ended December 31, 2017, we recorded a benefit of $36.2 million as our estimate of the impact of the TCJA. This benefit, which is primarily related to remeasurement of deferred tax liabilities related to tax deductible goodwill, was recorded in our Consolidated Statements of Operations as Income tax benefit.</w:t>
      </w:r>
    </w:p>
    <w:p>
      <w:pPr>
        <w:spacing w:after="0" w:line="7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recorded the aforementioned net benefit based on currently available information and interpretations of the TCJA. In accordance with authoritative guidance issued by the SEC, the income tax effect for certain aspects of the TCJA may represent provisional amounts for which our accounting is incomplete but a reasonable estimate could be determined. We consider amounts related to the various transition rules and interpretations of the TCJA to be provisional. Accordingly, we will continue to evaluate the impacts of the TCJA, including administrative and regulatory guidance as it becomes available. The measurement and existence of current and non-current income tax payables and/or the remeasurement of deferred tax assets and liabilities may change upon finalization of our analysis, which is expected to occur no later than one year from December 22, 2017, the date of the TCJA’s enactment. Any adjustment to a provisional amount identified during the one-year measurement period will be recorded as an income tax expense or benefit in the period the adjustment is determined.</w:t>
      </w:r>
    </w:p>
    <w:p>
      <w:pPr>
        <w:spacing w:after="0" w:line="84"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During the three months ended March 31, 2018, we did not record any adjustments to the provisional amounts recognized in 2017. We will continue to monitor for any significant impact on the Company’s consolidated financial statements with respect to the TCJA as more refined information and further guidance become available.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LOSS PER SHARE</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is a reconciliation of the numerator and denominator of basic and diluted net loss per share for the three months ended March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(497,738)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(165,423)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(505,489)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(173,828)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 basic per share data—weighted average shares</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223,521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223,014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ordinary share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Dilutive effect of various convertible notes and warrants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diluted per share data—weighted average shares</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223,521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223,014</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446"/>
        <w:spacing w:after="0" w:line="312" w:lineRule="auto"/>
        <w:rPr>
          <w:sz w:val="20"/>
          <w:szCs w:val="20"/>
          <w:color w:val="auto"/>
        </w:rPr>
      </w:pPr>
      <w:r>
        <w:rPr>
          <w:rFonts w:ascii="Arial" w:cs="Arial" w:eastAsia="Arial" w:hAnsi="Arial"/>
          <w:sz w:val="16"/>
          <w:szCs w:val="16"/>
          <w:color w:val="auto"/>
        </w:rPr>
        <w:t>Basic net loss per share data is computed based on the weighted average number of ordinary shares outstanding during the period. Diluted loss per share data is computed based on the weighted average number of ordinary shares outstanding and, if there is net income from continuing operations attributable to Endo ordinary shareholders during the period, the dilutive impact of ordinary share equivalents outstanding during the period.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options and awards that have been issued but for which a grant date has not yet been established, such as those discussed in Note 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(Deficit) Equity, are not considered in the calculation of basic of diluted weighted average shares.</w:t>
      </w:r>
    </w:p>
    <w:p>
      <w:pPr>
        <w:spacing w:after="0" w:line="103"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All potentially dilutive items were excluded from the diluted share calculation for the three months ended March 31, 2018 and 2017 because their effect would have been anti-dilutive, as the Company was in a loss position.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2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On April 26, 2018, the Company entered into a Membership Interest and Asset Purchase Agreement (the Somerset Purchase Agreement) with Mendham Holdings, LLC (the Seller) and certain other Seller related parties in connection with the acquisition of all of the limited liability company membership interests (the LLC Interests) of Somerset Therapeutics, LLC (Somerset) and certain of Somerset’s assets, including intellectual property, product ANDAs and inventory (the Somerset Assets). Somerset is a specialty pharmaceutical company that develops and markets sterile injectable and ophthalmic drugs for the U.S. market. The Somerset acquisition is contingent upon the closing of the acquisition of the Wintac business (as defined below).</w:t>
      </w:r>
    </w:p>
    <w:p>
      <w:pPr>
        <w:spacing w:after="0" w:line="5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Pursuant to the terms of the Somerset Purchase Agreement, the Company will acquire 100% of the LLC Interests of Somerset and the Somerset Assets for an aggregate cash purchase price of approximately $160 million, subject to customary adjustments for cash, net working capital and indebtedness as described in the Somerset Purchase Agreement. The Somerset Purchase Agreement contains certain customary representations, warranties and covenants and provides for indemnification rights of the parties in respect of inaccuracies or breaches of certain representations, warranties and covenants, subject to the limitations set forth in the Somerset Purchase Agreement.</w:t>
      </w:r>
    </w:p>
    <w:p>
      <w:pPr>
        <w:spacing w:after="0" w:line="80"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The Somerset acquisition is expected to close in the second half of 2018, subject to satisfaction of customary closing conditions, including required regulatory approvals and the closing of the acquisition of the Wintac business. In connection with the Somerset acquisition, Endo’s Indian subsidiary has entered into separate agreements to acquire the entire business of Somerset’s Indian-based contract development and manufacturing affiliate, Wintac Limited (Wintac) including certain real property in Bangalore, India and the manufacturing plants thereon and to assume certain debt of Wintac for the expected aggregate amount of the rupee equivalent of approximately $30 million, subject to customary adjustments for net working capital.</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18" w:right="2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our Annual Report on Form 10-K for the year ended December 31, 2017 (Annual Report). Our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 Additionally, the Company adopted ASC 606 on January 1, 2018 using the modified retrospective method for all revenue-generating contracts, including modifications thereto, that were not completed contracts at the date of adoption. Under the modified retrospective method, results beginning on January 1, 2018 are presented under ASC 606, while the comparative prior period results continue to be presented under ASC 605 based on the accounting standards originally in effect for such periods. Refer to Note 2. Summary of Significant Accounting Policies of the Condensed Consolidated Financial Statements included in Part I, Item 1 for additional information, including the impact of adoption on 2018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our revenue, gross margin, gross margin percentage and other pre-tax expense or income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700,527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1,037,600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403,598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668,962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296,929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368,638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i w:val="1"/>
                <w:iCs w:val="1"/>
                <w:color w:val="auto"/>
              </w:rPr>
              <w:t>Gross margin percentage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35.5%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166,667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177,240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38,646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43,009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448,416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203,962</w:t>
            </w:r>
          </w:p>
        </w:tc>
        <w:tc>
          <w:tcPr>
            <w:tcW w:w="100" w:type="dxa"/>
            <w:vAlign w:val="bottom"/>
          </w:tcPr>
          <w:p>
            <w:pPr>
              <w:spacing w:after="0"/>
              <w:rPr>
                <w:sz w:val="21"/>
                <w:szCs w:val="21"/>
                <w:color w:val="auto"/>
              </w:rPr>
            </w:pPr>
          </w:p>
        </w:tc>
        <w:tc>
          <w:tcPr>
            <w:tcW w:w="146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and integration items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10,880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123,990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111,999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income tax</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(482,247)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(177,351)</w:t>
            </w:r>
          </w:p>
        </w:tc>
        <w:tc>
          <w:tcPr>
            <w:tcW w:w="100" w:type="dxa"/>
            <w:vAlign w:val="bottom"/>
          </w:tcPr>
          <w:p>
            <w:pPr>
              <w:spacing w:after="0"/>
              <w:rPr>
                <w:sz w:val="22"/>
                <w:szCs w:val="22"/>
                <w:color w:val="auto"/>
              </w:rPr>
            </w:pPr>
          </w:p>
        </w:tc>
        <w:tc>
          <w:tcPr>
            <w:tcW w:w="146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60" w:type="dxa"/>
            <w:vAlign w:val="bottom"/>
          </w:tcPr>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100" w:firstLine="486"/>
        <w:spacing w:after="0" w:line="230" w:lineRule="auto"/>
        <w:rPr>
          <w:sz w:val="20"/>
          <w:szCs w:val="20"/>
          <w:color w:val="auto"/>
        </w:rPr>
      </w:pPr>
      <w:r>
        <w:rPr>
          <w:rFonts w:ascii="Arial" w:cs="Arial" w:eastAsia="Arial" w:hAnsi="Arial"/>
          <w:sz w:val="18"/>
          <w:szCs w:val="18"/>
          <w:b w:val="1"/>
          <w:bCs w:val="1"/>
          <w:i w:val="1"/>
          <w:iCs w:val="1"/>
          <w:color w:val="auto"/>
        </w:rPr>
        <w:t xml:space="preserve">Total Revenues. </w:t>
      </w:r>
      <w:r>
        <w:rPr>
          <w:rFonts w:ascii="Arial" w:cs="Arial" w:eastAsia="Arial" w:hAnsi="Arial"/>
          <w:sz w:val="18"/>
          <w:szCs w:val="18"/>
          <w:color w:val="auto"/>
        </w:rPr>
        <w:t>The decrease for the three months ended March 31, 2018 primarily related to the impact of the second quarter 2017 loss of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exclusivity for both ezetimibe tablets and quetiapine ER tablets, competitive pressure on commoditized generic products, generic product rationalization initiatives, recent actions taken with respect to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that are further described below, generic competition on our U.S. Branded - Specialty &amp; Established Pharmaceuticals segment’s Established Products portfolio, our July 3, 2017 divestiture of Litha and our October 25, 2017 divestiture of Somar. These declines were partially offset by continued strong performance from our U.S. Branded - Sterile Injectables segment, including VASOSTRICT</w:t>
      </w:r>
      <w:r>
        <w:rPr>
          <w:rFonts w:ascii="Arial" w:cs="Arial" w:eastAsia="Arial" w:hAnsi="Arial"/>
          <w:sz w:val="25"/>
          <w:szCs w:val="25"/>
          <w:color w:val="auto"/>
          <w:vertAlign w:val="superscript"/>
        </w:rPr>
        <w:t>®</w:t>
      </w:r>
      <w:r>
        <w:rPr>
          <w:rFonts w:ascii="Arial" w:cs="Arial" w:eastAsia="Arial" w:hAnsi="Arial"/>
          <w:sz w:val="18"/>
          <w:szCs w:val="18"/>
          <w:color w:val="auto"/>
        </w:rPr>
        <w:t>,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products, and our U.S. Branded - Specialty &amp; Established Pharmaceuticals segment’s Specialty Products portfolio, which includes XIAFLEX</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11" w:lineRule="auto"/>
        <w:rPr>
          <w:sz w:val="20"/>
          <w:szCs w:val="20"/>
          <w:color w:val="auto"/>
        </w:rPr>
      </w:pPr>
      <w:r>
        <w:rPr>
          <w:rFonts w:ascii="Arial" w:cs="Arial" w:eastAsia="Arial" w:hAnsi="Arial"/>
          <w:sz w:val="18"/>
          <w:szCs w:val="18"/>
          <w:color w:val="auto"/>
        </w:rPr>
        <w:t>In March 2017, we announced that the Food and Drug Administration’s (FDA) Drug Safety and Risk Management and Anesthetic and Analgesic Drug Products Advisory Committees voted that the benefits of reformulated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(oxymorphone hydrochloride extended release) no longer outweigh its risks. In June 2017, we became aware of the FDA’s request that we voluntarily withdraw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and in July 2017, after careful consideration and consultation with the FDA, we decided to voluntarily remove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During the second quarter of 2017, we began to work with the FDA to coordinate an orderly withdrawal of the product from the market. By September 1, 2017, we ceased shipments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to customers and we expect the New Drug Application will be withdrawn in the coming months. These actions had an adverse effect on the revenues and results of operations of our U.S. Branded - Specialty &amp; Established Pharmaceuticals segment during the three months ended March 31, 2018 compared to the three months ended March 31, 2017.</w:t>
      </w:r>
    </w:p>
    <w:p>
      <w:pPr>
        <w:spacing w:after="0" w:line="98"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months ended March 31, 2018 and 2017, we incurred certain charges that impact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comparability of total Cost of revenues, including those related to amortization expense and separation benefits and other cost reduction initiatives, including restructurings. The following table summarizes such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157,172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263,134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Separation benefits and other cost reduction initiatives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29,606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1,661</w:t>
            </w:r>
          </w:p>
        </w:tc>
      </w:tr>
      <w:tr>
        <w:trPr>
          <w:trHeight w:val="182"/>
        </w:trPr>
        <w:tc>
          <w:tcPr>
            <w:tcW w:w="8580" w:type="dxa"/>
            <w:vAlign w:val="bottom"/>
          </w:tcPr>
          <w:p>
            <w:pPr>
              <w:jc w:val="right"/>
              <w:ind w:right="7776"/>
              <w:spacing w:after="0"/>
              <w:rPr>
                <w:sz w:val="20"/>
                <w:szCs w:val="20"/>
                <w:color w:val="auto"/>
              </w:rPr>
            </w:pPr>
            <w:r>
              <w:rPr>
                <w:rFonts w:ascii="Arial" w:cs="Arial" w:eastAsia="Arial" w:hAnsi="Arial"/>
                <w:sz w:val="14"/>
                <w:szCs w:val="14"/>
                <w:color w:val="auto"/>
                <w:w w:val="89"/>
              </w:rPr>
              <w:t>__________</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580" w:hanging="329"/>
        <w:spacing w:after="0" w:line="241"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three months ended March 31, 2018 was primarily driven by the impact of 2017 amortization expense for both ezetimibe tablets and quetiapine ER tablets, which were fully amortized prior to January 1, 2018, and 2017 asset impairment charges. These decreases were partially offset by the impact of certain in-process research and development assets put into service in 2017.</w:t>
      </w:r>
    </w:p>
    <w:p>
      <w:pPr>
        <w:spacing w:after="0" w:line="2" w:lineRule="exact"/>
        <w:rPr>
          <w:rFonts w:ascii="Arial" w:cs="Arial" w:eastAsia="Arial" w:hAnsi="Arial"/>
          <w:sz w:val="14"/>
          <w:szCs w:val="14"/>
          <w:color w:val="auto"/>
        </w:rPr>
      </w:pPr>
    </w:p>
    <w:p>
      <w:pPr>
        <w:jc w:val="both"/>
        <w:ind w:left="580" w:right="200" w:hanging="329"/>
        <w:spacing w:after="0" w:line="248"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primarily relate to certain accelerated depreciation charges, employee separation costs and charges to increase excess inventory reserves related to restructurings and other cost reduction and restructuring charges. See Note 4. Restructuring of the Condensed Consolidated Financial Statements included in Part I, Item 1 for discussion of our material restructuring initiatives.</w:t>
      </w:r>
    </w:p>
    <w:p>
      <w:pPr>
        <w:spacing w:after="0" w:line="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previously described decrease in total revenues, together with the decrease to amortization expense, were the primary factors leading to the overall period-over-period decrease in Cost of revenues for the three months ended March 31, 2018. These savings were partially offset by increased restructuring charges for the three months ended March 31, 2018, primarily related to the 2017 U.S. Generic Pharmaceuticals Restructuring Initiative and the January 2018 Restructuring Initiative. Our material restructuring initiatives are described more fully in Note 4. Restructuring of the Condensed Consolidated Financial Statements included in Part I, Item 1.</w:t>
      </w:r>
    </w:p>
    <w:p>
      <w:pPr>
        <w:spacing w:after="0" w:line="80"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increase in gross margin percentage for the three months ended March 31, 2018 was primarily attributable to the gross margin effects of the net Cost of revenues decreases included in the table above and the favorable margin impact of product rationalization efforts. Additionally, changes in the mix of total revenues, including a shift from generic to branded products, contributed to the overall increase in gross margin percentage.</w:t>
      </w:r>
    </w:p>
    <w:p>
      <w:pPr>
        <w:spacing w:after="0" w:line="57"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The decrease for the three months ended March 31, 2018 was primarily a result of cost reductions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implemented throughout 2017, including the impact of those related to various restructuring initiatives. Our material restructuring initiatives are described more fully in Note 4. Restructuring of the Condensed Consolidated Financial Statements included in Part I, Item 1.</w:t>
      </w:r>
    </w:p>
    <w:p>
      <w:pPr>
        <w:spacing w:after="0" w:line="57"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The decrease for the three months ended March 31, 2018 was primarily a result of the impact of the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Restructuring Initiative and other cost reduction initiatives, partially offset by increased costs related to our cellulite treatment development program, including costs related to the Phase 3 trials that began in early 2018. We expect to continue to incur expenses in 2018 related to the cellulite treatment development program. We also expect our U.S. Generic Pharmaceuticals R&amp;D costs to continue to decline in 2018 as a result of decreases in costs associated with offshoring certain of our R&amp;D activities to India and prioritizing assets within our portfolio. There can be no assurance that we will achieve these results.</w:t>
      </w:r>
    </w:p>
    <w:p>
      <w:pPr>
        <w:spacing w:after="0" w:line="5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Litigation-related and other contingencies, net. </w:t>
      </w:r>
      <w:r>
        <w:rPr>
          <w:rFonts w:ascii="Arial" w:cs="Arial" w:eastAsia="Arial" w:hAnsi="Arial"/>
          <w:sz w:val="18"/>
          <w:szCs w:val="18"/>
          <w:color w:val="auto"/>
        </w:rPr>
        <w:t>Included within this Litigation-related and other contingencies, net line are litigation-related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 charges, reimbursements and certain settlements proceeds related to suits filed by our subsidiaries. Our material legal proceedings and other contingent matters are described in more detail in Note 12. Commitments and Contingencies of the Condensed Consolidated Financial Statements included in Part I, Item 1.</w:t>
      </w:r>
    </w:p>
    <w:p>
      <w:pPr>
        <w:spacing w:after="0" w:line="7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2017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9"/>
        </w:trPr>
        <w:tc>
          <w:tcPr>
            <w:tcW w:w="1100" w:type="dxa"/>
            <w:vAlign w:val="bottom"/>
            <w:tcBorders>
              <w:top w:val="single" w:sz="8" w:color="0000EE"/>
            </w:tcBorders>
          </w:tcPr>
          <w:p>
            <w:pPr>
              <w:spacing w:after="0"/>
              <w:rPr>
                <w:sz w:val="24"/>
                <w:szCs w:val="24"/>
                <w:color w:val="auto"/>
              </w:rPr>
            </w:pPr>
          </w:p>
        </w:tc>
        <w:tc>
          <w:tcPr>
            <w:tcW w:w="7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1100" w:type="dxa"/>
            <w:vAlign w:val="bottom"/>
            <w:tcBorders>
              <w:bottom w:val="single" w:sz="8" w:color="CCEEFF"/>
            </w:tcBorders>
          </w:tcPr>
          <w:p>
            <w:pPr>
              <w:spacing w:after="0"/>
              <w:rPr>
                <w:sz w:val="22"/>
                <w:szCs w:val="22"/>
                <w:color w:val="auto"/>
              </w:rPr>
            </w:pPr>
          </w:p>
        </w:tc>
        <w:tc>
          <w:tcPr>
            <w:tcW w:w="7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82,602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54,200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118,906</w:t>
            </w: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w:t>
            </w: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Total asset impairment charges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448,416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203,962</w:t>
            </w: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 8.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3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Acquisition-related and integration items. </w:t>
      </w:r>
      <w:r>
        <w:rPr>
          <w:rFonts w:ascii="Arial" w:cs="Arial" w:eastAsia="Arial" w:hAnsi="Arial"/>
          <w:sz w:val="18"/>
          <w:szCs w:val="18"/>
          <w:color w:val="auto"/>
        </w:rPr>
        <w:t>The following table presents the components of our total Acquisition-related and integration items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expense from changes in the fair value of acquisition-related contingent consideration</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4,696</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and integration items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6,835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Net adjustments related to acquisition-related contingent consideration resulted from changes in market conditions impacting the commercial potential of the underlying products. See Note 6. Fair Value Measurements of the Condensed Consolidated Financial Statements included in Part I, Item 1 for further discussion of our acquisition-related contingent consideration.</w:t>
      </w:r>
    </w:p>
    <w:p>
      <w:pPr>
        <w:spacing w:after="0" w:line="73"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This decrease in other Acquisition-related and integration items was primarily attributable to costs incurred in 2017 associated with our 2015 Par acquisition. There were no such costs in the comparable 2018 period.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The components of Interest expense, net for the three months ended March 31, 2018 and 2017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123,990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111,999</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increase in interest expense for the three months ended March 31, 2018 was primarily attributable to increased interest rates following the refinancing that occurred on April 27, 2017, which is further described in Note 11. Debt of the Condensed Consolidated Financial Statements included in Part I, Item 1.</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The components of Other income, net for the three months ended March 31, 2018 and 2017 are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gain,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loss from investments accounted for under the equity method, net</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miscellaneous,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Foreign currency gain, net results from the remeasurement of our foreign currency denominated assets and liabilities.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The following table displays our Loss from continuing operations before income tax, Income tax expense (benefit)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for the three months ended March 31,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(482,247)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(177,351)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15,491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(11,928)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3"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The income tax expense for the current period is primarily related to the geographic mix of pretax earnings and discrete tax expense realized in connection with an intercompany asset restructuring. The tax benefit for the comparable 2017 period was primarily related to the geographic mix of pretax earnings and the discrete tax benefit associated with the International Pharmaceuticals Segment intangible asset impairment.</w:t>
      </w:r>
    </w:p>
    <w:p>
      <w:pPr>
        <w:spacing w:after="0" w:line="57"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Although the TCJA will reduce the notional U.S. federal statutory tax rate, because the Company has valuation allowances established against its U.S. federal deferred tax assets, as of March 31, 2018, we do not expect a significant reduction in our future tax expense. Moreover, we have valuation allowances established against our deferred tax assets in most other jurisdictions in which we operate, with the exception of Canada and India. Accordingly, it would be unlikely for future pre-tax losses to create a tax benefit that would be more likely than not to be realized. For additional information on our income taxes, see Note 16. Income Taxes of the Condensed Consolidated Financial Statements included in Part I, Item 1.</w:t>
      </w:r>
    </w:p>
    <w:p>
      <w:pPr>
        <w:spacing w:after="0" w:line="64"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Discontinued operations, net of tax. </w:t>
      </w:r>
      <w:r>
        <w:rPr>
          <w:rFonts w:ascii="Arial" w:cs="Arial" w:eastAsia="Arial" w:hAnsi="Arial"/>
          <w:sz w:val="18"/>
          <w:szCs w:val="18"/>
          <w:color w:val="auto"/>
        </w:rPr>
        <w:t>The operating results of our Astora business are reported as Discontinued operations, net of tax in the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all periods presented. The results of our discontinued operations, net of tax, totaled $7.8 million of loss during the three months ended March 31, 2018 compared to $8.4 million of loss in the comparable 2017 period.</w:t>
      </w:r>
    </w:p>
    <w:p>
      <w:pPr>
        <w:spacing w:after="0" w:line="7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primary driver of the period-over-period change for the three months ended March 31, 2018 was the after-tax impact of a reduction in mesh-related legal defense costs following the settlement strategy we pursued in 2017, which is further described in Note 12. Commitments and Contingencies of the Condensed Consolidated Financial Statements included in Part I, Item 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Outlook</w:t>
      </w:r>
    </w:p>
    <w:p>
      <w:pPr>
        <w:spacing w:after="0" w:line="117" w:lineRule="exact"/>
        <w:rPr>
          <w:sz w:val="20"/>
          <w:szCs w:val="20"/>
          <w:color w:val="auto"/>
        </w:rPr>
      </w:pPr>
    </w:p>
    <w:p>
      <w:pPr>
        <w:ind w:right="40" w:firstLine="486"/>
        <w:spacing w:after="0" w:line="266" w:lineRule="auto"/>
        <w:rPr>
          <w:sz w:val="20"/>
          <w:szCs w:val="20"/>
          <w:color w:val="auto"/>
        </w:rPr>
      </w:pPr>
      <w:r>
        <w:rPr>
          <w:rFonts w:ascii="Arial" w:cs="Arial" w:eastAsia="Arial" w:hAnsi="Arial"/>
          <w:sz w:val="16"/>
          <w:szCs w:val="16"/>
          <w:color w:val="auto"/>
        </w:rPr>
        <w:t>We estimate that our 2018 total revenues will be between $2.6 billion and $2.8 billion. This estimate reflects an anticipated decline in our U.S. Generic Pharmaceuticals segment driven by the expiration of the marketing exclusivity periods for both ezetimibe tablets and quetiapine ER tablets in the second quarter of 2017, the impact of product rationalization initiatives resulting from the 2016 and 2017 U.S. Generic Pharmaceuticals segment restructuring initiatives and continued competitive pressure on commoditized generic products; a decline in our U.S. Branded - Specialty &amp; Established Pharmaceuticals segment resulting from the continued decline in the Established Products portfolio partly driven by the ceasing of shipments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by September 1, 2017, partially offset by growth in the Specialty Products portfolio primarily driven by XIAFLEX</w:t>
      </w:r>
      <w:r>
        <w:rPr>
          <w:rFonts w:ascii="Arial" w:cs="Arial" w:eastAsia="Arial" w:hAnsi="Arial"/>
          <w:sz w:val="22"/>
          <w:szCs w:val="22"/>
          <w:color w:val="auto"/>
          <w:vertAlign w:val="superscript"/>
        </w:rPr>
        <w:t>®</w:t>
      </w:r>
      <w:r>
        <w:rPr>
          <w:rFonts w:ascii="Arial" w:cs="Arial" w:eastAsia="Arial" w:hAnsi="Arial"/>
          <w:sz w:val="16"/>
          <w:szCs w:val="16"/>
          <w:color w:val="auto"/>
        </w:rPr>
        <w:t>; a decline in the International Pharmaceuticals segment primarily due to the divestitures of Litha and Somar; partially offset by growth in the U.S. Branded - Sterile Injectables segment. The Company anticipates continued margin improvement in 2018 driven by cost efficiencies associated with our U.S. Generic Pharmaceuticals segment restructuring initiatives, a continued shift in product mix to higher margin products and targeted cost reductions in selling, general and administrative expenses. We will continue to invest in XIAFLEX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other core products to position the Company for long-term success. There can be no assurance that we will achieve these results.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1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four reportable business segments in which we operate are: (1) U.S. Branded - Specialty &amp; Established Pharmaceuticals (2) U.S. Branded - Sterile Injectables, (3) U.S. Generic Pharmaceuticals and (4) International Pharmaceuticals. Our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We evaluate segment performance based on each segment’s adjusted income from continuing operations before income tax, a financial measure not determined in accordance with U.S. GAAP, which we define as Loss from continuing operations before income tax and before certain upfront and milestone payments to partners; acquisition-related and integration items, including transaction costs, earn-out payments or adjustments, changes in the fair value of contingent consideration and bridge financing costs;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certain non-cash interest expense; litigation-related and other contingent matters; gains or losses from early termination of debt; foreign currency gains or losses on intercompany financing arrangements; and certain other items.</w:t>
      </w:r>
    </w:p>
    <w:p>
      <w:pPr>
        <w:spacing w:after="0" w:line="5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Certain of the corporate expenses incurred by us are not attributable to any specific segment. Accordingly, these costs are not allocated to any of our segments and are included in the results below as “Corporate unallocated costs.” Interest income and expense are also considered corporate items and not allocated to any of our segments. Our consolidated adjusted income from continuing operations before income tax is equal to the combined results of each of our segments less these unallocated corporate items.</w:t>
      </w:r>
    </w:p>
    <w:p>
      <w:pPr>
        <w:spacing w:after="0" w:line="79"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We refer to adjusted income from continuing operations before income tax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In addition, we have historically reported similar financial measures to our investors and believe that the inclusion of comparative numbers provides consistency in our current financial reporting. Further, we believe that adjusted income from continuing operations before income tax may be useful to investors as we are aware that certain of our significant shareholders utilize adjusted income from continuing operations before income tax to evaluate our financial performance. Finally, adjusted income from continuing operations before income tax is utilized in the calculation of adjusted diluted income per share, which is used by the Compensation Committee of Endo’s Board of Directors in assessing the performance and compensation of substantially all of our employees, including our executive officers.</w:t>
      </w:r>
    </w:p>
    <w:p>
      <w:pPr>
        <w:spacing w:after="0" w:line="5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There are limitations to using financial measures such as adjusted income from continuing operations before income tax. Other companies in our industry may define adjusted income from continuing operations before income tax differently than we do. As a result, it may be difficult to use adjusted income from continuing operations before income tax or similarly named adjusted financial measures that other companies may use to compare the performance of those companies to our performance. Because of these limitations, adjusted income from continuing operations before income tax is not intended to represent cash flow from operations as defined by U.S. GAAP and should not be used as alternatives to net income as indicators of operating performance or to cash flows as measures of liquidity. We compensate for these limitations by providing reconciliations of our total segment adjusted income from continuing operations before income tax to our consolidated Loss from continuing operations before income tax, which is determined in accordance with U.S. GAAP and included in our Condensed Consolidated Statements of Operations.</w:t>
      </w:r>
    </w:p>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The following table displays our revenue by reportable segment for the three months ended March 31, 2018 and 2017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Branded - Specialty &amp; Established Pharmaceuticals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250,159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U.S. Branded - Sterile Injectables</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215,854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172,168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549,815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35,198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65,458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revenues from external customers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700,527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1,037,600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340" w:hanging="329"/>
        <w:spacing w:after="0" w:line="255"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 and, prior to the sale of Litha on July 3, 2017 and Somar on October 25, 2017, South Africa and Latin America.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Branded - Specialty &amp; Established Pharmaceuticals</w:t>
      </w:r>
      <w:r>
        <w:rPr>
          <w:rFonts w:ascii="Arial" w:cs="Arial" w:eastAsia="Arial" w:hAnsi="Arial"/>
          <w:sz w:val="16"/>
          <w:szCs w:val="16"/>
          <w:color w:val="auto"/>
        </w:rPr>
        <w:t>. The following table displays the significant components of our U.S. Branded - Specialty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Established Pharmaceuticals revenues from external customers for the three months ended March 31, 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XIAFLEX®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57,141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49,525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34,197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36,028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111,915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104,734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30,945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VOLTAREN® Gel</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14,274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OPANA® 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35,718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 Established (2)</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45,027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64,488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Established Products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145,425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U.S. Branded - Specialty &amp; Established Pharmaceuticals (3)</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200,235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250,159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Products included within Other Specialty include TESTOPEL</w:t>
      </w:r>
      <w:r>
        <w:rPr>
          <w:rFonts w:ascii="Arial" w:cs="Arial" w:eastAsia="Arial" w:hAnsi="Arial"/>
          <w:sz w:val="8"/>
          <w:szCs w:val="8"/>
          <w:color w:val="auto"/>
        </w:rPr>
        <w:t>®</w:t>
      </w:r>
      <w:r>
        <w:rPr>
          <w:rFonts w:ascii="Arial" w:cs="Arial" w:eastAsia="Arial" w:hAnsi="Arial"/>
          <w:sz w:val="14"/>
          <w:szCs w:val="14"/>
          <w:color w:val="auto"/>
        </w:rPr>
        <w:t>,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TESTIM</w:t>
      </w:r>
      <w:r>
        <w:rPr>
          <w:rFonts w:ascii="Arial" w:cs="Arial" w:eastAsia="Arial" w:hAnsi="Arial"/>
          <w:sz w:val="8"/>
          <w:szCs w:val="8"/>
          <w:color w:val="auto"/>
        </w:rPr>
        <w:t>®</w:t>
      </w:r>
      <w:r>
        <w:rPr>
          <w:rFonts w:ascii="Arial" w:cs="Arial" w:eastAsia="Arial" w:hAnsi="Arial"/>
          <w:sz w:val="14"/>
          <w:szCs w:val="14"/>
          <w:color w:val="auto"/>
        </w:rPr>
        <w:t xml:space="preserve"> and FORTESTA</w:t>
      </w:r>
      <w:r>
        <w:rPr>
          <w:rFonts w:ascii="Arial" w:cs="Arial" w:eastAsia="Arial" w:hAnsi="Arial"/>
          <w:sz w:val="8"/>
          <w:szCs w:val="8"/>
          <w:color w:val="auto"/>
        </w:rPr>
        <w:t>®</w:t>
      </w:r>
      <w:r>
        <w:rPr>
          <w:rFonts w:ascii="Arial" w:cs="Arial" w:eastAsia="Arial" w:hAnsi="Arial"/>
          <w:sz w:val="14"/>
          <w:szCs w:val="14"/>
          <w:color w:val="auto"/>
        </w:rPr>
        <w:t xml:space="preserve"> Gel, including the authorized generics.</w:t>
      </w:r>
    </w:p>
    <w:p>
      <w:pPr>
        <w:spacing w:after="0" w:line="1" w:lineRule="exact"/>
        <w:rPr>
          <w:rFonts w:ascii="Arial" w:cs="Arial" w:eastAsia="Arial" w:hAnsi="Arial"/>
          <w:sz w:val="14"/>
          <w:szCs w:val="14"/>
          <w:color w:val="auto"/>
        </w:rPr>
      </w:pPr>
    </w:p>
    <w:p>
      <w:pPr>
        <w:ind w:left="580" w:right="120" w:hanging="329"/>
        <w:spacing w:after="0" w:line="255"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and/or any product having revenues in excess of $25 million during any quarterly period in 2018 or 2017.</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640" w:firstLine="486"/>
        <w:spacing w:after="0" w:line="227" w:lineRule="auto"/>
        <w:rPr>
          <w:sz w:val="20"/>
          <w:szCs w:val="20"/>
          <w:color w:val="auto"/>
        </w:rPr>
      </w:pPr>
      <w:r>
        <w:rPr>
          <w:rFonts w:ascii="Arial" w:cs="Arial" w:eastAsia="Arial" w:hAnsi="Arial"/>
          <w:sz w:val="18"/>
          <w:szCs w:val="18"/>
          <w:color w:val="auto"/>
        </w:rPr>
        <w:t>The increase in net sales of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March 31, 2018 was primarily attributable to demand growth driven by the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as well as price.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net sales of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for the three months ended March 31, 2018 was primarily attributable to increases in price.</w:t>
      </w:r>
    </w:p>
    <w:p>
      <w:pPr>
        <w:spacing w:after="0" w:line="37" w:lineRule="exact"/>
        <w:rPr>
          <w:sz w:val="20"/>
          <w:szCs w:val="20"/>
          <w:color w:val="auto"/>
        </w:rPr>
      </w:pPr>
    </w:p>
    <w:p>
      <w:pPr>
        <w:ind w:right="640" w:firstLine="486"/>
        <w:spacing w:after="0" w:line="296" w:lineRule="auto"/>
        <w:rPr>
          <w:sz w:val="20"/>
          <w:szCs w:val="20"/>
          <w:color w:val="auto"/>
        </w:rPr>
      </w:pPr>
      <w:r>
        <w:rPr>
          <w:rFonts w:ascii="Arial" w:cs="Arial" w:eastAsia="Arial" w:hAnsi="Arial"/>
          <w:sz w:val="16"/>
          <w:szCs w:val="16"/>
          <w:color w:val="auto"/>
        </w:rPr>
        <w:t>The decrease in net sales of Other Specialty Products for the three months ended March 31, 2018 was primarily attributable to lower sales of TESTOPEL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due to decreased volume and price, partially offset by increased sales of NASCOBAL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Nasal Spray due to increased volume and price.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2" w:lineRule="exact"/>
        <w:rPr>
          <w:sz w:val="20"/>
          <w:szCs w:val="20"/>
          <w:color w:val="auto"/>
        </w:rPr>
      </w:pPr>
    </w:p>
    <w:p>
      <w:pPr>
        <w:ind w:right="180" w:firstLine="486"/>
        <w:spacing w:after="0" w:line="216" w:lineRule="auto"/>
        <w:rPr>
          <w:sz w:val="20"/>
          <w:szCs w:val="20"/>
          <w:color w:val="auto"/>
        </w:rPr>
      </w:pPr>
      <w:r>
        <w:rPr>
          <w:rFonts w:ascii="Arial" w:cs="Arial" w:eastAsia="Arial" w:hAnsi="Arial"/>
          <w:sz w:val="18"/>
          <w:szCs w:val="18"/>
          <w:color w:val="auto"/>
        </w:rPr>
        <w:t>The increase in net sales of PERCOCET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March 31, 2018 was primarily attributable to price increases, partially offset by volume decreases.</w:t>
      </w:r>
    </w:p>
    <w:p>
      <w:pPr>
        <w:spacing w:after="0" w:line="95" w:lineRule="exact"/>
        <w:rPr>
          <w:sz w:val="20"/>
          <w:szCs w:val="20"/>
          <w:color w:val="auto"/>
        </w:rPr>
      </w:pPr>
    </w:p>
    <w:p>
      <w:pPr>
        <w:jc w:val="both"/>
        <w:ind w:right="200" w:firstLine="486"/>
        <w:spacing w:after="0" w:line="203" w:lineRule="auto"/>
        <w:rPr>
          <w:sz w:val="20"/>
          <w:szCs w:val="20"/>
          <w:color w:val="auto"/>
        </w:rPr>
      </w:pPr>
      <w:r>
        <w:rPr>
          <w:rFonts w:ascii="Arial" w:cs="Arial" w:eastAsia="Arial" w:hAnsi="Arial"/>
          <w:sz w:val="18"/>
          <w:szCs w:val="18"/>
          <w:color w:val="auto"/>
        </w:rPr>
        <w:t>The decrease in net sales of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for the three months ended March 31, 2018 was primarily attributable to price decreases as a result of ongoing competitive pressure from generic competition. To the extent additional competitors are able to launch generic versions of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our revenues could decline further.</w:t>
      </w:r>
    </w:p>
    <w:p>
      <w:pPr>
        <w:spacing w:after="0" w:line="95" w:lineRule="exact"/>
        <w:rPr>
          <w:sz w:val="20"/>
          <w:szCs w:val="20"/>
          <w:color w:val="auto"/>
        </w:rPr>
      </w:pPr>
    </w:p>
    <w:p>
      <w:pPr>
        <w:ind w:right="700" w:firstLine="486"/>
        <w:spacing w:after="0" w:line="186" w:lineRule="auto"/>
        <w:rPr>
          <w:sz w:val="20"/>
          <w:szCs w:val="20"/>
          <w:color w:val="auto"/>
        </w:rPr>
      </w:pPr>
      <w:r>
        <w:rPr>
          <w:rFonts w:ascii="Arial" w:cs="Arial" w:eastAsia="Arial" w:hAnsi="Arial"/>
          <w:sz w:val="18"/>
          <w:szCs w:val="18"/>
          <w:color w:val="auto"/>
        </w:rPr>
        <w:t>The decrease in net sales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for the three months ended March 31, 2018 relates to our cessation of shipments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to customers by September 1, 2017, as further described above.</w:t>
      </w:r>
    </w:p>
    <w:p>
      <w:pPr>
        <w:spacing w:after="0" w:line="9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Net sales of Other Established Products for the three months ended March 31, 2018 were negatively impacted by volume decreases resulting from generic competition and certain other factors.</w:t>
      </w:r>
    </w:p>
    <w:p>
      <w:pPr>
        <w:spacing w:after="0" w:line="62" w:lineRule="exact"/>
        <w:rPr>
          <w:sz w:val="20"/>
          <w:szCs w:val="20"/>
          <w:color w:val="auto"/>
        </w:rPr>
      </w:pPr>
    </w:p>
    <w:p>
      <w:pPr>
        <w:ind w:right="20" w:firstLine="486"/>
        <w:spacing w:after="0" w:line="257" w:lineRule="auto"/>
        <w:rPr>
          <w:sz w:val="20"/>
          <w:szCs w:val="20"/>
          <w:color w:val="auto"/>
        </w:rPr>
      </w:pPr>
      <w:r>
        <w:rPr>
          <w:rFonts w:ascii="Arial" w:cs="Arial" w:eastAsia="Arial" w:hAnsi="Arial"/>
          <w:sz w:val="17"/>
          <w:szCs w:val="17"/>
          <w:color w:val="auto"/>
        </w:rPr>
        <w:t>A portion of this segment’s sales, including sales of PERCOCET</w:t>
      </w:r>
      <w:r>
        <w:rPr>
          <w:rFonts w:ascii="Arial" w:cs="Arial" w:eastAsia="Arial" w:hAnsi="Arial"/>
          <w:sz w:val="24"/>
          <w:szCs w:val="24"/>
          <w:color w:val="auto"/>
          <w:vertAlign w:val="superscript"/>
        </w:rPr>
        <w:t>®</w:t>
      </w:r>
      <w:r>
        <w:rPr>
          <w:rFonts w:ascii="Arial" w:cs="Arial" w:eastAsia="Arial" w:hAnsi="Arial"/>
          <w:sz w:val="17"/>
          <w:szCs w:val="17"/>
          <w:color w:val="auto"/>
        </w:rPr>
        <w:t>, relate to opioid prescription medications. In April 2018, New York enacted a statute called the Opioid Stewardship Act (the Stewardship Act), which, among other things, requires certain sellers and distributors of certain opioids in the state of New York (the Contributing Parties) to make payments to a newly created Opioid Stewardship Fund (the Fund). The Contributing Parties will be required to pay a total of up to $100 million annually into the Fund, with each Contributing Party’s share based on the total amount of morphine milligram equivalents of certain opioids sold or distributed by the Contributing Party in the state of New York during the preceding calendar year, subject to potential adjustments by the New York State Department of Health. While the effect of this legislation remains uncertain, it is likely that we may be deemed to be a Contributing Party and therefore be required to make payments to the Fund and take additional actions to comply with the Stewardship Act. If we are ultimately deemed to be a Contributing Party, compliance with the requirements of the Stewardship Act, or similar requirements that could be enacted by other jurisdictions, could have an adverse effect on the profitability of and cash flows from this segment’s opioid prescription medications.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i w:val="1"/>
          <w:iCs w:val="1"/>
          <w:color w:val="auto"/>
        </w:rPr>
        <w:t xml:space="preserve">U.S. Branded - Sterile Injectables. </w:t>
      </w:r>
      <w:r>
        <w:rPr>
          <w:rFonts w:ascii="Arial" w:cs="Arial" w:eastAsia="Arial" w:hAnsi="Arial"/>
          <w:sz w:val="18"/>
          <w:szCs w:val="18"/>
          <w:color w:val="auto"/>
        </w:rPr>
        <w:t>The following table displays the significant components of our U.S. Branded - Sterile Injectables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external customers for the three months ended March 31,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99,158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ADRENALIN®</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29,740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144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Sterile Injectables (1)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72,389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66,913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8"/>
        </w:trPr>
        <w:tc>
          <w:tcPr>
            <w:tcW w:w="7040" w:type="dxa"/>
            <w:vAlign w:val="bottom"/>
          </w:tcPr>
          <w:p>
            <w:pPr>
              <w:ind w:left="180"/>
              <w:spacing w:after="0"/>
              <w:rPr>
                <w:sz w:val="20"/>
                <w:szCs w:val="20"/>
                <w:color w:val="auto"/>
              </w:rPr>
            </w:pPr>
            <w:r>
              <w:rPr>
                <w:rFonts w:ascii="Arial" w:cs="Arial" w:eastAsia="Arial" w:hAnsi="Arial"/>
                <w:sz w:val="18"/>
                <w:szCs w:val="18"/>
                <w:color w:val="auto"/>
              </w:rPr>
              <w:t>Total U.S. Branded - Sterile Injectables (2)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215,854</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172,168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line="143" w:lineRule="exact"/>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0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7040" w:type="dxa"/>
            <w:vAlign w:val="bottom"/>
          </w:tcPr>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8"/>
          <w:szCs w:val="8"/>
          <w:color w:val="auto"/>
        </w:rPr>
        <w:t>®</w:t>
      </w:r>
      <w:r>
        <w:rPr>
          <w:rFonts w:ascii="Arial" w:cs="Arial" w:eastAsia="Arial" w:hAnsi="Arial"/>
          <w:sz w:val="14"/>
          <w:szCs w:val="14"/>
          <w:color w:val="auto"/>
        </w:rPr>
        <w:t>, ephedrine sulfate injection and neostigmine methylsulfate injection.</w:t>
      </w:r>
    </w:p>
    <w:p>
      <w:pPr>
        <w:spacing w:after="0" w:line="1" w:lineRule="exact"/>
        <w:rPr>
          <w:rFonts w:ascii="Arial" w:cs="Arial" w:eastAsia="Arial" w:hAnsi="Arial"/>
          <w:sz w:val="14"/>
          <w:szCs w:val="14"/>
          <w:color w:val="auto"/>
        </w:rPr>
      </w:pPr>
    </w:p>
    <w:p>
      <w:pPr>
        <w:ind w:left="580" w:right="120" w:hanging="329"/>
        <w:spacing w:after="0" w:line="255"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U.S. Branded - Sterile Injectables segment and/or any product having revenues in excess of $25 million during any quarterly period in 2018 or 2017.</w:t>
      </w:r>
    </w:p>
    <w:p>
      <w:pPr>
        <w:spacing w:after="0" w:line="82" w:lineRule="exact"/>
        <w:rPr>
          <w:sz w:val="20"/>
          <w:szCs w:val="20"/>
          <w:color w:val="auto"/>
        </w:rPr>
      </w:pPr>
    </w:p>
    <w:p>
      <w:pPr>
        <w:ind w:firstLine="486"/>
        <w:spacing w:after="0" w:line="193" w:lineRule="auto"/>
        <w:rPr>
          <w:sz w:val="20"/>
          <w:szCs w:val="20"/>
          <w:color w:val="auto"/>
        </w:rPr>
      </w:pPr>
      <w:r>
        <w:rPr>
          <w:rFonts w:ascii="Arial" w:cs="Arial" w:eastAsia="Arial" w:hAnsi="Arial"/>
          <w:sz w:val="18"/>
          <w:szCs w:val="18"/>
          <w:color w:val="auto"/>
        </w:rPr>
        <w:t>Net sales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increased during the three months ended March 31, 2018 due to increases in both volume and price.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currently the first and only vasopressin injection with an NDA approved by the FDA. We have been issued six patents relating to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by the U.S. Patent and Trademark Office (PTO). These patents are listed in the Orange Book. The FDA requires any applicant seeking FDA approval for vasopressin prior to patent expiry and relying on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the Reference Listed Drug to notify us of filing before the FDA will issue an approval.</w:t>
      </w:r>
    </w:p>
    <w:p>
      <w:pPr>
        <w:spacing w:after="0" w:line="9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Under section 503A of the Federal Food, Drug, and Cosmetic Act (FFDCA), licensed pharmacies may sell compounded versions of prescription drugs that have been prepared for individual patients based on the receipt of a valid prescription order or notation. Similarly, under section 503B of the FFDCA, outsourcing facilities may sell compounded versions of prescription drugs to healthcare providers. Current interim guidance issued by the FDA states that the FDA does not intend to take action against registered outsourcing facilities for compounding certain drug products, including vasopressin, if certain conditions are met. As further discussed in Note 12. Commitments and Contingencies of the Condensed Consolidated Financial Statements included in Part I, Item 1, this interim guidance is the subject of a pending legal complaint filed by certain of our subsidiaries and the FDA has since announced it intends to issue additional guidance that will address the concerns set forth in this complaint. However, there can be no assurance that the FDA will take action to limit the sale of competing compounded versions of VASOSTRICT</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5" w:lineRule="exact"/>
        <w:rPr>
          <w:sz w:val="20"/>
          <w:szCs w:val="20"/>
          <w:color w:val="auto"/>
        </w:rPr>
      </w:pPr>
    </w:p>
    <w:p>
      <w:pPr>
        <w:ind w:right="100" w:firstLine="486"/>
        <w:spacing w:after="0" w:line="238" w:lineRule="auto"/>
        <w:rPr>
          <w:sz w:val="20"/>
          <w:szCs w:val="20"/>
          <w:color w:val="auto"/>
        </w:rPr>
      </w:pPr>
      <w:r>
        <w:rPr>
          <w:rFonts w:ascii="Arial" w:cs="Arial" w:eastAsia="Arial" w:hAnsi="Arial"/>
          <w:sz w:val="18"/>
          <w:szCs w:val="18"/>
          <w:color w:val="auto"/>
        </w:rPr>
        <w:t>In April 2018, we received a Notice Letter advising that Eagle Pharmaceuticals, Inc. (Eagle) submitted an Abbreviated New Drug Application (ANDA) to the U.S. Food and Drug Administration (FDA) seeking approval from the FDA to manufacture and market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injection, USP) 1 mL, in the United States. The Notice Letter also contains “Paragraph IV” certifications alleging invalidity and non-infringement with respect to five patents listed in the Orange Book. The Company is assessing the details of the Notice Letter and formulating its legal strategy. The Company intends to vigorously protect its intellectual property, which may include initiating a patent infringement lawsuit against Eagle within 45 days of receiving the Notice Letter. If a lawsuit is filed within that timeframe, it will trigger the stay of FDA approval, referred to above, for up to 30 months.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introduction of any compounded or generic of versions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could result in reductions to our market share, profitability and cash</w:t>
      </w:r>
    </w:p>
    <w:p>
      <w:pPr>
        <w:spacing w:after="0"/>
        <w:rPr>
          <w:sz w:val="20"/>
          <w:szCs w:val="20"/>
          <w:color w:val="auto"/>
        </w:rPr>
      </w:pPr>
      <w:r>
        <w:rPr>
          <w:rFonts w:ascii="Arial" w:cs="Arial" w:eastAsia="Arial" w:hAnsi="Arial"/>
          <w:sz w:val="18"/>
          <w:szCs w:val="18"/>
          <w:color w:val="auto"/>
        </w:rPr>
        <w:t>flows.</w:t>
      </w:r>
    </w:p>
    <w:p>
      <w:pPr>
        <w:spacing w:after="0" w:line="101"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Net sales of Other Sterile Injectables increased during the three months ended March 31, 2018 primarily due to the launches of ephedrine sulfate injection and neostigmine methylsulfate injection in 2017. Other products within this category benefited from price increases.</w:t>
      </w:r>
    </w:p>
    <w:p>
      <w:pPr>
        <w:spacing w:after="0" w:line="3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i w:val="1"/>
          <w:iCs w:val="1"/>
          <w:color w:val="auto"/>
        </w:rPr>
        <w:t xml:space="preserve">U.S. Generic Pharmaceuticals. </w:t>
      </w:r>
      <w:r>
        <w:rPr>
          <w:rFonts w:ascii="Arial" w:cs="Arial" w:eastAsia="Arial" w:hAnsi="Arial"/>
          <w:sz w:val="17"/>
          <w:szCs w:val="17"/>
          <w:color w:val="auto"/>
        </w:rPr>
        <w:t>Continued competitive pressure on commoditized generic products and the impact of product rationalization initiatives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prior restructurings resulted in revenue decreases for the three months ended March 31, 2018. Additionally, included within this segment’s revenues for the three months ended March 31, 2017 are ezetimibe tablets and quetiapine ER tablets, both of which are first-to-file products launched in the fourth quarter of 2016. Combined net sales for these two products for the three months ended March 31, 2017 were $201.4 million. The marketing exclusivity periods for both ezetimibe tablets and quetiapine ER tablets expired in the second quarter of 2017. As a result, combined revenues for these products declined significantly during the second quarter of 2017 and beyond.</w:t>
      </w:r>
    </w:p>
    <w:p>
      <w:pPr>
        <w:spacing w:after="0" w:line="70"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A portion of this segment’s sales relate to opioid prescription medications. The requirements of the New York state Stewardship Act, which is further described above, or similar requirements that could be enacted by other jurisdictions, could have an adverse effect on the profitability of and cash flows from this segment’s opioid prescription medications.</w:t>
      </w:r>
    </w:p>
    <w:p>
      <w:pPr>
        <w:spacing w:after="0" w:line="7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in revenue for the International Pharmaceuticals segment for the three months ended March 31,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divestiture of Litha in July 2017 and Somar in October 2017. These decreases were partially offset by increased volume across certain products within the segment. For additional detail regarding the divestitures of Litha and Somar refer to Note 3. Discontinued Operations and Divestitures of the Condensed Consolidated Financial Statements included in Part I, Item 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Adjusted income from continuing operations before income tax. </w:t>
      </w:r>
      <w:r>
        <w:rPr>
          <w:rFonts w:ascii="Arial" w:cs="Arial" w:eastAsia="Arial" w:hAnsi="Arial"/>
          <w:sz w:val="18"/>
          <w:szCs w:val="18"/>
          <w:color w:val="auto"/>
        </w:rPr>
        <w:t>The following table displays our Adjusted income from continuing operations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by reportable segment for the three months ended March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 vs. 2017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Branded - Specialty &amp; Established Pharmaceuticals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129,492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U.S. Branded - Sterile Injectables</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169,445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126,467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14,882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351,257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485,973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86"/>
        <w:spacing w:after="0" w:line="226" w:lineRule="auto"/>
        <w:rPr>
          <w:sz w:val="20"/>
          <w:szCs w:val="20"/>
          <w:color w:val="auto"/>
        </w:rPr>
      </w:pPr>
      <w:r>
        <w:rPr>
          <w:rFonts w:ascii="Arial" w:cs="Arial" w:eastAsia="Arial" w:hAnsi="Arial"/>
          <w:sz w:val="18"/>
          <w:szCs w:val="18"/>
          <w:i w:val="1"/>
          <w:iCs w:val="1"/>
          <w:color w:val="auto"/>
        </w:rPr>
        <w:t xml:space="preserve">U.S. Branded - Specialty &amp; Established Pharmaceuticals. </w:t>
      </w:r>
      <w:r>
        <w:rPr>
          <w:rFonts w:ascii="Arial" w:cs="Arial" w:eastAsia="Arial" w:hAnsi="Arial"/>
          <w:sz w:val="18"/>
          <w:szCs w:val="18"/>
          <w:color w:val="auto"/>
        </w:rPr>
        <w:t>Amounts were negatively impacted during the three months ended March 31, 2018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decreased revenues and gross margins related to generic competition and the cessation of shipments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by September 1, 2017 and as a result of increases in R&amp;D expenses related to our cellulite treatment development program.</w:t>
      </w:r>
    </w:p>
    <w:p>
      <w:pPr>
        <w:spacing w:after="0" w:line="96"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i w:val="1"/>
          <w:iCs w:val="1"/>
          <w:color w:val="auto"/>
        </w:rPr>
        <w:t xml:space="preserve">U.S. Branded - Sterile Injectables. </w:t>
      </w:r>
      <w:r>
        <w:rPr>
          <w:rFonts w:ascii="Arial" w:cs="Arial" w:eastAsia="Arial" w:hAnsi="Arial"/>
          <w:sz w:val="18"/>
          <w:szCs w:val="18"/>
          <w:color w:val="auto"/>
        </w:rPr>
        <w:t>The increase for the three months ended March 31, 2018 in adjusted income from continuing operations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for the U.S. Branded - Sterile Injectables segment for three months ended March 31, 2018 was primarily driven by increased revenues and gross margins resulting from strong performance of a variety of products in this segment as described above.</w:t>
      </w:r>
    </w:p>
    <w:p>
      <w:pPr>
        <w:spacing w:after="0" w:line="7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i w:val="1"/>
          <w:iCs w:val="1"/>
          <w:color w:val="auto"/>
        </w:rPr>
        <w:t xml:space="preserve">U.S. Generic Pharmaceuticals. </w:t>
      </w:r>
      <w:r>
        <w:rPr>
          <w:rFonts w:ascii="Arial" w:cs="Arial" w:eastAsia="Arial" w:hAnsi="Arial"/>
          <w:sz w:val="18"/>
          <w:szCs w:val="18"/>
          <w:color w:val="auto"/>
        </w:rPr>
        <w:t>The decrease for the three months ended March 31, 2018 was primarily attributable to decreased revenues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and the resulting reduction to gross margin. Partially offsetting the decrease were cost reductions, including the impact of the 2017 U.S. Generic Pharmaceuticals Restructuring Initiative and the January 2018 Restructuring Initiative, which are described more fully in Note 4. Restructuring of the Condensed Consolidated Financial Statements included in Part I, Item 1.</w:t>
      </w:r>
    </w:p>
    <w:p>
      <w:pPr>
        <w:spacing w:after="0" w:line="79" w:lineRule="exact"/>
        <w:rPr>
          <w:sz w:val="20"/>
          <w:szCs w:val="20"/>
          <w:color w:val="auto"/>
        </w:rPr>
      </w:pPr>
    </w:p>
    <w:p>
      <w:pPr>
        <w:jc w:val="both"/>
        <w:ind w:right="22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for the three months ended March 31, 2018 was primarily attributable to the July 3, 2017 divestiture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Litha and the October 25, 2017 divestiture of Somar.</w:t>
      </w:r>
    </w:p>
    <w:p>
      <w:pPr>
        <w:spacing w:after="0" w:line="62" w:lineRule="exact"/>
        <w:rPr>
          <w:sz w:val="20"/>
          <w:szCs w:val="20"/>
          <w:color w:val="auto"/>
        </w:rPr>
      </w:pPr>
    </w:p>
    <w:p>
      <w:pPr>
        <w:jc w:val="both"/>
        <w:ind w:right="240" w:firstLine="446"/>
        <w:spacing w:after="0" w:line="264" w:lineRule="auto"/>
        <w:rPr>
          <w:sz w:val="20"/>
          <w:szCs w:val="20"/>
          <w:color w:val="auto"/>
        </w:rPr>
      </w:pPr>
      <w:r>
        <w:rPr>
          <w:rFonts w:ascii="Arial" w:cs="Arial" w:eastAsia="Arial" w:hAnsi="Arial"/>
          <w:sz w:val="18"/>
          <w:szCs w:val="18"/>
          <w:color w:val="auto"/>
        </w:rPr>
        <w:t>The table below provides reconciliations of our consolidated Loss from continuing operations before income tax, which is determined in accordance with U.S. GAAP, to our total segment adjusted income from continuing operations before income tax for the three months ended March 31, 2018 and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(177,351)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123,990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111,999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47,468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263,134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Separation benefits and other cost reduction initiatives (2)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impact related to the remeasurement of intercompany debt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351,257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485,973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and facility expenses and certain other income and expenses.</w:t>
      </w:r>
    </w:p>
    <w:p>
      <w:pPr>
        <w:spacing w:after="0" w:line="1" w:lineRule="exact"/>
        <w:rPr>
          <w:rFonts w:ascii="Arial" w:cs="Arial" w:eastAsia="Arial" w:hAnsi="Arial"/>
          <w:sz w:val="14"/>
          <w:szCs w:val="14"/>
          <w:color w:val="auto"/>
        </w:rPr>
      </w:pPr>
    </w:p>
    <w:p>
      <w:pPr>
        <w:ind w:left="580" w:right="60" w:hanging="329"/>
        <w:spacing w:after="0" w:line="241"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primarily relate to employee separation costs of $25.2 million and $20.8 million for the three months ended March 31, 2018 and 2017, respectively. Other amounts for the three months ended March 31, 2018 include accelerated depreciation of $17.1 million, charges to increase excess inventory reserves of $2.4 million and other charges of $4.3 million, each of which related primarily to our restructuring initiatives. During the three months ended March 31, 2017 there were other restructuring costs of $1.9 million. See Note 4. Restructuring of the Condensed Consolidated Financial Statements included in Part I, Item 1 for discussion of our material restructuring initiatives.</w:t>
      </w:r>
    </w:p>
    <w:p>
      <w:pPr>
        <w:spacing w:after="0" w:line="1" w:lineRule="exact"/>
        <w:rPr>
          <w:rFonts w:ascii="Arial" w:cs="Arial" w:eastAsia="Arial" w:hAnsi="Arial"/>
          <w:sz w:val="14"/>
          <w:szCs w:val="14"/>
          <w:color w:val="auto"/>
        </w:rPr>
      </w:pPr>
    </w:p>
    <w:p>
      <w:pPr>
        <w:ind w:left="580" w:right="20" w:hanging="329"/>
        <w:spacing w:after="0" w:line="255"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adjustments for Litigation-related and other contingencies, net as further described in Note 12. Commitments and Contingencies of the Condensed Consolidated Financial Statements included in Part I, Item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right="300" w:hanging="329"/>
        <w:spacing w:after="0" w:line="247"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8. Goodwill and Other Intangibles of the Condensed Consolidated Financial Statements included in Part I, Item 1 as well as charges to write down certain property, plant and equipment as further described in Note 6. Fair Value Measurements of the Condensed Consolidated Financial Statements included in Part I, Item 1.</w:t>
      </w:r>
    </w:p>
    <w:p>
      <w:pPr>
        <w:spacing w:after="0" w:line="1" w:lineRule="exact"/>
        <w:rPr>
          <w:rFonts w:ascii="Arial" w:cs="Arial" w:eastAsia="Arial" w:hAnsi="Arial"/>
          <w:sz w:val="14"/>
          <w:szCs w:val="14"/>
          <w:color w:val="auto"/>
        </w:rPr>
      </w:pPr>
    </w:p>
    <w:p>
      <w:pPr>
        <w:ind w:left="580" w:right="260" w:hanging="329"/>
        <w:spacing w:after="0" w:line="255"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During the three months ended March 31, 2018 and 2017, there were charges due to changes in the fair value of contingent consideration of $6.8 million and $6.2 million, respectively. Additionally, during the three months ended March 31, 2017 there were costs directly associated with previous acquisitions of $4.7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Our principal source of liquidity is cash generated from operations. Our principal liquidity requirements are primarily for working capital for operations, licenses, milestone payments, capital expenditures, contingent liabilities, vaginal mesh liability payments and debt service payments. The Company’s working capital was $120.9 million at March 31, 2018 compared to working capital of $50.2 million at December 31, 2017. The amounts at March 31, 2018 and December 31, 2017 include restricted cash and cash equivalents of $330.0 million and $313.8 million, respectively, held in Qualified Settlement Funds (QSFs) for mesh-related matters. Although these amounts in QSFs are included in working capital, they are required to be used for mesh product liability settlement agreements that are expected to be paid to qualified claimants within the next twelve months.</w:t>
      </w:r>
    </w:p>
    <w:p>
      <w:pPr>
        <w:spacing w:after="0" w:line="5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Cash and cash equivalents, which primarily consisted of bank deposits, time deposits and money market accounts, totaled $980.4 million at March 31, 2018 compared to $986.6 million at December 31, 2017.</w:t>
      </w:r>
    </w:p>
    <w:p>
      <w:pPr>
        <w:spacing w:after="0" w:line="6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expect cash generated from operations together with our cash, cash equivalents, restricted cash and the revolving credit facilities to be sufficient to cover cash needs for working capital and general corporate purposes, contingent liabilities, payment of contractual obligations, principal and interest payments on our indebtedness, capital expenditures, ordinary share repurchases and any regulatory and/or sales milestones that may become due over the next year. However, on a longer term basis, we may not be able to accurately predict the effect of certain developments on the rate of sales growth,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adversely affect our future cash flows.</w:t>
      </w:r>
    </w:p>
    <w:p>
      <w:pPr>
        <w:spacing w:after="0" w:line="7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may need to obtain additional funding to repay our outstanding indebtedness, for our future operational needs or for future transactions. We have historically had broad access to financial markets that provide liquidity; however, we cannot be certain that funding will be available on terms acceptable to us, or at all. Any issuances of equity securities or convertible securities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5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Borrowings. </w:t>
      </w:r>
      <w:r>
        <w:rPr>
          <w:rFonts w:ascii="Arial" w:cs="Arial" w:eastAsia="Arial" w:hAnsi="Arial"/>
          <w:sz w:val="18"/>
          <w:szCs w:val="18"/>
          <w:color w:val="auto"/>
        </w:rPr>
        <w:t>At March 31, 2018, under the 2017 Credit Agreement, the Company had outstanding borrowings in an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$3,389.4 million and additional availability of approximately $996.8 million under the 2017 Revolving Credit Facility.</w:t>
      </w:r>
    </w:p>
    <w:p>
      <w:pPr>
        <w:spacing w:after="0" w:line="62"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2017 Credit Agreement contains affirmative and negative covenants that the Company believes to be usual and customary for a senior secured credit facility. The negative covenants include, among other things, limitations on asset sales, mergers and acquisitions, indebtedness, liens, dividends and other restrictive payments, investments and transactions with the Company’s affiliates. As of March 31, 2018, we were in compliance with all such covenants.</w:t>
      </w:r>
    </w:p>
    <w:p>
      <w:pPr>
        <w:spacing w:after="0" w:line="3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At March 31, 2018, the Company’s indebtedness also includes senior notes with aggregate principal amounts totaling $5.0 billion. These notes mature between 2022 and 2025, subject to earlier repurchase or redemption in accordance with the terms of the respective indentures. Interest rates on these notes range from 5.375% to 7.25%. Other than the 5.875% Senior Secured Notes due 2024, these notes are senior unsecured obligations of the Company’s subsidiaries party to the applicable indenture governing such notes. These notes are issued by certain of our subsidiaries and are guaranteed on a senior unsecured basis by the subsidiaries of Endo International plc that also guarantee our 2017 Credit Agreement, except for a de minimis amount of the 7.25% Senior Notes due 2022, which are issued by Endo Health Solutions Inc. and guaranteed on a senior unsecured basis by the guarantors named in the Fifth Supplemental Indenture relating to such notes. The 5.875% Senior Secured Notes due 2024 are senior secured obligations of Endo International plc and its subsidiaries that are party to the indenture governing such notes. These notes are issued by certain of our subsidiaries and are guaranteed on a senior secured basis by Endo International plc and its subsidiaries that also guarantee our 2017 Credit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indentures governing our various senior notes contain affirmative and negative covenants that the Company believes to be usual and customary for similar indentures. The negative covenants, among other things, restrict the Company’s ability, and the ability of its restricted subsidiaries, to incur certain additional indebtedness and issue preferred stock, make certain investments and restricted payments, sell certain assets, enter into sale and leaseback transactions, agree to payment restrictions on the ability of restricted subsidiaries to make certain payments to Endo International plc or any of its restricted subsidiaries, create certain liens, merge, consolidate or sell all or substantially all of the Company’s assets or enter into certain transactions with affiliates. As of March 31, 2018, we were in compliance with all covenants.</w:t>
      </w:r>
    </w:p>
    <w:p>
      <w:pPr>
        <w:spacing w:after="0" w:line="85"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 xml:space="preserve">The obligations of the borrowers under the 2017 Credit Agreement are guaranteed by the Company and the subsidiaries of the Company (with certain customary exceptions) (the “Guarantors” and, together with the Borrowers, the “Loan Parties”). The obligations (i) under the 2017 Credit Agreement and related loan documents and (ii) the indenture governing the 5.875% Senior Secured Notes due 2024 and related documents are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by a perfected first priority (subject to permitted liens) lien on substantially all of the assets of the Loan Parties (subject to customary exceptions).</w:t>
      </w:r>
    </w:p>
    <w:p>
      <w:pPr>
        <w:spacing w:after="0" w:line="4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B2 with a negative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stable outlook,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The components of our working capital and our liquidity at March 31, 2018 and December 31, 2017 are below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2,208,454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2,271,077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total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(2,087,599)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(2,220,909)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120,855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50,168</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Current ratio</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r>
    </w:tbl>
    <w:p>
      <w:pPr>
        <w:spacing w:after="0" w:line="12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Net working capital increased by $70.7 million from December 31, 2017 to March 31, 2018. This increase reflects the favorable impact to net current assets resulting from operations during the three months ended March 31, 2018 and was partially offset by reclassification adjustments for litigation-related liabilities from non-current to current liabilities of $68.4 million and purchases of property, plant and equipment, excluding capitalized interest, of $24.9 million.</w:t>
      </w:r>
    </w:p>
    <w:p>
      <w:pPr>
        <w:spacing w:after="0" w:line="7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 summarizes our Condensed Consolidated Statements of Cash Flows for the three months ended March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48,846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167,763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Movement in cash held for sale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96,514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Net cash provided by operating activities was $48.8 million for the three months ended March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$167.8 million of net cash provided by operating activities in the comparable 2017 period.</w:t>
      </w:r>
    </w:p>
    <w:p>
      <w:pPr>
        <w:spacing w:after="0" w:line="62"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Net cash provided by operating activities represents the cash receipts and cash disbursements from all of our activities other than 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7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$118.9 million decrease in Net cash provided by operating activities for the three months ended March 31, 2018 compared to the comparable 2017 period was primarily the result of the timing of cash collections and cash payments related to our operations. In particular, net sales of ezetimibe tablets and quetiapine ER tablets, which were launched in the fourth quarter of 2016 and for which the marketing exclusivity periods expired in the second quarter of 2017, generated significant cash receipts during the three months ended March 31, 2017 that did not reoccur during the same period in 2018. Additionally, cash paid for interest for the three months ended March 31, 2018 increased as compared to the comparable 2017 period as a result of the April 2017 refinancing and changes in interest rates. These decreases were offset by a decline in cash outlays for mesh settlements, which decreased $193.6 million during the three months March 31, 2018 compared to the comparable 2017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Net cash used in investing activities. </w:t>
      </w:r>
      <w:r>
        <w:rPr>
          <w:rFonts w:ascii="Arial" w:cs="Arial" w:eastAsia="Arial" w:hAnsi="Arial"/>
          <w:sz w:val="18"/>
          <w:szCs w:val="18"/>
          <w:color w:val="auto"/>
        </w:rPr>
        <w:t>Net cash used in investing activities was $15.6 million for the three months ended March 31, 2018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$11.0 million used in investing activities in the comparable 2017 period.</w:t>
      </w:r>
    </w:p>
    <w:p>
      <w:pPr>
        <w:spacing w:after="0" w:line="6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This $4.6 million change in cash used in investing activities for the three months ended March 31, 2018 compared to cash used in investing activities in the comparable 2017 reflects a decrease in net proceeds from the sales of businesses and other assets of $2.9 million and certain other items.</w:t>
      </w:r>
    </w:p>
    <w:p>
      <w:pPr>
        <w:spacing w:after="0" w:line="16" w:lineRule="exact"/>
        <w:rPr>
          <w:sz w:val="20"/>
          <w:szCs w:val="20"/>
          <w:color w:val="auto"/>
        </w:rPr>
      </w:pPr>
    </w:p>
    <w:p>
      <w:pPr>
        <w:jc w:val="both"/>
        <w:ind w:right="1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Net cash used in financing activities. </w:t>
      </w:r>
      <w:r>
        <w:rPr>
          <w:rFonts w:ascii="Arial" w:cs="Arial" w:eastAsia="Arial" w:hAnsi="Arial"/>
          <w:sz w:val="18"/>
          <w:szCs w:val="18"/>
          <w:color w:val="auto"/>
        </w:rPr>
        <w:t>Net cash used in financing activities was $23.4 million for the three months ended March 31, 2018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$53.2 million used in financing activities in the comparable 2017 period.</w:t>
      </w:r>
    </w:p>
    <w:p>
      <w:pPr>
        <w:spacing w:after="0" w:line="62"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Items contributing to the $29.8 million decrease in cash used in financing activities for the three months ended March 31, 2018 compared to cash used in financing activities in the comparable 2017 period include a decrease in principal payments on term loans of $19.1 million and a decrease in payments for contingent consideration of $11.3 million.</w:t>
      </w:r>
    </w:p>
    <w:p>
      <w:pPr>
        <w:spacing w:after="0" w:line="73"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As of March 31, 2018, there were no material changes in our contractual obligations from those disclosed in our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 on Form 10-K for the year ended December 31, 2017, filed with the Securities and Exchange Commission on February 27, 2018.</w:t>
      </w:r>
    </w:p>
    <w:p>
      <w:pPr>
        <w:spacing w:after="0" w:line="3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timing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Significant changes to our critical accounting estimates since December 31, 2017 are detailed below. For additional discussion of the Company’s critical accounting estimates, see “Critical Accounting Estimates” in Item 7 of our Annual Report on Form 10-K for the year ended December 31, 2017 filed with the Securities and Exchange Commission on February 27,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Company adopted ASC 606 on January 1, 2018 using the modified retrospective method for all revenue-generating contracts, including modifications thereto, that were not completed contracts at the date of adoption. For further discussion of the impact of adoption, refer to Note 2. Summary of Significant Accounting Policies of the Condensed Consolidated Financial Statements included in Part I, Item 1.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7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Our revenue consists almost entirely of sales of our pharmaceutical products to customers, whereby we ship product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distribution service agreement and other fees for services, returns and allowances. The variable component of the transaction price is estimated based on historical experience, estimated future trends, estimated customer inventory levels, current contract sales terms with our direct and indirect customers and other competitive factors. Variable consideration is included in the transaction price only to the extent that it is probable that a significant revenue reversal will not occur when the uncertainty associated with the variable consideration is resolved.</w:t>
      </w:r>
    </w:p>
    <w:p>
      <w:pPr>
        <w:spacing w:after="0" w:line="58"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entered into distribution service agreements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further described in Note 8. Goodwill and Other Intangibles of the Condensed Consolidated Financial Statements included in Part I, Item 1, as a result of the first quarter 2018 change in reportable segments and resulting goodwill impairment tests performed during the three months ended March 31, 2018, we recorded a pre-tax, non-cash goodwill impairment charge relating to our new U.S. Generic Pharmaceuticals reporting unit of $391.0 million. A 50 basis point increase in the assumed discount rate used in the impairment test would have increased this goodwill impairment charge by approximately $60 million. Additionally, with respect to the first quarter 2018 goodwill impairment tests performed related to our former Generics and new U.S. Branded - Sterile Injectables reporting units, which did not result in impairment charges, a 50 basis point increase in the assumed discount rates would not have changed the results of these tests.</w:t>
      </w:r>
    </w:p>
    <w:p>
      <w:pPr>
        <w:spacing w:after="0" w:line="81"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and could result in the fair value of a reporting unit being less than its carrying amount in the impairment test. Any resulting non-cash impairment charges could be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a discussion of recent accounting pronouncements, refer to Note 2. Summary of Significant Accounting Policies in the Condensed Consolidated Financial Statements in Part I, Item 1.</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exposure to interest rate risk relates primarily to our variable rate indebtedness associated with our term loan and revolving credit facilities. At March 31, 2018, our variable-rate debt borrowings related to our term loan facilities and had an aggregate principal amount of $3.4 billion. Borrowings under our credit facilities bear interest at a LIBOR-based variable rate. A hypothetical 1% increase in the applicable rate over the floor would result in $33.9 million in incremental annual interest expense related to our variable-rate debt borrowings.</w:t>
      </w:r>
    </w:p>
    <w:p>
      <w:pPr>
        <w:spacing w:after="0" w:line="7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To the extent that we utilize amounts under our revolving credit facilities or take on additional variable rate indebtedness, we will be exposed to additional interest rate risk.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2018 and December 31, 2017, we had no other assets or liabilities with significant interest rate sensitivity.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 currency costs as well as managing foreign currency assets in relation to same currency liabilities. The Company is also exposed to the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using current or historic exchange rates. Such remeasurement adjustments could have an adverse effect on the Company’s results of operations.</w:t>
      </w:r>
    </w:p>
    <w:p>
      <w:pPr>
        <w:spacing w:after="0" w:line="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in shareholders' (deficit) equity. Gains and losses on foreign currency transactions and short-term intercompany receivables from foreign subsidiaries are included in Other income, net in the Condensed Consolidated Statements of Operations. Refer to Note 15. Other income, net in Part I, Item 1 for the amount of Foreign currency gain, net.</w:t>
      </w:r>
    </w:p>
    <w:p>
      <w:pPr>
        <w:spacing w:after="0" w:line="8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Based on the Company’s significant foreign currency denominated intercompany loans existing at March 31, 2018, we estimate that a 10% change in the underlying currencies of our foreign currency denominated intercompany loans, relative to the U.S. Dollar, could result in approximately $9 million in incremental foreign currency losses.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March 31, 2018. Based on that evaluation, the Company’s Chief Executive Officer and Principal Financial Officer concluded that the Company’s disclosure controls and procedures were effective as of March 31, 2018.</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March 31, 2018 that have materially affected, or are reasonably likely to materially affect, the Company’s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18" w:right="2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disclosures under Note 12.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For a discussion of our risk factors, see the information in Item 1A. “Risk Factors” in our Annual Report on Form 10-K for the year ended December 31, 2017 (Annual Report). There have been no material changes in our risk factors from those described in our Annual Report, except as set forth below.</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may be adversely affected by legislation.</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April 2018, New York enacted a statute called the Opioid Stewardship Act (the Stewardship Act), which, among other things, requires certain sellers and distributors of certain opioids in the state of New York (the Contributing Parties) to make payments to a newly created Opioid Stewardship Fund (the Fund). The Contributing Parties will be required to pay a total of up to $100 million annually into the Fund, with each Contributing Party’s share based on the total amount of morphine milligram equivalents of certain opioids sold or distributed by the Contributing Party in the state of New York during the preceding calendar year, subject to potential adjustments by the New York State Department of Health. Failure of a Contributing Party to make required reports or pay its ratable share, or a Contributing Party passing on the cost of its ratable share to a purchaser, may subject the Contributing Party to penalties. While the effect of this legislation remains uncertain, it is likely that we may be deemed to be a Contributing Party and therefore be required to make payments to the Fund and take additional actions to comply with the Stewardship Act. Furthermore, the application of the Stewardship Act may require additional regulatory guidance, which could be substantially delayed, increasing the uncertainty as to the ultimate effect of the Stewardship Act on us. If we are ultimately deemed to be a Contributing Party, compliance with the requirements of the Stewardship Act, or similar requirements that could be enacted by other jurisdictions, could have an adverse effect on our business, results of operations, financial condition and cash flows.</w:t>
      </w:r>
    </w:p>
    <w:p>
      <w:pPr>
        <w:spacing w:after="0" w:line="1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March 31, 2018.</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Item 6.</w:t>
            </w:r>
          </w:p>
        </w:tc>
        <w:tc>
          <w:tcPr>
            <w:tcW w:w="5600" w:type="dxa"/>
            <w:vAlign w:val="bottom"/>
            <w:gridSpan w:val="15"/>
          </w:tcPr>
          <w:p>
            <w:pPr>
              <w:ind w:left="60"/>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73"/>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Number</w:t>
            </w:r>
          </w:p>
        </w:tc>
        <w:tc>
          <w:tcPr>
            <w:tcW w:w="560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5340" w:type="dxa"/>
            <w:vAlign w:val="bottom"/>
            <w:tcBorders>
              <w:bottom w:val="single" w:sz="8" w:color="0000FF"/>
            </w:tcBorders>
            <w:gridSpan w:val="10"/>
          </w:tcPr>
          <w:p>
            <w:pPr>
              <w:spacing w:after="0"/>
              <w:rPr>
                <w:rFonts w:ascii="Arial" w:cs="Arial" w:eastAsia="Arial" w:hAnsi="Arial"/>
                <w:sz w:val="18"/>
                <w:szCs w:val="18"/>
                <w:color w:val="0000FF"/>
                <w:w w:val="89"/>
              </w:rPr>
            </w:pPr>
            <w:hyperlink r:id="rId8">
              <w:r>
                <w:rPr>
                  <w:rFonts w:ascii="Arial" w:cs="Arial" w:eastAsia="Arial" w:hAnsi="Arial"/>
                  <w:sz w:val="18"/>
                  <w:szCs w:val="18"/>
                  <w:color w:val="0000FF"/>
                  <w:w w:val="89"/>
                </w:rPr>
                <w:t>Membership Interest and Asset Purchase Agreement, by and among Endo</w:t>
              </w:r>
            </w:hyperlink>
          </w:p>
        </w:tc>
        <w:tc>
          <w:tcPr>
            <w:tcW w:w="260" w:type="dxa"/>
            <w:vAlign w:val="bottom"/>
            <w:gridSpan w:val="5"/>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060" w:type="dxa"/>
            <w:vAlign w:val="bottom"/>
            <w:gridSpan w:val="2"/>
          </w:tcPr>
          <w:p>
            <w:pPr>
              <w:spacing w:after="0"/>
              <w:rPr>
                <w:sz w:val="20"/>
                <w:szCs w:val="20"/>
                <w:color w:val="auto"/>
              </w:rPr>
            </w:pPr>
            <w:r>
              <w:rPr>
                <w:rFonts w:ascii="Arial" w:cs="Arial" w:eastAsia="Arial" w:hAnsi="Arial"/>
                <w:sz w:val="18"/>
                <w:szCs w:val="18"/>
                <w:color w:val="auto"/>
                <w:w w:val="93"/>
              </w:rPr>
              <w:t>April 26, 2018</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
              <w:r>
                <w:rPr>
                  <w:rFonts w:ascii="Arial" w:cs="Arial" w:eastAsia="Arial" w:hAnsi="Arial"/>
                  <w:sz w:val="18"/>
                  <w:szCs w:val="18"/>
                  <w:color w:val="0000FF"/>
                  <w:w w:val="91"/>
                </w:rPr>
                <w:t>Ventures Limited, Par Pharmaceutical, Inc., Mendham Holdings, LLC and</w:t>
              </w:r>
            </w:hyperlink>
          </w:p>
        </w:tc>
        <w:tc>
          <w:tcPr>
            <w:tcW w:w="2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gridSpan w:val="15"/>
          </w:tcPr>
          <w:p>
            <w:pPr>
              <w:spacing w:after="0" w:line="196" w:lineRule="exact"/>
              <w:rPr>
                <w:rFonts w:ascii="Arial" w:cs="Arial" w:eastAsia="Arial" w:hAnsi="Arial"/>
                <w:sz w:val="18"/>
                <w:szCs w:val="18"/>
                <w:color w:val="0000FF"/>
              </w:rPr>
            </w:pPr>
            <w:hyperlink r:id="rId8">
              <w:r>
                <w:rPr>
                  <w:rFonts w:ascii="Arial" w:cs="Arial" w:eastAsia="Arial" w:hAnsi="Arial"/>
                  <w:sz w:val="18"/>
                  <w:szCs w:val="18"/>
                  <w:color w:val="0000FF"/>
                </w:rPr>
                <w:t>certain parties listed therein, dated April 26, 2018*</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1"/>
                <w:szCs w:val="21"/>
                <w:color w:val="auto"/>
              </w:rPr>
            </w:pPr>
          </w:p>
        </w:tc>
        <w:tc>
          <w:tcPr>
            <w:tcW w:w="53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Form of Performance Award Agreement under the Endo International plc</w:t>
              </w:r>
            </w:hyperlink>
          </w:p>
        </w:tc>
        <w:tc>
          <w:tcPr>
            <w:tcW w:w="300" w:type="dxa"/>
            <w:vAlign w:val="bottom"/>
            <w:gridSpan w:val="7"/>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Amended and Restated 2015 Stock Incentive Plan</w:t>
              </w:r>
            </w:hyperlink>
          </w:p>
        </w:tc>
        <w:tc>
          <w:tcPr>
            <w:tcW w:w="194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1"/>
                <w:szCs w:val="21"/>
                <w:color w:val="auto"/>
              </w:rPr>
            </w:pPr>
          </w:p>
        </w:tc>
        <w:tc>
          <w:tcPr>
            <w:tcW w:w="54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Certification of the President and Chief Executive Officer of Endo pursuant</w:t>
              </w:r>
            </w:hyperlink>
          </w:p>
        </w:tc>
        <w:tc>
          <w:tcPr>
            <w:tcW w:w="14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gridSpan w:val="15"/>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to Section 302 of the Sarbanes-Oxley Act 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1"/>
                <w:szCs w:val="21"/>
                <w:color w:val="auto"/>
              </w:rPr>
            </w:pPr>
          </w:p>
        </w:tc>
        <w:tc>
          <w:tcPr>
            <w:tcW w:w="548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Certification of the Chief Financial Officer of Endo pursuant to Section 302</w:t>
              </w:r>
            </w:hyperlink>
          </w:p>
        </w:tc>
        <w:tc>
          <w:tcPr>
            <w:tcW w:w="120" w:type="dxa"/>
            <w:vAlign w:val="bottom"/>
            <w:gridSpan w:val="2"/>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of the Sarbanes-Oxley Act of 2002</w:t>
              </w:r>
            </w:hyperlink>
          </w:p>
        </w:tc>
        <w:tc>
          <w:tcPr>
            <w:tcW w:w="308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1"/>
                <w:szCs w:val="21"/>
                <w:color w:val="auto"/>
              </w:rPr>
            </w:pPr>
          </w:p>
        </w:tc>
        <w:tc>
          <w:tcPr>
            <w:tcW w:w="54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Certification of the President and Chief Executive Officer of Endo pursuant</w:t>
              </w:r>
            </w:hyperlink>
          </w:p>
        </w:tc>
        <w:tc>
          <w:tcPr>
            <w:tcW w:w="14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to 18 U.S.C. Section 1350, as adopted pursuant to Section 906 of the</w:t>
              </w:r>
            </w:hyperlink>
          </w:p>
        </w:tc>
        <w:tc>
          <w:tcPr>
            <w:tcW w:w="6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76">
              <w:r>
                <w:rPr>
                  <w:rFonts w:ascii="Arial" w:cs="Arial" w:eastAsia="Arial" w:hAnsi="Arial"/>
                  <w:sz w:val="18"/>
                  <w:szCs w:val="18"/>
                  <w:color w:val="0000FF"/>
                  <w:w w:val="90"/>
                </w:rPr>
                <w:t>Sarbanes-Oxley Act of 2002</w:t>
              </w:r>
            </w:hyperlink>
          </w:p>
        </w:tc>
        <w:tc>
          <w:tcPr>
            <w:tcW w:w="354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1"/>
                <w:szCs w:val="21"/>
                <w:color w:val="auto"/>
              </w:rPr>
            </w:pPr>
          </w:p>
        </w:tc>
        <w:tc>
          <w:tcPr>
            <w:tcW w:w="5600" w:type="dxa"/>
            <w:vAlign w:val="bottom"/>
            <w:gridSpan w:val="15"/>
          </w:tcPr>
          <w:p>
            <w:pPr>
              <w:spacing w:after="0"/>
              <w:rPr>
                <w:rFonts w:ascii="Arial" w:cs="Arial" w:eastAsia="Arial" w:hAnsi="Arial"/>
                <w:sz w:val="18"/>
                <w:szCs w:val="18"/>
                <w:color w:val="0000FF"/>
                <w:w w:val="97"/>
              </w:rPr>
            </w:pPr>
            <w:hyperlink w:anchor="page77">
              <w:r>
                <w:rPr>
                  <w:rFonts w:ascii="Arial" w:cs="Arial" w:eastAsia="Arial" w:hAnsi="Arial"/>
                  <w:sz w:val="18"/>
                  <w:szCs w:val="18"/>
                  <w:color w:val="0000FF"/>
                  <w:w w:val="97"/>
                </w:rPr>
                <w:t>Certification of the Chief Financial Officer of Endo pursuant to 18 U.S.C.</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760" w:type="dxa"/>
            <w:vAlign w:val="bottom"/>
            <w:gridSpan w:val="8"/>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Section 1350, as adopted pursuant to Section 906 of the Sarbanes-Oxley Act</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gridSpan w:val="15"/>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5600" w:type="dxa"/>
            <w:vAlign w:val="bottom"/>
            <w:gridSpan w:val="15"/>
          </w:tcPr>
          <w:p>
            <w:pPr>
              <w:spacing w:after="0"/>
              <w:rPr>
                <w:sz w:val="20"/>
                <w:szCs w:val="20"/>
                <w:color w:val="auto"/>
              </w:rPr>
            </w:pPr>
            <w:r>
              <w:rPr>
                <w:rFonts w:ascii="Arial" w:cs="Arial" w:eastAsia="Arial" w:hAnsi="Arial"/>
                <w:sz w:val="18"/>
                <w:szCs w:val="18"/>
                <w:color w:val="auto"/>
                <w:w w:val="96"/>
              </w:rPr>
              <w:t>The following materials from Endo International plc’s Quarterly Report on</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gridSpan w:val="15"/>
          </w:tcPr>
          <w:p>
            <w:pPr>
              <w:spacing w:after="0"/>
              <w:rPr>
                <w:sz w:val="20"/>
                <w:szCs w:val="20"/>
                <w:color w:val="auto"/>
              </w:rPr>
            </w:pPr>
            <w:r>
              <w:rPr>
                <w:rFonts w:ascii="Arial" w:cs="Arial" w:eastAsia="Arial" w:hAnsi="Arial"/>
                <w:sz w:val="18"/>
                <w:szCs w:val="18"/>
                <w:color w:val="auto"/>
              </w:rPr>
              <w:t>Form 10-Q for the quarter ended March 31, 2018, formatted in XBRL</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840" w:right="4900"/>
        <w:spacing w:after="0" w:line="264" w:lineRule="auto"/>
        <w:rPr>
          <w:sz w:val="20"/>
          <w:szCs w:val="20"/>
          <w:color w:val="auto"/>
        </w:rPr>
      </w:pPr>
      <w:r>
        <w:rPr>
          <w:rFonts w:ascii="Arial" w:cs="Arial" w:eastAsia="Arial" w:hAnsi="Arial"/>
          <w:sz w:val="18"/>
          <w:szCs w:val="18"/>
          <w:color w:val="auto"/>
        </w:rPr>
        <w:t>(iii) the Condensed Consolidated Statements of Comprehensive Loss, (iv) the Condensed Consolidated Statements of Cash Flows and (v) the Notes to Condensed Consolidated Financial Statements</w:t>
      </w:r>
    </w:p>
    <w:p>
      <w:pPr>
        <w:spacing w:after="0" w:line="19" w:lineRule="exact"/>
        <w:rPr>
          <w:sz w:val="20"/>
          <w:szCs w:val="20"/>
          <w:color w:val="auto"/>
        </w:rPr>
      </w:pPr>
    </w:p>
    <w:p>
      <w:pPr>
        <w:ind w:left="840" w:hanging="810"/>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Schedules and exhibits have been omitted pursuant to Item 601(b)(2) of Regulation S-K. A copy of any omitted schedule or exhibit will be furnished supplementally to the Securities and Exchange Commission upon request; provided, however that Endo International plc may request confidential treatment pursuant to Rule 24b-2 of the Securities Exchange Act of 1934, as amended, for any schedules or exhibits so furnished.</w:t>
      </w: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118" w:right="4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48"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(Registrant)</w:t>
      </w: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Paul V. Campanelli</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Financial Officer)</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118" w:right="3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Grant No.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ENDO INTERNATIONAL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344" w:lineRule="exact"/>
        <w:rPr>
          <w:sz w:val="20"/>
          <w:szCs w:val="20"/>
          <w:color w:val="auto"/>
        </w:rPr>
      </w:pPr>
    </w:p>
    <w:p>
      <w:pPr>
        <w:ind w:right="100" w:firstLine="1297"/>
        <w:spacing w:after="0" w:line="264" w:lineRule="auto"/>
        <w:rPr>
          <w:sz w:val="20"/>
          <w:szCs w:val="20"/>
          <w:color w:val="auto"/>
        </w:rPr>
      </w:pPr>
      <w:r>
        <w:rPr>
          <w:rFonts w:ascii="Arial" w:cs="Arial" w:eastAsia="Arial" w:hAnsi="Arial"/>
          <w:sz w:val="21"/>
          <w:szCs w:val="21"/>
          <w:color w:val="auto"/>
        </w:rPr>
        <w:t>This Performance Award Agreement (this “</w:t>
      </w:r>
      <w:r>
        <w:rPr>
          <w:rFonts w:ascii="Arial" w:cs="Arial" w:eastAsia="Arial" w:hAnsi="Arial"/>
          <w:sz w:val="21"/>
          <w:szCs w:val="21"/>
          <w:b w:val="1"/>
          <w:bCs w:val="1"/>
          <w:color w:val="auto"/>
        </w:rPr>
        <w:t>Award Agreement</w:t>
      </w:r>
      <w:r>
        <w:rPr>
          <w:rFonts w:ascii="Arial" w:cs="Arial" w:eastAsia="Arial" w:hAnsi="Arial"/>
          <w:sz w:val="21"/>
          <w:szCs w:val="21"/>
          <w:color w:val="auto"/>
        </w:rPr>
        <w:t>”) is made and entered into as of the date of grant set forth below (the “</w:t>
      </w:r>
      <w:r>
        <w:rPr>
          <w:rFonts w:ascii="Arial" w:cs="Arial" w:eastAsia="Arial" w:hAnsi="Arial"/>
          <w:sz w:val="21"/>
          <w:szCs w:val="21"/>
          <w:b w:val="1"/>
          <w:bCs w:val="1"/>
          <w:color w:val="auto"/>
        </w:rPr>
        <w:t>Date of Grant</w:t>
      </w:r>
      <w:r>
        <w:rPr>
          <w:rFonts w:ascii="Arial" w:cs="Arial" w:eastAsia="Arial" w:hAnsi="Arial"/>
          <w:sz w:val="21"/>
          <w:szCs w:val="21"/>
          <w:color w:val="auto"/>
        </w:rPr>
        <w:t>”) by and between Endo International plc, an Irish public limited company (the “</w:t>
      </w:r>
      <w:r>
        <w:rPr>
          <w:rFonts w:ascii="Arial" w:cs="Arial" w:eastAsia="Arial" w:hAnsi="Arial"/>
          <w:sz w:val="21"/>
          <w:szCs w:val="21"/>
          <w:b w:val="1"/>
          <w:bCs w:val="1"/>
          <w:color w:val="auto"/>
        </w:rPr>
        <w:t>Company</w:t>
      </w:r>
      <w:r>
        <w:rPr>
          <w:rFonts w:ascii="Arial" w:cs="Arial" w:eastAsia="Arial" w:hAnsi="Arial"/>
          <w:sz w:val="21"/>
          <w:szCs w:val="21"/>
          <w:color w:val="auto"/>
        </w:rPr>
        <w:t>”), and the participant named below (the “</w:t>
      </w:r>
      <w:r>
        <w:rPr>
          <w:rFonts w:ascii="Arial" w:cs="Arial" w:eastAsia="Arial" w:hAnsi="Arial"/>
          <w:sz w:val="21"/>
          <w:szCs w:val="21"/>
          <w:b w:val="1"/>
          <w:bCs w:val="1"/>
          <w:color w:val="auto"/>
        </w:rPr>
        <w:t>Participant</w:t>
      </w:r>
      <w:r>
        <w:rPr>
          <w:rFonts w:ascii="Arial" w:cs="Arial" w:eastAsia="Arial" w:hAnsi="Arial"/>
          <w:sz w:val="21"/>
          <w:szCs w:val="21"/>
          <w:color w:val="auto"/>
        </w:rPr>
        <w:t>”). Capitalized terms not defined herein shall have the meanings ascribed to them in the Company’s Amended and Restated 2015 Stock Incentive Plan (the “</w:t>
      </w:r>
      <w:r>
        <w:rPr>
          <w:rFonts w:ascii="Arial" w:cs="Arial" w:eastAsia="Arial" w:hAnsi="Arial"/>
          <w:sz w:val="21"/>
          <w:szCs w:val="21"/>
          <w:b w:val="1"/>
          <w:bCs w:val="1"/>
          <w:color w:val="auto"/>
        </w:rPr>
        <w:t>Plan</w:t>
      </w:r>
      <w:r>
        <w:rPr>
          <w:rFonts w:ascii="Arial" w:cs="Arial" w:eastAsia="Arial" w:hAnsi="Arial"/>
          <w:sz w:val="21"/>
          <w:szCs w:val="21"/>
          <w:color w:val="auto"/>
        </w:rPr>
        <w:t>”). Where the context permits, references to the Company shall include any successor to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Name of Participant:</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Total Target Performance Award (Total Number of Restricted Stock Units Underlying the Target Performance Award):</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Date of Grant: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Performance Period for the TSR PerformanceThe period beginning on the Date of Grant and ending on the third anniversary of the</w:t>
      </w:r>
    </w:p>
    <w:p>
      <w:pPr>
        <w:spacing w:after="0" w:line="56" w:lineRule="exact"/>
        <w:rPr>
          <w:sz w:val="20"/>
          <w:szCs w:val="20"/>
          <w:color w:val="auto"/>
        </w:rPr>
      </w:pPr>
    </w:p>
    <w:p>
      <w:pPr>
        <w:spacing w:after="0"/>
        <w:tabs>
          <w:tab w:leader="none" w:pos="3960" w:val="left"/>
        </w:tabs>
        <w:rPr>
          <w:sz w:val="20"/>
          <w:szCs w:val="20"/>
          <w:color w:val="auto"/>
        </w:rPr>
      </w:pPr>
      <w:r>
        <w:rPr>
          <w:rFonts w:ascii="Arial" w:cs="Arial" w:eastAsia="Arial" w:hAnsi="Arial"/>
          <w:sz w:val="22"/>
          <w:szCs w:val="22"/>
          <w:color w:val="auto"/>
        </w:rPr>
        <w:t>Award:</w:t>
      </w:r>
      <w:r>
        <w:rPr>
          <w:sz w:val="20"/>
          <w:szCs w:val="20"/>
          <w:color w:val="auto"/>
        </w:rPr>
        <w:tab/>
      </w:r>
      <w:r>
        <w:rPr>
          <w:rFonts w:ascii="Arial" w:cs="Arial" w:eastAsia="Arial" w:hAnsi="Arial"/>
          <w:sz w:val="22"/>
          <w:szCs w:val="22"/>
          <w:color w:val="auto"/>
        </w:rPr>
        <w:t>Date of Grant.</w:t>
      </w:r>
    </w:p>
    <w:p>
      <w:pPr>
        <w:sectPr>
          <w:pgSz w:w="11900" w:h="16838" w:orient="portrait"/>
          <w:cols w:equalWidth="0" w:num="1">
            <w:col w:w="11420"/>
          </w:cols>
          <w:pgMar w:left="240" w:top="121" w:right="239" w:bottom="1440" w:gutter="0" w:footer="0" w:header="0"/>
        </w:sectPr>
      </w:pPr>
    </w:p>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Performance Period for the FCF Performance Award: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Each of three successive annual periods, the first of which begins on the first day of the Company’s fiscal year that includes the Date of Grant.</w:t>
      </w:r>
    </w:p>
    <w:p>
      <w:pPr>
        <w:spacing w:after="0" w:line="200" w:lineRule="exact"/>
        <w:rPr>
          <w:sz w:val="20"/>
          <w:szCs w:val="20"/>
          <w:color w:val="auto"/>
        </w:rPr>
      </w:pPr>
    </w:p>
    <w:p>
      <w:pPr>
        <w:sectPr>
          <w:pgSz w:w="11900" w:h="16838" w:orient="portrait"/>
          <w:cols w:equalWidth="0" w:num="2">
            <w:col w:w="2800" w:space="320"/>
            <w:col w:w="8300"/>
          </w:cols>
          <w:pgMar w:left="240" w:top="121" w:right="239" w:bottom="1440" w:gutter="0" w:footer="0" w:header="0"/>
          <w:type w:val="continuous"/>
        </w:sectPr>
      </w:pPr>
    </w:p>
    <w:p>
      <w:pPr>
        <w:spacing w:after="0" w:line="15" w:lineRule="exact"/>
        <w:rPr>
          <w:sz w:val="20"/>
          <w:szCs w:val="20"/>
          <w:color w:val="auto"/>
        </w:rPr>
      </w:pPr>
    </w:p>
    <w:p>
      <w:pPr>
        <w:ind w:right="140" w:firstLine="1305"/>
        <w:spacing w:after="0" w:line="297" w:lineRule="auto"/>
        <w:tabs>
          <w:tab w:leader="none" w:pos="167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Grant of Performance Awards</w:t>
      </w:r>
      <w:r>
        <w:rPr>
          <w:rFonts w:ascii="Arial" w:cs="Arial" w:eastAsia="Arial" w:hAnsi="Arial"/>
          <w:sz w:val="19"/>
          <w:szCs w:val="19"/>
          <w:color w:val="auto"/>
        </w:rPr>
        <w:t>. The Company hereby grants to the Participant the total number of restricted stock units set forth above, fifty percent (50%) of which shall be subject to Total Shareholder Return performance targets (the “</w:t>
      </w:r>
      <w:r>
        <w:rPr>
          <w:rFonts w:ascii="Arial" w:cs="Arial" w:eastAsia="Arial" w:hAnsi="Arial"/>
          <w:sz w:val="19"/>
          <w:szCs w:val="19"/>
          <w:b w:val="1"/>
          <w:bCs w:val="1"/>
          <w:color w:val="auto"/>
        </w:rPr>
        <w:t>TSR Performance Award</w:t>
      </w:r>
      <w:r>
        <w:rPr>
          <w:rFonts w:ascii="Arial" w:cs="Arial" w:eastAsia="Arial" w:hAnsi="Arial"/>
          <w:sz w:val="19"/>
          <w:szCs w:val="19"/>
          <w:color w:val="auto"/>
        </w:rPr>
        <w:t>”) and the other fifty percent (50%) of which shall be subject to Free Cash Flow performance targets (the “</w:t>
      </w:r>
      <w:r>
        <w:rPr>
          <w:rFonts w:ascii="Arial" w:cs="Arial" w:eastAsia="Arial" w:hAnsi="Arial"/>
          <w:sz w:val="19"/>
          <w:szCs w:val="19"/>
          <w:b w:val="1"/>
          <w:bCs w:val="1"/>
          <w:color w:val="auto"/>
        </w:rPr>
        <w:t>FCF Performance Award</w:t>
      </w:r>
      <w:r>
        <w:rPr>
          <w:rFonts w:ascii="Arial" w:cs="Arial" w:eastAsia="Arial" w:hAnsi="Arial"/>
          <w:sz w:val="19"/>
          <w:szCs w:val="19"/>
          <w:color w:val="auto"/>
        </w:rPr>
        <w:t>,” and together with the TSR Performance Award, the “</w:t>
      </w:r>
      <w:r>
        <w:rPr>
          <w:rFonts w:ascii="Arial" w:cs="Arial" w:eastAsia="Arial" w:hAnsi="Arial"/>
          <w:sz w:val="19"/>
          <w:szCs w:val="19"/>
          <w:b w:val="1"/>
          <w:bCs w:val="1"/>
          <w:color w:val="auto"/>
        </w:rPr>
        <w:t>Performance Award</w:t>
      </w:r>
      <w:r>
        <w:rPr>
          <w:rFonts w:ascii="Arial" w:cs="Arial" w:eastAsia="Arial" w:hAnsi="Arial"/>
          <w:sz w:val="19"/>
          <w:szCs w:val="19"/>
          <w:color w:val="auto"/>
        </w:rPr>
        <w:t>”). The Performance Award shall be subject to all of the terms and conditions of this Award Agreement and the Plan.</w:t>
      </w:r>
    </w:p>
    <w:p>
      <w:pPr>
        <w:spacing w:after="0" w:line="187" w:lineRule="exact"/>
        <w:rPr>
          <w:rFonts w:ascii="Arial" w:cs="Arial" w:eastAsia="Arial" w:hAnsi="Arial"/>
          <w:sz w:val="19"/>
          <w:szCs w:val="19"/>
          <w:color w:val="auto"/>
        </w:rPr>
      </w:pPr>
    </w:p>
    <w:p>
      <w:pPr>
        <w:ind w:left="1740" w:hanging="435"/>
        <w:spacing w:after="0"/>
        <w:tabs>
          <w:tab w:leader="none" w:pos="174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Form of Payment and Vesting</w:t>
      </w:r>
      <w:r>
        <w:rPr>
          <w:rFonts w:ascii="Arial" w:cs="Arial" w:eastAsia="Arial" w:hAnsi="Arial"/>
          <w:sz w:val="22"/>
          <w:szCs w:val="22"/>
          <w:color w:val="auto"/>
        </w:rPr>
        <w:t>.</w:t>
      </w:r>
    </w:p>
    <w:p>
      <w:pPr>
        <w:spacing w:after="0" w:line="254" w:lineRule="exact"/>
        <w:rPr>
          <w:rFonts w:ascii="Arial" w:cs="Arial" w:eastAsia="Arial" w:hAnsi="Arial"/>
          <w:sz w:val="22"/>
          <w:szCs w:val="22"/>
          <w:color w:val="auto"/>
        </w:rPr>
      </w:pPr>
    </w:p>
    <w:p>
      <w:pPr>
        <w:ind w:right="20" w:firstLine="1953"/>
        <w:spacing w:after="0" w:line="293" w:lineRule="auto"/>
        <w:tabs>
          <w:tab w:leader="none" w:pos="2239"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TSR Performance Award shall vest on the last day of the TSR Performance Period (the “</w:t>
      </w:r>
      <w:r>
        <w:rPr>
          <w:rFonts w:ascii="Arial" w:cs="Arial" w:eastAsia="Arial" w:hAnsi="Arial"/>
          <w:sz w:val="19"/>
          <w:szCs w:val="19"/>
          <w:b w:val="1"/>
          <w:bCs w:val="1"/>
          <w:color w:val="auto"/>
        </w:rPr>
        <w:t>TSR</w:t>
      </w:r>
      <w:r>
        <w:rPr>
          <w:rFonts w:ascii="Arial" w:cs="Arial" w:eastAsia="Arial" w:hAnsi="Arial"/>
          <w:sz w:val="19"/>
          <w:szCs w:val="19"/>
          <w:color w:val="auto"/>
        </w:rPr>
        <w:t xml:space="preserve"> </w:t>
      </w:r>
      <w:r>
        <w:rPr>
          <w:rFonts w:ascii="Arial" w:cs="Arial" w:eastAsia="Arial" w:hAnsi="Arial"/>
          <w:sz w:val="19"/>
          <w:szCs w:val="19"/>
          <w:b w:val="1"/>
          <w:bCs w:val="1"/>
          <w:color w:val="auto"/>
        </w:rPr>
        <w:t>Vesting Date</w:t>
      </w:r>
      <w:r>
        <w:rPr>
          <w:rFonts w:ascii="Arial" w:cs="Arial" w:eastAsia="Arial" w:hAnsi="Arial"/>
          <w:sz w:val="19"/>
          <w:szCs w:val="19"/>
          <w:color w:val="auto"/>
        </w:rPr>
        <w:t>”) in a number of shares of Company Stock equal to the multiple of the TSR Performance Award achieved,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determined by the Committee (or its designee) in accordance with the performance conditions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provided that the Participant is providing service to the Company or one of its Subsidiaries on the TSR Vesting Date (other than as is provided by Paragraph 4 of this Award Agreement). Any shares of Company Stock earned in accordance with the prior sentence shall be delivered to the Participant as soon as practicable following the TSR Vesting Date, but no later than the later to occur of the end of the calendar year in which the TSR Vesting Date occurs and the fifteenth day of the third</w:t>
      </w:r>
    </w:p>
    <w:p>
      <w:pPr>
        <w:sectPr>
          <w:pgSz w:w="11900" w:h="16838" w:orient="portrait"/>
          <w:cols w:equalWidth="0" w:num="1">
            <w:col w:w="11420"/>
          </w:cols>
          <w:pgMar w:left="240" w:top="121" w:right="239" w:bottom="1440" w:gutter="0" w:footer="0" w:header="0"/>
          <w:type w:val="continuous"/>
        </w:sectPr>
      </w:pPr>
    </w:p>
    <w:bookmarkStart w:id="53" w:name="page54"/>
    <w:bookmarkEnd w:id="53"/>
    <w:p>
      <w:pPr>
        <w:ind w:right="140"/>
        <w:spacing w:after="0" w:line="253" w:lineRule="auto"/>
        <w:rPr>
          <w:sz w:val="20"/>
          <w:szCs w:val="20"/>
          <w:color w:val="auto"/>
        </w:rPr>
      </w:pPr>
      <w:r>
        <w:rPr>
          <w:rFonts w:ascii="Arial" w:cs="Arial" w:eastAsia="Arial" w:hAnsi="Arial"/>
          <w:sz w:val="22"/>
          <w:szCs w:val="22"/>
          <w:color w:val="auto"/>
        </w:rPr>
        <w:t xml:space="preserve">calendar month following the TSR Vesting Date. Any portion of the TSR Performance Award that could have been earned in accordance with the provisions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not earned as of the TSR Vesting Date, as determined by the Committee (or its designee), shall be immediately forfeited.</w:t>
      </w:r>
    </w:p>
    <w:p>
      <w:pPr>
        <w:spacing w:after="0" w:line="216" w:lineRule="exact"/>
        <w:rPr>
          <w:sz w:val="20"/>
          <w:szCs w:val="20"/>
          <w:color w:val="auto"/>
        </w:rPr>
      </w:pPr>
    </w:p>
    <w:p>
      <w:pPr>
        <w:ind w:firstLine="1953"/>
        <w:spacing w:after="0" w:line="265" w:lineRule="auto"/>
        <w:tabs>
          <w:tab w:leader="none" w:pos="2251" w:val="left"/>
        </w:tabs>
        <w:numPr>
          <w:ilvl w:val="1"/>
          <w:numId w:val="26"/>
        </w:numPr>
        <w:rPr>
          <w:rFonts w:ascii="Arial" w:cs="Arial" w:eastAsia="Arial" w:hAnsi="Arial"/>
          <w:sz w:val="20"/>
          <w:szCs w:val="20"/>
          <w:color w:val="auto"/>
        </w:rPr>
      </w:pPr>
      <w:r>
        <w:rPr>
          <w:rFonts w:ascii="Arial" w:cs="Arial" w:eastAsia="Arial" w:hAnsi="Arial"/>
          <w:sz w:val="20"/>
          <w:szCs w:val="20"/>
          <w:color w:val="auto"/>
        </w:rPr>
        <w:t>During each FCF Performance Period, one third (1/3</w:t>
      </w:r>
      <w:r>
        <w:rPr>
          <w:rFonts w:ascii="Arial" w:cs="Arial" w:eastAsia="Arial" w:hAnsi="Arial"/>
          <w:sz w:val="26"/>
          <w:szCs w:val="26"/>
          <w:color w:val="auto"/>
          <w:vertAlign w:val="superscript"/>
        </w:rPr>
        <w:t>rd</w:t>
      </w:r>
      <w:r>
        <w:rPr>
          <w:rFonts w:ascii="Arial" w:cs="Arial" w:eastAsia="Arial" w:hAnsi="Arial"/>
          <w:sz w:val="20"/>
          <w:szCs w:val="20"/>
          <w:color w:val="auto"/>
        </w:rPr>
        <w:t>) of the number of restricted stock units underlying the target FCF Performance Award shall be eligible to be earned based on achievement of the performance conditions set forth in Exhibit B hereto (as may be supplemented from time to time) (“</w:t>
      </w:r>
      <w:r>
        <w:rPr>
          <w:rFonts w:ascii="Arial" w:cs="Arial" w:eastAsia="Arial" w:hAnsi="Arial"/>
          <w:sz w:val="20"/>
          <w:szCs w:val="20"/>
          <w:u w:val="single" w:color="auto"/>
          <w:color w:val="auto"/>
        </w:rPr>
        <w:t>Exhibit B</w:t>
      </w:r>
      <w:r>
        <w:rPr>
          <w:rFonts w:ascii="Arial" w:cs="Arial" w:eastAsia="Arial" w:hAnsi="Arial"/>
          <w:sz w:val="20"/>
          <w:szCs w:val="20"/>
          <w:color w:val="auto"/>
        </w:rPr>
        <w:t>”). The FCF Performance Award shall vest on the third anniversary of the Date of Grant of the FCF Performance Award (the “</w:t>
      </w:r>
      <w:r>
        <w:rPr>
          <w:rFonts w:ascii="Arial" w:cs="Arial" w:eastAsia="Arial" w:hAnsi="Arial"/>
          <w:sz w:val="20"/>
          <w:szCs w:val="20"/>
          <w:b w:val="1"/>
          <w:bCs w:val="1"/>
          <w:color w:val="auto"/>
        </w:rPr>
        <w:t>FCF Vesting Date</w:t>
      </w:r>
      <w:r>
        <w:rPr>
          <w:rFonts w:ascii="Arial" w:cs="Arial" w:eastAsia="Arial" w:hAnsi="Arial"/>
          <w:sz w:val="20"/>
          <w:szCs w:val="20"/>
          <w:color w:val="auto"/>
        </w:rPr>
        <w:t xml:space="preserve">”) in a number of shares of Company Stock equal to the sum of the number of shares of Company Stock so earned for each of the three FCF Performance Periods, as determined by the Committee (or its designee), provided that the Participant is providing service to the Company or one of its Subsidiaries on the FCF Vesting Date (other than as is provided by Paragraph 4 of this Award Agreement). Any shares of Company Stock earned and vested in accordance with the foregoing shall be delivered to the Participant as soon as practicable following the FCF Vesting Date, but no later than the fifteenth day of the third calendar month following the calendar year in which the FCF Vesting Date occurs. For each FCF Performance Period, any portion of the FCF Performance Award that could have been earned in accordance with the provisions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that is not earned as of the last day of the applicable FCF Performance Period, as determined by the Committee (or its designee), shall be immediately forfeited.</w:t>
      </w:r>
    </w:p>
    <w:p>
      <w:pPr>
        <w:spacing w:after="0" w:line="223" w:lineRule="exact"/>
        <w:rPr>
          <w:rFonts w:ascii="Arial" w:cs="Arial" w:eastAsia="Arial" w:hAnsi="Arial"/>
          <w:sz w:val="20"/>
          <w:szCs w:val="20"/>
          <w:color w:val="auto"/>
        </w:rPr>
      </w:pPr>
    </w:p>
    <w:p>
      <w:pPr>
        <w:ind w:right="80" w:firstLine="1305"/>
        <w:spacing w:after="0" w:line="250" w:lineRule="auto"/>
        <w:tabs>
          <w:tab w:leader="none" w:pos="1675"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The Performance Award granted hereunder may not be sold, assigned, transferred, pledged,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228" w:lineRule="exact"/>
        <w:rPr>
          <w:rFonts w:ascii="Arial" w:cs="Arial" w:eastAsia="Arial" w:hAnsi="Arial"/>
          <w:sz w:val="22"/>
          <w:szCs w:val="22"/>
          <w:color w:val="auto"/>
        </w:rPr>
      </w:pPr>
    </w:p>
    <w:p>
      <w:pPr>
        <w:ind w:left="1740" w:hanging="435"/>
        <w:spacing w:after="0"/>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of Service; Disability</w:t>
      </w:r>
    </w:p>
    <w:p>
      <w:pPr>
        <w:spacing w:after="0" w:line="260" w:lineRule="exact"/>
        <w:rPr>
          <w:rFonts w:ascii="Arial" w:cs="Arial" w:eastAsia="Arial" w:hAnsi="Arial"/>
          <w:sz w:val="22"/>
          <w:szCs w:val="22"/>
          <w:color w:val="auto"/>
        </w:rPr>
      </w:pPr>
    </w:p>
    <w:p>
      <w:pPr>
        <w:ind w:firstLine="1953"/>
        <w:spacing w:after="0" w:line="253" w:lineRule="auto"/>
        <w:tabs>
          <w:tab w:leader="none" w:pos="2239"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of Service for Cause</w:t>
      </w:r>
      <w:r>
        <w:rPr>
          <w:rFonts w:ascii="Arial" w:cs="Arial" w:eastAsia="Arial" w:hAnsi="Arial"/>
          <w:sz w:val="22"/>
          <w:szCs w:val="22"/>
          <w:color w:val="auto"/>
        </w:rPr>
        <w:t>. Upon the Participant’s termination of service with the Company and its Subsidiaries for Cause prior to the TSR Vesting Date or the FCF Vesting Date, the unvested portion, if any, of the Participant’s Performance Award shall be forfeited as of the date of such termination of service.</w:t>
      </w:r>
    </w:p>
    <w:p>
      <w:pPr>
        <w:spacing w:after="0" w:line="226" w:lineRule="exact"/>
        <w:rPr>
          <w:rFonts w:ascii="Arial" w:cs="Arial" w:eastAsia="Arial" w:hAnsi="Arial"/>
          <w:sz w:val="22"/>
          <w:szCs w:val="22"/>
          <w:color w:val="auto"/>
        </w:rPr>
      </w:pPr>
    </w:p>
    <w:p>
      <w:pPr>
        <w:ind w:right="100" w:firstLine="1953"/>
        <w:spacing w:after="0" w:line="259" w:lineRule="auto"/>
        <w:tabs>
          <w:tab w:leader="none" w:pos="2251"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xml:space="preserve">. Upon termination of the Participant’s service with the Company and its Subsidiaries on account of death prior to the TSR Vesting Date or the FCF Vesting Date, the unvested portion, if any, of the Participant’s Performance Award shall vest as of the date of such termination of service at target levels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as applicable). The vested Performance Award (determined in accordance with the foregoing and including any portion of the FCF Performance Award that was earned prior to the Participant’s death in accordance with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for any completed FCF Performance Period) shall be settled in shares of Company Stock for the benefit of the Participant’s estate no later than the later to occur of the end of the calendar year in which the Participant’s death occurs and the fifteenth day of the third calendar month following the Participant’s death.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375" w:right="279" w:bottom="1440" w:gutter="0" w:footer="0" w:header="0"/>
        </w:sectPr>
      </w:pPr>
    </w:p>
    <w:bookmarkStart w:id="54" w:name="page55"/>
    <w:bookmarkEnd w:id="54"/>
    <w:p>
      <w:pPr>
        <w:ind w:left="-20" w:right="80" w:firstLine="1953"/>
        <w:spacing w:after="0" w:line="265" w:lineRule="auto"/>
        <w:tabs>
          <w:tab w:leader="none" w:pos="2219"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xml:space="preserve">. If the Participant voluntarily Retires with the consent of the Company prior to the TSR Vesting Date or the FCF Vesting Date, the Participant’s Performance Award shall continue to be eligible to vest in accordance with the performance-based vesting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B</w:t>
      </w:r>
      <w:r>
        <w:rPr>
          <w:rFonts w:ascii="Arial" w:cs="Arial" w:eastAsia="Arial" w:hAnsi="Arial"/>
          <w:sz w:val="21"/>
          <w:szCs w:val="21"/>
          <w:color w:val="auto"/>
        </w:rPr>
        <w:t>, as applicable, regardless of such termination of service.</w:t>
      </w:r>
    </w:p>
    <w:p>
      <w:pPr>
        <w:spacing w:after="0" w:line="216" w:lineRule="exact"/>
        <w:rPr>
          <w:rFonts w:ascii="Arial" w:cs="Arial" w:eastAsia="Arial" w:hAnsi="Arial"/>
          <w:sz w:val="21"/>
          <w:szCs w:val="21"/>
          <w:color w:val="auto"/>
        </w:rPr>
      </w:pPr>
    </w:p>
    <w:p>
      <w:pPr>
        <w:ind w:left="-20" w:right="40" w:firstLine="1953"/>
        <w:spacing w:after="0" w:line="250" w:lineRule="auto"/>
        <w:tabs>
          <w:tab w:leader="none" w:pos="2231"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If the Participant incurs a Disability that also constitutes a “disability” within the meaning of Section 409A of the Code prior to the TSR Vesting Date or the FCF Vesting Date, the Participant’s Performance Award shall continue to be eligible to vest in accordance with the performance-based vesting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B</w:t>
      </w:r>
      <w:r>
        <w:rPr>
          <w:rFonts w:ascii="Arial" w:cs="Arial" w:eastAsia="Arial" w:hAnsi="Arial"/>
          <w:sz w:val="22"/>
          <w:szCs w:val="22"/>
          <w:color w:val="auto"/>
        </w:rPr>
        <w:t>, as applicable, regardless of any subsequent termination of service.</w:t>
      </w:r>
    </w:p>
    <w:p>
      <w:pPr>
        <w:spacing w:after="0" w:line="228" w:lineRule="exact"/>
        <w:rPr>
          <w:rFonts w:ascii="Arial" w:cs="Arial" w:eastAsia="Arial" w:hAnsi="Arial"/>
          <w:sz w:val="22"/>
          <w:szCs w:val="22"/>
          <w:color w:val="auto"/>
        </w:rPr>
      </w:pPr>
    </w:p>
    <w:p>
      <w:pPr>
        <w:ind w:left="2220" w:hanging="287"/>
        <w:spacing w:after="0"/>
        <w:tabs>
          <w:tab w:leader="none" w:pos="222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of Service by the Company without Cause or by the Participant for Good Reason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0" w:firstLine="656"/>
        <w:spacing w:after="0" w:line="286" w:lineRule="auto"/>
        <w:tabs>
          <w:tab w:leader="none" w:pos="886"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Upon termination of the Participant’s service with the Company and its Subsidiaries by the Company or its Subsidiaries without Cause or by the Participant for “good reason” (or any like term as defined under any employment agreement with the Company or a Subsidiary to which the Participant is a party, as modified below) prior to the TSR Vesting Date, a portion of the Participant's TSR Performance Award shall vest based upon achievement of the TSR Performance Criteria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measured as of the date of the Participant’s termination of service, multiplied by a fraction, the numerator of which is the number of full months of the Participant’s service during the TSR Performance Period and the denominator of which is the total number of months in the TSR Performance Period. The vested portion of the TSR Performance Award shall be settled in shares of Company Stock as soon as practicable following the Participant’s termination of service, but no later than the later to occur of (A) the end of the calendar year in which such termination occurs or (B) by the fifteenth day of the third calendar month following such termination. Notwithstanding the foregoing, the Committee (or such individual or individuals authorized by the Committee) may, in its discretion, exercise negative discretion to determine payout achievement. Any portion of the TSR Performance Award that could have been earned in accordance with the provisions of this Section 4(e)(i) that is not earned as of the date of the Participant’s termination of service shall be immediately forfeited on the date of the Participant’s termination of service.</w:t>
      </w:r>
    </w:p>
    <w:p>
      <w:pPr>
        <w:spacing w:after="0" w:line="207" w:lineRule="exact"/>
        <w:rPr>
          <w:rFonts w:ascii="Arial" w:cs="Arial" w:eastAsia="Arial" w:hAnsi="Arial"/>
          <w:sz w:val="19"/>
          <w:szCs w:val="19"/>
          <w:color w:val="auto"/>
        </w:rPr>
      </w:pPr>
    </w:p>
    <w:p>
      <w:pPr>
        <w:ind w:left="-20" w:right="80" w:firstLine="656"/>
        <w:spacing w:after="0" w:line="259" w:lineRule="auto"/>
        <w:tabs>
          <w:tab w:leader="none" w:pos="946" w:val="left"/>
        </w:tabs>
        <w:numPr>
          <w:ilvl w:val="0"/>
          <w:numId w:val="29"/>
        </w:numPr>
        <w:rPr>
          <w:rFonts w:ascii="Arial" w:cs="Arial" w:eastAsia="Arial" w:hAnsi="Arial"/>
          <w:sz w:val="21"/>
          <w:szCs w:val="21"/>
          <w:color w:val="auto"/>
        </w:rPr>
      </w:pPr>
      <w:r>
        <w:rPr>
          <w:rFonts w:ascii="Arial" w:cs="Arial" w:eastAsia="Arial" w:hAnsi="Arial"/>
          <w:sz w:val="21"/>
          <w:szCs w:val="21"/>
          <w:color w:val="auto"/>
        </w:rPr>
        <w:t>Upon termination of the Participant’s service with the Company and its Subsidiaries by the Company or its Subsidiaries without Cause or by the Participant for “good reason” (or any like term as defined under any employment agreement with the Company or a Subsidiary to which the Participant is a party, as modified below) prior to the FCF Vesting Date but after the Company’s first approval of estimated Free Cash Flow for the FCF Performance Period in which such termination of service occurs, the Participant's FCF Performance Award in respect of such FCF Performance Period shall vest based upon achievement of the most recently approved estimate of Free Cash Flow for the applicable FCF Performance Period, multiplied by a fraction, the numerator of which is the number of full months of Participant’s service during the current FCF Performance Period and the denominator of which is twelve (12). If such termination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631" w:right="239" w:bottom="1440" w:gutter="0" w:footer="0" w:header="0"/>
        </w:sectPr>
      </w:pPr>
    </w:p>
    <w:bookmarkStart w:id="55" w:name="page56"/>
    <w:bookmarkEnd w:id="55"/>
    <w:p>
      <w:pPr>
        <w:ind w:right="60"/>
        <w:spacing w:after="0" w:line="288" w:lineRule="auto"/>
        <w:rPr>
          <w:sz w:val="20"/>
          <w:szCs w:val="20"/>
          <w:color w:val="auto"/>
        </w:rPr>
      </w:pPr>
      <w:r>
        <w:rPr>
          <w:rFonts w:ascii="Arial" w:cs="Arial" w:eastAsia="Arial" w:hAnsi="Arial"/>
          <w:sz w:val="19"/>
          <w:szCs w:val="19"/>
          <w:color w:val="auto"/>
        </w:rPr>
        <w:t xml:space="preserve">occurs prior to the FCF Vesting Date and prior to the Company’s first approval of estimated Free Cash Flow for the FCF Performance Period in which such termination of service occurs, then the Participant shall not vest in any portion of the FCF Performance Award in respect of the FCF Performance Period in which such termination of service occurs. The vested portion of the FCF Performance Award determined in accordance with the foregoing (plus any portion of the Participant’s FCF Performance Award for which the FCF Performance Criteria (as defined in </w:t>
      </w:r>
      <w:r>
        <w:rPr>
          <w:rFonts w:ascii="Arial" w:cs="Arial" w:eastAsia="Arial" w:hAnsi="Arial"/>
          <w:sz w:val="19"/>
          <w:szCs w:val="19"/>
          <w:u w:val="single" w:color="auto"/>
          <w:color w:val="auto"/>
        </w:rPr>
        <w:t>Exhibit B</w:t>
      </w:r>
      <w:r>
        <w:rPr>
          <w:rFonts w:ascii="Arial" w:cs="Arial" w:eastAsia="Arial" w:hAnsi="Arial"/>
          <w:sz w:val="19"/>
          <w:szCs w:val="19"/>
          <w:color w:val="auto"/>
        </w:rPr>
        <w:t>) has been achieved in respect of any previously completed FCF Performance Period) shall be settled in shares of Company Stock immediately following such termination. Notwithstanding the foregoing the Committee (or such individual or individuals authorized by the Committee) may, in its discretion, exercise negative discretion to determine payout achievement. Any portion of the FCF Performance Award that could have been earned in accordance with the provisions of this Section 4(e)(ii) that is not earned as of the date of the Participant’s termination of service shall be immediately forfeited on the date of the Participant’s termination of service.</w:t>
      </w:r>
    </w:p>
    <w:p>
      <w:pPr>
        <w:spacing w:after="0" w:line="201" w:lineRule="exact"/>
        <w:rPr>
          <w:sz w:val="20"/>
          <w:szCs w:val="20"/>
          <w:color w:val="auto"/>
        </w:rPr>
      </w:pPr>
    </w:p>
    <w:p>
      <w:pPr>
        <w:ind w:firstLine="656"/>
        <w:spacing w:after="0" w:line="265" w:lineRule="auto"/>
        <w:tabs>
          <w:tab w:leader="none" w:pos="1026" w:val="left"/>
        </w:tabs>
        <w:numPr>
          <w:ilvl w:val="0"/>
          <w:numId w:val="30"/>
        </w:numPr>
        <w:rPr>
          <w:rFonts w:ascii="Arial" w:cs="Arial" w:eastAsia="Arial" w:hAnsi="Arial"/>
          <w:sz w:val="21"/>
          <w:szCs w:val="21"/>
          <w:color w:val="auto"/>
        </w:rPr>
      </w:pPr>
      <w:r>
        <w:rPr>
          <w:rFonts w:ascii="Arial" w:cs="Arial" w:eastAsia="Arial" w:hAnsi="Arial"/>
          <w:sz w:val="21"/>
          <w:szCs w:val="21"/>
          <w:color w:val="auto"/>
        </w:rPr>
        <w:t>For the purposes of this Section 4(e), for any Participant who is a party to an employment agreement with the Company or a Subsidiary, “good reason” shall also include the Participant's termination of his or her employment within ninety (90) days following the expiration of the employment term of the Participant's employment agreement under circumstances that would have constituted good reason had such termination occurred during the employment term.</w:t>
      </w:r>
    </w:p>
    <w:p>
      <w:pPr>
        <w:spacing w:after="0" w:line="216" w:lineRule="exact"/>
        <w:rPr>
          <w:rFonts w:ascii="Arial" w:cs="Arial" w:eastAsia="Arial" w:hAnsi="Arial"/>
          <w:sz w:val="21"/>
          <w:szCs w:val="21"/>
          <w:color w:val="auto"/>
        </w:rPr>
      </w:pPr>
    </w:p>
    <w:p>
      <w:pPr>
        <w:jc w:val="both"/>
        <w:ind w:right="20" w:firstLine="1953"/>
        <w:spacing w:after="0" w:line="265" w:lineRule="auto"/>
        <w:tabs>
          <w:tab w:leader="none" w:pos="2215" w:val="left"/>
        </w:tabs>
        <w:numPr>
          <w:ilvl w:val="2"/>
          <w:numId w:val="30"/>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any Other Reason</w:t>
      </w:r>
      <w:r>
        <w:rPr>
          <w:rFonts w:ascii="Arial" w:cs="Arial" w:eastAsia="Arial" w:hAnsi="Arial"/>
          <w:sz w:val="21"/>
          <w:szCs w:val="21"/>
          <w:color w:val="auto"/>
        </w:rPr>
        <w:t>. Unless otherwise provided in an individual agreement with the Participant, if the Participant has a termination of service with the Company and its Subsidiaries prior to the TSR Vesting Date or the FCF Vesting Date for any reason other than the reasons enumerated in Subparagraphs (a) through (e) above, the Participant’s Performance Award as of the date of termination of service shall be forfeited.</w:t>
      </w:r>
    </w:p>
    <w:p>
      <w:pPr>
        <w:spacing w:after="0" w:line="216" w:lineRule="exact"/>
        <w:rPr>
          <w:rFonts w:ascii="Arial" w:cs="Arial" w:eastAsia="Arial" w:hAnsi="Arial"/>
          <w:sz w:val="21"/>
          <w:szCs w:val="21"/>
          <w:color w:val="auto"/>
        </w:rPr>
      </w:pPr>
    </w:p>
    <w:p>
      <w:pPr>
        <w:ind w:right="300" w:firstLine="1305"/>
        <w:spacing w:after="0" w:line="343" w:lineRule="auto"/>
        <w:tabs>
          <w:tab w:leader="none" w:pos="1675"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anything to the contrary in the Plan, in the event of a Change in Control prior to the TSR Vesting Date or the FCF Vesting Date, as applicable, the provisions of this Section 5 shall apply.</w:t>
      </w:r>
    </w:p>
    <w:p>
      <w:pPr>
        <w:spacing w:after="0" w:line="104" w:lineRule="exact"/>
        <w:rPr>
          <w:rFonts w:ascii="Arial" w:cs="Arial" w:eastAsia="Arial" w:hAnsi="Arial"/>
          <w:sz w:val="19"/>
          <w:szCs w:val="19"/>
          <w:color w:val="auto"/>
        </w:rPr>
      </w:pPr>
    </w:p>
    <w:p>
      <w:pPr>
        <w:ind w:right="60" w:firstLine="1953"/>
        <w:spacing w:after="0" w:line="294" w:lineRule="auto"/>
        <w:tabs>
          <w:tab w:leader="none" w:pos="2401" w:val="left"/>
        </w:tabs>
        <w:numPr>
          <w:ilvl w:val="2"/>
          <w:numId w:val="31"/>
        </w:numPr>
        <w:rPr>
          <w:rFonts w:ascii="Arial" w:cs="Arial" w:eastAsia="Arial" w:hAnsi="Arial"/>
          <w:sz w:val="19"/>
          <w:szCs w:val="19"/>
          <w:color w:val="auto"/>
        </w:rPr>
      </w:pPr>
      <w:r>
        <w:rPr>
          <w:rFonts w:ascii="Arial" w:cs="Arial" w:eastAsia="Arial" w:hAnsi="Arial"/>
          <w:sz w:val="19"/>
          <w:szCs w:val="19"/>
          <w:color w:val="auto"/>
        </w:rPr>
        <w:t>if the entire Performance Award is assumed or substituted (within the meaning of the Plan) in connection with such Change in Control, and the Participant incurs a termination of service from the Company and its Subsidiaries by the Company or its Subsidiary without Cause or by the Participant for good reason (or any like term as defined under any employment agreement with the Company or a Subsidiary to which the Participant is a party, as modified by Section 4(e)(iii)) during the 24-month period following such Change in Control, then the restrictions, deferral limitations, payment conditions, and forfeiture conditions applicable to any portion of the Performance Award shall lapse and:</w:t>
      </w:r>
    </w:p>
    <w:p>
      <w:pPr>
        <w:spacing w:after="0" w:line="365" w:lineRule="exact"/>
        <w:rPr>
          <w:rFonts w:ascii="Arial" w:cs="Arial" w:eastAsia="Arial" w:hAnsi="Arial"/>
          <w:sz w:val="19"/>
          <w:szCs w:val="19"/>
          <w:color w:val="auto"/>
        </w:rPr>
      </w:pPr>
    </w:p>
    <w:p>
      <w:pPr>
        <w:ind w:right="40" w:firstLine="2601"/>
        <w:spacing w:after="0" w:line="248" w:lineRule="auto"/>
        <w:tabs>
          <w:tab w:leader="none" w:pos="3067" w:val="left"/>
        </w:tabs>
        <w:numPr>
          <w:ilvl w:val="3"/>
          <w:numId w:val="31"/>
        </w:numPr>
        <w:rPr>
          <w:rFonts w:ascii="Arial" w:cs="Arial" w:eastAsia="Arial" w:hAnsi="Arial"/>
          <w:sz w:val="22"/>
          <w:szCs w:val="22"/>
          <w:color w:val="auto"/>
        </w:rPr>
      </w:pPr>
      <w:r>
        <w:rPr>
          <w:rFonts w:ascii="Arial" w:cs="Arial" w:eastAsia="Arial" w:hAnsi="Arial"/>
          <w:sz w:val="22"/>
          <w:szCs w:val="22"/>
          <w:color w:val="auto"/>
        </w:rPr>
        <w:t>the TSR Performance Award shall be settled in shares of Company Stock as soon as practicable following the Participant’s termination of service, but no later than the later to occur of the end of the calendar year in which such termination occurs or the fifteenth day of the third calendar month following such termination, based on the greater of (y) actual achievement of TSR Performance Criteria or (z) target achievement of the TSR Performance Criteria, in either case measured as of the date of such termination, and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375" w:right="279" w:bottom="1440" w:gutter="0" w:footer="0" w:header="0"/>
        </w:sectPr>
      </w:pPr>
    </w:p>
    <w:bookmarkStart w:id="56" w:name="page57"/>
    <w:bookmarkEnd w:id="56"/>
    <w:p>
      <w:pPr>
        <w:ind w:left="-40" w:right="80" w:firstLine="2601"/>
        <w:spacing w:after="0" w:line="292" w:lineRule="auto"/>
        <w:tabs>
          <w:tab w:leader="none" w:pos="3087"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FCF Performance Award shall be settled as soon as practicable following the Participant’s termination of service, but no later than the later to occur of the end of the calendar year in which such termination occurs or the fifteenth day of the third calendar month following such termination, with the number of shares equal to the sum of (y) the number of shares of Company Stock underlying any portion of the Participant’s FCF Performance Award for which the FCF Performance Criteria has been achieved in respect of any previously completed FCF Performance Period and (z) the number of shares of Company Stock subject to any portion of the FCF Performance Award for any FCF Performance Period not completed multiplied by one (1) or, if greater, a multiple determined based upon achievement of the most recently approved estimate of Free Cash Flow.</w:t>
      </w:r>
    </w:p>
    <w:p>
      <w:pPr>
        <w:spacing w:after="0" w:line="367" w:lineRule="exact"/>
        <w:rPr>
          <w:rFonts w:ascii="Arial" w:cs="Arial" w:eastAsia="Arial" w:hAnsi="Arial"/>
          <w:sz w:val="19"/>
          <w:szCs w:val="19"/>
          <w:color w:val="auto"/>
        </w:rPr>
      </w:pPr>
    </w:p>
    <w:p>
      <w:pPr>
        <w:jc w:val="both"/>
        <w:ind w:left="-40" w:right="80" w:firstLine="1953"/>
        <w:spacing w:after="0" w:line="253" w:lineRule="auto"/>
        <w:tabs>
          <w:tab w:leader="none" w:pos="2373"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any portion of the Performance Award is not assumed or substituted in connection with such Change in Control, then the restrictions, deferral limitations, payment conditions, and forfeiture conditions applicable to any portion of the Performance Award shall lapse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40" w:right="120" w:firstLine="2601"/>
        <w:spacing w:after="0" w:line="271" w:lineRule="auto"/>
        <w:tabs>
          <w:tab w:leader="none" w:pos="3027"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TSR Performance Award shall be settled in shares of Company Stock immediately prior to the Change in Control based on the greater of (i) actual achievement of TSR Performance Criteria or (ii) target achievement of the TSR Performance Criteria, in either case measured as of the date of the Change in Control, and</w:t>
      </w:r>
    </w:p>
    <w:p>
      <w:pPr>
        <w:spacing w:after="0" w:line="384" w:lineRule="exact"/>
        <w:rPr>
          <w:sz w:val="20"/>
          <w:szCs w:val="20"/>
          <w:color w:val="auto"/>
        </w:rPr>
      </w:pPr>
    </w:p>
    <w:p>
      <w:pPr>
        <w:ind w:left="-40" w:right="80" w:firstLine="2601"/>
        <w:spacing w:after="0" w:line="261" w:lineRule="auto"/>
        <w:tabs>
          <w:tab w:leader="none" w:pos="3087" w:val="left"/>
        </w:tabs>
        <w:numPr>
          <w:ilvl w:val="2"/>
          <w:numId w:val="34"/>
        </w:numPr>
        <w:rPr>
          <w:rFonts w:ascii="Arial" w:cs="Arial" w:eastAsia="Arial" w:hAnsi="Arial"/>
          <w:sz w:val="21"/>
          <w:szCs w:val="21"/>
          <w:color w:val="auto"/>
        </w:rPr>
      </w:pPr>
      <w:r>
        <w:rPr>
          <w:rFonts w:ascii="Arial" w:cs="Arial" w:eastAsia="Arial" w:hAnsi="Arial"/>
          <w:sz w:val="21"/>
          <w:szCs w:val="21"/>
          <w:color w:val="auto"/>
        </w:rPr>
        <w:t>the FCF Performance Award shall be settled immediately prior to the Change in Control, with the number of shares equal to the sum of (y) the number of shares of Company Stock underlying any portion of the Participant’s FCF Performance Award for which the FCF Performance Criteria has been achieved in respect of any previously completed FCF Performance Period and (z) the number of shares of Company Stock subject to any portion of the FCF Performance Award for any FCF Performance Period not completed multiplied by one (1) or, if greater, a multiple determined based upon achievement of the most recently approved estimate of Free Cash Flow.</w:t>
      </w:r>
    </w:p>
    <w:p>
      <w:pPr>
        <w:spacing w:after="0" w:line="396" w:lineRule="exact"/>
        <w:rPr>
          <w:rFonts w:ascii="Arial" w:cs="Arial" w:eastAsia="Arial" w:hAnsi="Arial"/>
          <w:sz w:val="21"/>
          <w:szCs w:val="21"/>
          <w:color w:val="auto"/>
        </w:rPr>
      </w:pPr>
    </w:p>
    <w:p>
      <w:pPr>
        <w:ind w:left="-40" w:firstLine="1953"/>
        <w:spacing w:after="0" w:line="253" w:lineRule="auto"/>
        <w:tabs>
          <w:tab w:leader="none" w:pos="2349"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portion of the Performance Award that could have been earned in accordance with Section 5(a) or Section 5(b) that is not earned shall be immediately forfeited on the date of termination of service or the date the Change in Control occurs, as applicable.</w:t>
      </w:r>
    </w:p>
    <w:p>
      <w:pPr>
        <w:spacing w:after="0" w:line="185" w:lineRule="exact"/>
        <w:rPr>
          <w:rFonts w:ascii="Arial" w:cs="Arial" w:eastAsia="Arial" w:hAnsi="Arial"/>
          <w:sz w:val="22"/>
          <w:szCs w:val="22"/>
          <w:color w:val="auto"/>
        </w:rPr>
      </w:pPr>
    </w:p>
    <w:p>
      <w:pPr>
        <w:ind w:left="-40" w:right="100" w:firstLine="1305"/>
        <w:spacing w:after="0" w:line="343" w:lineRule="auto"/>
        <w:tabs>
          <w:tab w:leader="none" w:pos="163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Notwithstanding anything to the contrary in the Plan, for purposes of this Award Agreement, Change in Control means and shall be deemed to have occurred upon the first of the following events to occur:</w:t>
      </w:r>
    </w:p>
    <w:p>
      <w:pPr>
        <w:spacing w:after="0" w:line="104" w:lineRule="exact"/>
        <w:rPr>
          <w:rFonts w:ascii="Arial" w:cs="Arial" w:eastAsia="Arial" w:hAnsi="Arial"/>
          <w:sz w:val="19"/>
          <w:szCs w:val="19"/>
          <w:color w:val="auto"/>
        </w:rPr>
      </w:pPr>
    </w:p>
    <w:p>
      <w:pPr>
        <w:ind w:left="-40" w:right="20" w:firstLine="1953"/>
        <w:spacing w:after="0" w:line="247" w:lineRule="auto"/>
        <w:tabs>
          <w:tab w:leader="none" w:pos="2349"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80" w:top="591" w:right="27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Beneficial Owner in connection with a transaction described in clause (A) of Subparagraph (c) below; or</w:t>
      </w:r>
    </w:p>
    <w:p>
      <w:pPr>
        <w:spacing w:after="0" w:line="200" w:lineRule="exact"/>
        <w:rPr>
          <w:sz w:val="20"/>
          <w:szCs w:val="20"/>
          <w:color w:val="auto"/>
        </w:rPr>
      </w:pPr>
    </w:p>
    <w:p>
      <w:pPr>
        <w:spacing w:after="0" w:line="236" w:lineRule="exact"/>
        <w:rPr>
          <w:sz w:val="20"/>
          <w:szCs w:val="20"/>
          <w:color w:val="auto"/>
        </w:rPr>
      </w:pPr>
    </w:p>
    <w:p>
      <w:pPr>
        <w:ind w:right="80" w:firstLine="1953"/>
        <w:spacing w:after="0" w:line="260" w:lineRule="auto"/>
        <w:tabs>
          <w:tab w:leader="none" w:pos="2409"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397" w:lineRule="exact"/>
        <w:rPr>
          <w:rFonts w:ascii="Arial" w:cs="Arial" w:eastAsia="Arial" w:hAnsi="Arial"/>
          <w:sz w:val="21"/>
          <w:szCs w:val="21"/>
          <w:color w:val="auto"/>
        </w:rPr>
      </w:pPr>
    </w:p>
    <w:p>
      <w:pPr>
        <w:ind w:firstLine="1953"/>
        <w:spacing w:after="0" w:line="286" w:lineRule="auto"/>
        <w:tabs>
          <w:tab w:leader="none" w:pos="2397"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383" w:lineRule="exact"/>
        <w:rPr>
          <w:rFonts w:ascii="Arial" w:cs="Arial" w:eastAsia="Arial" w:hAnsi="Arial"/>
          <w:sz w:val="19"/>
          <w:szCs w:val="19"/>
          <w:color w:val="auto"/>
        </w:rPr>
      </w:pPr>
    </w:p>
    <w:p>
      <w:pPr>
        <w:ind w:right="80" w:firstLine="1953"/>
        <w:spacing w:after="0" w:line="258" w:lineRule="auto"/>
        <w:tabs>
          <w:tab w:leader="none" w:pos="2409"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591" w:right="279" w:bottom="1440" w:gutter="0" w:footer="0" w:header="0"/>
        </w:sectPr>
      </w:pPr>
    </w:p>
    <w:bookmarkStart w:id="58" w:name="page59"/>
    <w:bookmarkEnd w:id="58"/>
    <w:p>
      <w:pPr>
        <w:ind w:right="40" w:firstLine="1945"/>
        <w:spacing w:after="0" w:line="247" w:lineRule="auto"/>
        <w:rPr>
          <w:sz w:val="20"/>
          <w:szCs w:val="20"/>
          <w:color w:val="auto"/>
        </w:rPr>
      </w:pPr>
      <w:r>
        <w:rPr>
          <w:rFonts w:ascii="Arial" w:cs="Arial" w:eastAsia="Arial" w:hAnsi="Arial"/>
          <w:sz w:val="22"/>
          <w:szCs w:val="22"/>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00" w:lineRule="exact"/>
        <w:rPr>
          <w:sz w:val="20"/>
          <w:szCs w:val="20"/>
          <w:color w:val="auto"/>
        </w:rPr>
      </w:pPr>
    </w:p>
    <w:p>
      <w:pPr>
        <w:spacing w:after="0" w:line="210" w:lineRule="exact"/>
        <w:rPr>
          <w:sz w:val="20"/>
          <w:szCs w:val="20"/>
          <w:color w:val="auto"/>
        </w:rPr>
      </w:pPr>
    </w:p>
    <w:p>
      <w:pPr>
        <w:ind w:right="20" w:firstLine="1945"/>
        <w:spacing w:after="0" w:line="290" w:lineRule="auto"/>
        <w:rPr>
          <w:sz w:val="20"/>
          <w:szCs w:val="20"/>
          <w:color w:val="auto"/>
        </w:rPr>
      </w:pPr>
      <w:r>
        <w:rPr>
          <w:rFonts w:ascii="Arial" w:cs="Arial" w:eastAsia="Arial" w:hAnsi="Arial"/>
          <w:sz w:val="19"/>
          <w:szCs w:val="19"/>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373" w:lineRule="exact"/>
        <w:rPr>
          <w:sz w:val="20"/>
          <w:szCs w:val="20"/>
          <w:color w:val="auto"/>
        </w:rPr>
      </w:pPr>
    </w:p>
    <w:p>
      <w:pPr>
        <w:ind w:firstLine="1945"/>
        <w:spacing w:after="0" w:line="312" w:lineRule="auto"/>
        <w:rPr>
          <w:sz w:val="20"/>
          <w:szCs w:val="20"/>
          <w:color w:val="auto"/>
        </w:rPr>
      </w:pPr>
      <w:r>
        <w:rPr>
          <w:rFonts w:ascii="Arial" w:cs="Arial" w:eastAsia="Arial" w:hAnsi="Arial"/>
          <w:sz w:val="19"/>
          <w:szCs w:val="19"/>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34" w:lineRule="exact"/>
        <w:rPr>
          <w:sz w:val="20"/>
          <w:szCs w:val="20"/>
          <w:color w:val="auto"/>
        </w:rPr>
      </w:pPr>
    </w:p>
    <w:p>
      <w:pPr>
        <w:ind w:right="20" w:firstLine="1305"/>
        <w:spacing w:after="0" w:line="253" w:lineRule="auto"/>
        <w:tabs>
          <w:tab w:leader="none" w:pos="1675"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Shareholder Rights Prior to Delivery</w:t>
      </w:r>
      <w:r>
        <w:rPr>
          <w:rFonts w:ascii="Arial" w:cs="Arial" w:eastAsia="Arial" w:hAnsi="Arial"/>
          <w:sz w:val="22"/>
          <w:szCs w:val="22"/>
          <w:color w:val="auto"/>
        </w:rPr>
        <w:t>. The Participant shall not have any rights of a shareholder (including the right to distributions or dividends) with respect to the Performance Award until shares of Company Stock are issued pursuant to the terms of this Award Agreement.</w:t>
      </w:r>
    </w:p>
    <w:p>
      <w:pPr>
        <w:spacing w:after="0" w:line="226" w:lineRule="exact"/>
        <w:rPr>
          <w:rFonts w:ascii="Arial" w:cs="Arial" w:eastAsia="Arial" w:hAnsi="Arial"/>
          <w:sz w:val="22"/>
          <w:szCs w:val="22"/>
          <w:color w:val="auto"/>
        </w:rPr>
      </w:pPr>
    </w:p>
    <w:p>
      <w:pPr>
        <w:ind w:right="180" w:firstLine="1305"/>
        <w:spacing w:after="0" w:line="302" w:lineRule="auto"/>
        <w:tabs>
          <w:tab w:leader="none" w:pos="167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Performance Award Agreement Subject to Plan</w:t>
      </w:r>
      <w:r>
        <w:rPr>
          <w:rFonts w:ascii="Arial" w:cs="Arial" w:eastAsia="Arial" w:hAnsi="Arial"/>
          <w:sz w:val="19"/>
          <w:szCs w:val="19"/>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Sections 5 and 6 of this Award Agreement.</w:t>
      </w:r>
    </w:p>
    <w:p>
      <w:pPr>
        <w:spacing w:after="0" w:line="183" w:lineRule="exact"/>
        <w:rPr>
          <w:rFonts w:ascii="Arial" w:cs="Arial" w:eastAsia="Arial" w:hAnsi="Arial"/>
          <w:sz w:val="19"/>
          <w:szCs w:val="19"/>
          <w:color w:val="auto"/>
        </w:rPr>
      </w:pPr>
    </w:p>
    <w:p>
      <w:pPr>
        <w:ind w:right="40" w:firstLine="1305"/>
        <w:spacing w:after="0" w:line="250" w:lineRule="auto"/>
        <w:tabs>
          <w:tab w:leader="none" w:pos="1675"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Rights to Continuation of Service</w:t>
      </w:r>
      <w:r>
        <w:rPr>
          <w:rFonts w:ascii="Arial" w:cs="Arial" w:eastAsia="Arial" w:hAnsi="Arial"/>
          <w:sz w:val="22"/>
          <w:szCs w:val="22"/>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228" w:lineRule="exact"/>
        <w:rPr>
          <w:rFonts w:ascii="Arial" w:cs="Arial" w:eastAsia="Arial" w:hAnsi="Arial"/>
          <w:sz w:val="22"/>
          <w:szCs w:val="22"/>
          <w:color w:val="auto"/>
        </w:rPr>
      </w:pPr>
    </w:p>
    <w:p>
      <w:pPr>
        <w:ind w:right="180" w:firstLine="1305"/>
        <w:spacing w:after="0" w:line="253" w:lineRule="auto"/>
        <w:tabs>
          <w:tab w:leader="none" w:pos="1783"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shall be entitled to require a cash payment by or on behalf of the Participant and/or to deduct from the Performance Award granted hereunder or other compensation payable to the Participant any sums required by federal, state or local tax</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591" w:right="279" w:bottom="1440" w:gutter="0" w:footer="0" w:header="0"/>
        </w:sectPr>
      </w:pPr>
    </w:p>
    <w:bookmarkStart w:id="59" w:name="page60"/>
    <w:bookmarkEnd w:id="59"/>
    <w:p>
      <w:pPr>
        <w:ind w:right="40"/>
        <w:spacing w:after="0" w:line="265" w:lineRule="auto"/>
        <w:rPr>
          <w:sz w:val="20"/>
          <w:szCs w:val="20"/>
          <w:color w:val="auto"/>
        </w:rPr>
      </w:pPr>
      <w:r>
        <w:rPr>
          <w:rFonts w:ascii="Arial" w:cs="Arial" w:eastAsia="Arial" w:hAnsi="Arial"/>
          <w:sz w:val="21"/>
          <w:szCs w:val="21"/>
          <w:color w:val="auto"/>
        </w:rPr>
        <w:t>law to be withheld or to satisfy any applicable payroll deductions with respect to the vesting of, lapse of restrictions on, or payment of the Performance Award.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216" w:lineRule="exact"/>
        <w:rPr>
          <w:sz w:val="20"/>
          <w:szCs w:val="20"/>
          <w:color w:val="auto"/>
        </w:rPr>
      </w:pPr>
    </w:p>
    <w:p>
      <w:pPr>
        <w:ind w:right="60" w:firstLine="1305"/>
        <w:spacing w:after="0" w:line="285" w:lineRule="auto"/>
        <w:tabs>
          <w:tab w:leader="none" w:pos="177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Performance Award is intended to comply with Code Section 409A to the extent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or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firstLine="1305"/>
        <w:spacing w:after="0" w:line="253" w:lineRule="auto"/>
        <w:tabs>
          <w:tab w:leader="none" w:pos="178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governed by, interpreted under, and construed and enforced in accordance with the internal laws, and not the laws pertaining to conflicts or choice of laws, of the State of Delaware applicable to agreements made and to be performed wholly within the State of Delaware.</w:t>
      </w:r>
    </w:p>
    <w:p>
      <w:pPr>
        <w:spacing w:after="0" w:line="226" w:lineRule="exact"/>
        <w:rPr>
          <w:rFonts w:ascii="Arial" w:cs="Arial" w:eastAsia="Arial" w:hAnsi="Arial"/>
          <w:sz w:val="22"/>
          <w:szCs w:val="22"/>
          <w:color w:val="auto"/>
        </w:rPr>
      </w:pPr>
    </w:p>
    <w:p>
      <w:pPr>
        <w:ind w:right="20" w:firstLine="1305"/>
        <w:spacing w:after="0" w:line="253" w:lineRule="auto"/>
        <w:tabs>
          <w:tab w:leader="none" w:pos="178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Binding on Successors</w:t>
      </w:r>
      <w:r>
        <w:rPr>
          <w:rFonts w:ascii="Arial" w:cs="Arial" w:eastAsia="Arial" w:hAnsi="Arial"/>
          <w:sz w:val="22"/>
          <w:szCs w:val="22"/>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226" w:lineRule="exact"/>
        <w:rPr>
          <w:rFonts w:ascii="Arial" w:cs="Arial" w:eastAsia="Arial" w:hAnsi="Arial"/>
          <w:sz w:val="22"/>
          <w:szCs w:val="22"/>
          <w:color w:val="auto"/>
        </w:rPr>
      </w:pPr>
    </w:p>
    <w:p>
      <w:pPr>
        <w:ind w:right="660" w:firstLine="1305"/>
        <w:spacing w:after="0" w:line="263" w:lineRule="auto"/>
        <w:tabs>
          <w:tab w:leader="none" w:pos="178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w:t>
      </w:r>
    </w:p>
    <w:p>
      <w:pPr>
        <w:spacing w:after="0" w:line="215" w:lineRule="exact"/>
        <w:rPr>
          <w:rFonts w:ascii="Arial" w:cs="Arial" w:eastAsia="Arial" w:hAnsi="Arial"/>
          <w:sz w:val="22"/>
          <w:szCs w:val="22"/>
          <w:color w:val="auto"/>
        </w:rPr>
      </w:pPr>
    </w:p>
    <w:p>
      <w:pPr>
        <w:ind w:right="220" w:firstLine="1305"/>
        <w:spacing w:after="0" w:line="263" w:lineRule="auto"/>
        <w:tabs>
          <w:tab w:leader="none" w:pos="178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Necessary Acts</w:t>
      </w:r>
      <w:r>
        <w:rPr>
          <w:rFonts w:ascii="Arial" w:cs="Arial" w:eastAsia="Arial" w:hAnsi="Arial"/>
          <w:sz w:val="22"/>
          <w:szCs w:val="22"/>
          <w:color w:val="auto"/>
        </w:rPr>
        <w:t>. The Participant hereby agrees to perform all acts, and to execute and deliver any documents that may be reasonably necessary to carry out the provisions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375" w:right="259" w:bottom="1440" w:gutter="0" w:footer="0" w:header="0"/>
        </w:sectPr>
      </w:pPr>
    </w:p>
    <w:bookmarkStart w:id="60" w:name="page61"/>
    <w:bookmarkEnd w:id="60"/>
    <w:p>
      <w:pPr>
        <w:ind w:right="40"/>
        <w:spacing w:after="0" w:line="263" w:lineRule="auto"/>
        <w:rPr>
          <w:sz w:val="20"/>
          <w:szCs w:val="20"/>
          <w:color w:val="auto"/>
        </w:rPr>
      </w:pPr>
      <w:r>
        <w:rPr>
          <w:rFonts w:ascii="Arial" w:cs="Arial" w:eastAsia="Arial" w:hAnsi="Arial"/>
          <w:sz w:val="22"/>
          <w:szCs w:val="22"/>
          <w:color w:val="auto"/>
        </w:rPr>
        <w:t>this Award Agreement, including but not limited to all acts and documents related to compliance with federal and/or state securities and/or tax laws and applicable Irish law.</w:t>
      </w:r>
    </w:p>
    <w:p>
      <w:pPr>
        <w:spacing w:after="0" w:line="215" w:lineRule="exact"/>
        <w:rPr>
          <w:sz w:val="20"/>
          <w:szCs w:val="20"/>
          <w:color w:val="auto"/>
        </w:rPr>
      </w:pPr>
    </w:p>
    <w:p>
      <w:pPr>
        <w:ind w:right="40" w:firstLine="1305"/>
        <w:spacing w:after="0" w:line="287" w:lineRule="auto"/>
        <w:tabs>
          <w:tab w:leader="none" w:pos="178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Entire Performance Award Agreement</w:t>
      </w:r>
      <w:r>
        <w:rPr>
          <w:rFonts w:ascii="Arial" w:cs="Arial" w:eastAsia="Arial" w:hAnsi="Arial"/>
          <w:sz w:val="21"/>
          <w:szCs w:val="21"/>
          <w:color w:val="auto"/>
        </w:rPr>
        <w:t>. This Award Agreement (including Exhibits A and B and Annex A) and the Plan contain the entire agreement and understanding among the parties as to the subject matter hereof.</w:t>
      </w:r>
    </w:p>
    <w:p>
      <w:pPr>
        <w:spacing w:after="0" w:line="192" w:lineRule="exact"/>
        <w:rPr>
          <w:rFonts w:ascii="Arial" w:cs="Arial" w:eastAsia="Arial" w:hAnsi="Arial"/>
          <w:sz w:val="21"/>
          <w:szCs w:val="21"/>
          <w:color w:val="auto"/>
        </w:rPr>
      </w:pPr>
    </w:p>
    <w:p>
      <w:pPr>
        <w:ind w:right="840" w:firstLine="1305"/>
        <w:spacing w:after="0" w:line="263" w:lineRule="auto"/>
        <w:tabs>
          <w:tab w:leader="none" w:pos="178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Headings are used solely for the convenience of the parties and shall not be deemed to be a limitation upon or descriptive of the contents of any such Paragraph.</w:t>
      </w:r>
    </w:p>
    <w:p>
      <w:pPr>
        <w:spacing w:after="0" w:line="215" w:lineRule="exact"/>
        <w:rPr>
          <w:rFonts w:ascii="Arial" w:cs="Arial" w:eastAsia="Arial" w:hAnsi="Arial"/>
          <w:sz w:val="22"/>
          <w:szCs w:val="22"/>
          <w:color w:val="auto"/>
        </w:rPr>
      </w:pPr>
    </w:p>
    <w:p>
      <w:pPr>
        <w:ind w:right="180" w:firstLine="1305"/>
        <w:spacing w:after="0" w:line="287" w:lineRule="auto"/>
        <w:tabs>
          <w:tab w:leader="none" w:pos="178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Award Agreement may be executed in any number of counterparts, each of which shall be deemed to be an original and all of which together shall be deemed to be one and the same instrument.</w:t>
      </w:r>
    </w:p>
    <w:p>
      <w:pPr>
        <w:spacing w:after="0" w:line="192" w:lineRule="exact"/>
        <w:rPr>
          <w:rFonts w:ascii="Arial" w:cs="Arial" w:eastAsia="Arial" w:hAnsi="Arial"/>
          <w:sz w:val="21"/>
          <w:szCs w:val="21"/>
          <w:color w:val="auto"/>
        </w:rPr>
      </w:pPr>
    </w:p>
    <w:p>
      <w:pPr>
        <w:jc w:val="both"/>
        <w:ind w:right="320" w:firstLine="1305"/>
        <w:spacing w:after="0" w:line="253" w:lineRule="auto"/>
        <w:tabs>
          <w:tab w:leader="none" w:pos="178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26"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color w:val="auto"/>
        </w:rPr>
        <w:t>If to Company:</w:t>
      </w:r>
      <w:r>
        <w:rPr>
          <w:sz w:val="20"/>
          <w:szCs w:val="20"/>
          <w:color w:val="auto"/>
        </w:rPr>
        <w:tab/>
      </w:r>
      <w:r>
        <w:rPr>
          <w:rFonts w:ascii="Arial" w:cs="Arial" w:eastAsia="Arial" w:hAnsi="Arial"/>
          <w:sz w:val="19"/>
          <w:szCs w:val="19"/>
          <w:color w:val="auto"/>
        </w:rPr>
        <w:t>Endo International plc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 Endo Health Solutions Inc.</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Malvern, PA 19355</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Treasurer</w:t>
      </w:r>
    </w:p>
    <w:p>
      <w:pPr>
        <w:spacing w:after="0" w:line="24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auto"/>
        </w:rPr>
        <w:t>If to the Participant:</w:t>
      </w:r>
      <w:r>
        <w:rPr>
          <w:sz w:val="20"/>
          <w:szCs w:val="20"/>
          <w:color w:val="auto"/>
        </w:rPr>
        <w:tab/>
      </w:r>
      <w:r>
        <w:rPr>
          <w:rFonts w:ascii="Arial" w:cs="Arial" w:eastAsia="Arial" w:hAnsi="Arial"/>
          <w:sz w:val="19"/>
          <w:szCs w:val="19"/>
          <w:color w:val="auto"/>
        </w:rPr>
        <w:t>At the address on file with the Company.</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Either party hereto may change such party’s address for notices by notice duly given pursuant hereto.</w:t>
      </w:r>
    </w:p>
    <w:p>
      <w:pPr>
        <w:spacing w:after="0" w:line="260" w:lineRule="exact"/>
        <w:rPr>
          <w:sz w:val="20"/>
          <w:szCs w:val="20"/>
          <w:color w:val="auto"/>
        </w:rPr>
      </w:pPr>
    </w:p>
    <w:p>
      <w:pPr>
        <w:ind w:left="1800" w:hanging="495"/>
        <w:spacing w:after="0"/>
        <w:tabs>
          <w:tab w:leader="none" w:pos="180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No amendment or modification hereof shall be valid unless it shall be in writing and signed by all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parties hereto.</w:t>
      </w:r>
    </w:p>
    <w:p>
      <w:pPr>
        <w:spacing w:after="0" w:line="242" w:lineRule="exact"/>
        <w:rPr>
          <w:sz w:val="20"/>
          <w:szCs w:val="20"/>
          <w:color w:val="auto"/>
        </w:rPr>
      </w:pPr>
    </w:p>
    <w:p>
      <w:pPr>
        <w:jc w:val="both"/>
        <w:ind w:right="340" w:firstLine="1305"/>
        <w:spacing w:after="0" w:line="253" w:lineRule="auto"/>
        <w:tabs>
          <w:tab w:leader="none" w:pos="178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Award Agreement. The Participant has read and understands the terms and provisions thereof, and accepts the Performance Award subject to all the terms and conditions of the Plan and this Award Agreement.</w:t>
      </w:r>
    </w:p>
    <w:p>
      <w:pPr>
        <w:spacing w:after="0" w:line="226" w:lineRule="exact"/>
        <w:rPr>
          <w:rFonts w:ascii="Arial" w:cs="Arial" w:eastAsia="Arial" w:hAnsi="Arial"/>
          <w:sz w:val="22"/>
          <w:szCs w:val="22"/>
          <w:color w:val="auto"/>
        </w:rPr>
      </w:pPr>
    </w:p>
    <w:p>
      <w:pPr>
        <w:ind w:right="80" w:firstLine="1305"/>
        <w:spacing w:after="0" w:line="248" w:lineRule="auto"/>
        <w:tabs>
          <w:tab w:leader="none" w:pos="178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No Compensation for Loss of Rights</w:t>
      </w:r>
      <w:r>
        <w:rPr>
          <w:rFonts w:ascii="Arial" w:cs="Arial" w:eastAsia="Arial" w:hAnsi="Arial"/>
          <w:sz w:val="22"/>
          <w:szCs w:val="22"/>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61" w:name="page62"/>
    <w:bookmarkEnd w:id="61"/>
    <w:p>
      <w:pPr>
        <w:ind w:firstLine="1305"/>
        <w:spacing w:after="0" w:line="247" w:lineRule="auto"/>
        <w:tabs>
          <w:tab w:leader="none" w:pos="1783"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All the terms and provisions of this Award Agreement are distinct and severable, and if any term or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234" w:lineRule="exact"/>
        <w:rPr>
          <w:rFonts w:ascii="Arial" w:cs="Arial" w:eastAsia="Arial" w:hAnsi="Arial"/>
          <w:sz w:val="22"/>
          <w:szCs w:val="22"/>
          <w:color w:val="auto"/>
        </w:rPr>
      </w:pPr>
    </w:p>
    <w:p>
      <w:pPr>
        <w:ind w:right="40" w:firstLine="1305"/>
        <w:spacing w:after="0" w:line="288" w:lineRule="auto"/>
        <w:tabs>
          <w:tab w:leader="none" w:pos="178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w:t>
      </w:r>
      <w:r>
        <w:rPr>
          <w:rFonts w:ascii="Arial" w:cs="Arial" w:eastAsia="Arial" w:hAnsi="Arial"/>
          <w:sz w:val="19"/>
          <w:szCs w:val="19"/>
          <w:b w:val="1"/>
          <w:bCs w:val="1"/>
          <w:color w:val="auto"/>
        </w:rPr>
        <w:t>Information</w:t>
      </w:r>
      <w:r>
        <w:rPr>
          <w:rFonts w:ascii="Arial" w:cs="Arial" w:eastAsia="Arial" w:hAnsi="Arial"/>
          <w:sz w:val="19"/>
          <w:szCs w:val="19"/>
          <w:color w:val="auto"/>
        </w:rPr>
        <w:t>”)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right="80" w:firstLine="1305"/>
        <w:spacing w:after="0" w:line="271" w:lineRule="auto"/>
        <w:tabs>
          <w:tab w:leader="none" w:pos="1783"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rPr>
        <w:t>. This Award Agreement is intended to comply with the applicable laws of any country or jurisdiction where the Performance Award is granted under the Plan, and all provisions hereof shall be construed in a manner to so comply. The following provisions apply to Participants providing service in the country noted: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r>
        <w:rPr>
          <w:rFonts w:ascii="Arial" w:cs="Arial" w:eastAsia="Arial" w:hAnsi="Arial"/>
          <w:sz w:val="22"/>
          <w:szCs w:val="22"/>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60" w:lineRule="exact"/>
        <w:rPr>
          <w:sz w:val="20"/>
          <w:szCs w:val="20"/>
          <w:color w:val="auto"/>
        </w:rPr>
      </w:pPr>
    </w:p>
    <w:p>
      <w:pPr>
        <w:ind w:left="1300" w:right="240" w:firstLine="5"/>
        <w:spacing w:after="0" w:line="271" w:lineRule="auto"/>
        <w:tabs>
          <w:tab w:leader="none" w:pos="1764"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 language:</w:t>
      </w:r>
    </w:p>
    <w:p>
      <w:pPr>
        <w:spacing w:after="0" w:line="260" w:lineRule="exact"/>
        <w:rPr>
          <w:sz w:val="20"/>
          <w:szCs w:val="20"/>
          <w:color w:val="auto"/>
        </w:rPr>
      </w:pPr>
    </w:p>
    <w:p>
      <w:pPr>
        <w:ind w:left="1300" w:right="340"/>
        <w:spacing w:after="0" w:line="265" w:lineRule="auto"/>
        <w:rPr>
          <w:sz w:val="20"/>
          <w:szCs w:val="20"/>
          <w:color w:val="auto"/>
        </w:rPr>
      </w:pPr>
      <w:r>
        <w:rPr>
          <w:rFonts w:ascii="Arial" w:cs="Arial" w:eastAsia="Arial" w:hAnsi="Arial"/>
          <w:sz w:val="21"/>
          <w:szCs w:val="21"/>
          <w:color w:val="auto"/>
        </w:rPr>
        <w:t>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62" w:name="page63"/>
    <w:bookmarkEnd w:id="62"/>
    <w:p>
      <w:pPr>
        <w:jc w:val="both"/>
        <w:ind w:left="1300" w:right="20"/>
        <w:spacing w:after="0" w:line="253" w:lineRule="auto"/>
        <w:rPr>
          <w:sz w:val="20"/>
          <w:szCs w:val="20"/>
          <w:color w:val="auto"/>
        </w:rPr>
      </w:pPr>
      <w:r>
        <w:rPr>
          <w:rFonts w:ascii="Arial" w:cs="Arial" w:eastAsia="Arial" w:hAnsi="Arial"/>
          <w:sz w:val="22"/>
          <w:szCs w:val="22"/>
          <w:color w:val="auto"/>
        </w:rPr>
        <w:t>the time of exercise or other delivery of shares of Company Stock for any sums required by federal, state or local tax law to be withheld or to satisfy any applicable payroll deductions with respect to the vesting of, lapse of restrictions on, or payment of any Performance Award.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India:</w:t>
      </w:r>
    </w:p>
    <w:p>
      <w:pPr>
        <w:spacing w:after="0" w:line="266"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As used herein, “Participant” shall have the meaning set forth in the Plan, except the term shall not include consultants of any Subsidiary in India.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4(b) shall be deleted in its entirety and replaced with the following language:</w:t>
      </w:r>
    </w:p>
    <w:p>
      <w:pPr>
        <w:spacing w:after="0" w:line="260"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Upon termination of the Participant’s service on account of death prior to the either the TSR Vesting Date or the FCF Vesting Date, the Participant’s Performance Award shall immediately vest in his legal heirs or nominees, subject to fulfilment of the performance conditions specified in Exhibits A and B and shall be settled in shares of Company Stock for the benefit of the Participant’s estate no later than the later of the end of the calendar year in which the Participant’s death occurs or the fifteenth day of the third calendar month following the Participant’s death.</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Section 4(c) shall be deleted in its entirety and replaced with the following language:</w:t>
      </w:r>
    </w:p>
    <w:p>
      <w:pPr>
        <w:spacing w:after="0" w:line="26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u w:val="single" w:color="auto"/>
          <w:color w:val="auto"/>
        </w:rPr>
        <w:t>Termination of Service on Account of Voluntary Retirement with Consent of Company</w:t>
      </w:r>
      <w:r>
        <w:rPr>
          <w:rFonts w:ascii="Arial" w:cs="Arial" w:eastAsia="Arial" w:hAnsi="Arial"/>
          <w:sz w:val="22"/>
          <w:szCs w:val="22"/>
          <w:color w:val="auto"/>
        </w:rPr>
        <w:t>. If the Participant voluntarily Retires with the consent of the Company, the unvested portion, if any, of the Participant’s Performance Award as of the date of termination shall stand vested on the date of termination of service, subject to the fulfilment of the performance conditions specified in Exhibits A and B.</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4(d) shall be deleted in its entirety and replaced with the following language:</w:t>
      </w:r>
    </w:p>
    <w:p>
      <w:pPr>
        <w:spacing w:after="0" w:line="260"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the unvested portion, if any, of the Participant’s Performance Award as of the date of such Disability shall continue to be eligible to vest in accordance with the performance-based vesting conditions set forth on Exhibits A and B regardless of any subsequent termination of service, provided such Disability does not result in termination of service. In the event of termination of service, the unvested portion, if any, of the Performance Award shall vest in him on the date of termination.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Section 10 shall be deleted in its entirety and replaced with the following language:</w:t>
      </w:r>
    </w:p>
    <w:p>
      <w:pPr>
        <w:spacing w:after="0" w:line="26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Subsidiary under whose payroll the Participant is registered shall have the right to deduct or withhold from the Performance Award or payroll of the Participant an amount sufficient to satisfy income taxes required by law to be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63" w:name="page64"/>
    <w:bookmarkEnd w:id="63"/>
    <w:p>
      <w:pPr>
        <w:jc w:val="both"/>
        <w:ind w:left="1300"/>
        <w:spacing w:after="0" w:line="246" w:lineRule="auto"/>
        <w:rPr>
          <w:sz w:val="20"/>
          <w:szCs w:val="20"/>
          <w:color w:val="auto"/>
        </w:rPr>
      </w:pPr>
      <w:r>
        <w:rPr>
          <w:rFonts w:ascii="Arial" w:cs="Arial" w:eastAsia="Arial" w:hAnsi="Arial"/>
          <w:sz w:val="22"/>
          <w:szCs w:val="22"/>
          <w:color w:val="auto"/>
        </w:rPr>
        <w:t>withheld with respect to the vesting of, lapse of restrictions on, or payment of the Performance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Section 13 shall be amended to delete the term “transferees”.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Section 14 shall be deleted in its entirety and replaced with the following language:</w:t>
      </w:r>
    </w:p>
    <w:p>
      <w:pPr>
        <w:spacing w:after="0" w:line="260" w:lineRule="exact"/>
        <w:rPr>
          <w:sz w:val="20"/>
          <w:szCs w:val="20"/>
          <w:color w:val="auto"/>
        </w:rPr>
      </w:pPr>
    </w:p>
    <w:p>
      <w:pPr>
        <w:ind w:left="1300" w:right="20"/>
        <w:spacing w:after="0" w:line="253" w:lineRule="auto"/>
        <w:rPr>
          <w:sz w:val="20"/>
          <w:szCs w:val="20"/>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but subject to the assignment of the Performance Award upon death of the Participant, neither this Award Agreement nor any rights granted herein shall be assignable by the Participant.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15 shall be deleted in its entirety and replaced with the following language:</w:t>
      </w:r>
    </w:p>
    <w:p>
      <w:pPr>
        <w:spacing w:after="0" w:line="260" w:lineRule="exact"/>
        <w:rPr>
          <w:sz w:val="20"/>
          <w:szCs w:val="20"/>
          <w:color w:val="auto"/>
        </w:rPr>
      </w:pPr>
    </w:p>
    <w:p>
      <w:pPr>
        <w:jc w:val="both"/>
        <w:ind w:left="1300" w:right="120"/>
        <w:spacing w:after="0" w:line="297" w:lineRule="auto"/>
        <w:rPr>
          <w:sz w:val="20"/>
          <w:szCs w:val="20"/>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r>
        <w:rPr>
          <w:rFonts w:ascii="Arial" w:cs="Arial" w:eastAsia="Arial" w:hAnsi="Arial"/>
          <w:sz w:val="22"/>
          <w:szCs w:val="22"/>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words “transferees, assignees” therefrom.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60" w:lineRule="exact"/>
        <w:rPr>
          <w:sz w:val="20"/>
          <w:szCs w:val="20"/>
          <w:color w:val="auto"/>
        </w:rPr>
      </w:pPr>
    </w:p>
    <w:p>
      <w:pPr>
        <w:ind w:left="1300" w:right="160"/>
        <w:spacing w:after="0" w:line="250" w:lineRule="auto"/>
        <w:rPr>
          <w:sz w:val="20"/>
          <w:szCs w:val="20"/>
          <w:color w:val="auto"/>
        </w:rPr>
      </w:pPr>
      <w:r>
        <w:rPr>
          <w:rFonts w:ascii="Arial" w:cs="Arial" w:eastAsia="Arial" w:hAnsi="Arial"/>
          <w:sz w:val="22"/>
          <w:szCs w:val="22"/>
          <w:u w:val="single" w:color="auto"/>
          <w:color w:val="auto"/>
        </w:rPr>
        <w:t>No Assignment or Transfer</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Mexico</w:t>
      </w:r>
      <w:r>
        <w:rPr>
          <w:rFonts w:ascii="Arial" w:cs="Arial" w:eastAsia="Arial" w:hAnsi="Arial"/>
          <w:sz w:val="22"/>
          <w:szCs w:val="22"/>
          <w:color w:val="auto"/>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Section 10 above shall be deleted and be of no force and effect.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Section 21 above shall be amended to add the following language:</w:t>
      </w:r>
    </w:p>
    <w:p>
      <w:pPr>
        <w:spacing w:after="0" w:line="260"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color w:val="auto"/>
        </w:rPr>
        <w:t>The Performance Award shall not become part of the Participant’s salary or compensation, nor an acquired right, since it is not intended to compensate the Participant for his/her service to his/her employer but to be part of a global employee retention plan implemented by the Company. Therefore, the Plan, or the right of the Participant to receive any awards pursuant to the Plan, may be modified or terminated at any time. In addition, the value of such Performance Awards will not be considered at any time for purposes of the Participant’s severance calculations.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 Africa</w:t>
      </w:r>
      <w:r>
        <w:rPr>
          <w:rFonts w:ascii="Arial" w:cs="Arial" w:eastAsia="Arial" w:hAnsi="Arial"/>
          <w:sz w:val="22"/>
          <w:szCs w:val="22"/>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amended to include the language in bold:</w:t>
      </w:r>
    </w:p>
    <w:p>
      <w:pPr>
        <w:spacing w:after="0" w:line="254" w:lineRule="exact"/>
        <w:rPr>
          <w:sz w:val="20"/>
          <w:szCs w:val="20"/>
          <w:color w:val="auto"/>
        </w:rPr>
      </w:pPr>
    </w:p>
    <w:p>
      <w:pPr>
        <w:ind w:left="1300"/>
        <w:spacing w:after="0" w:line="291" w:lineRule="auto"/>
        <w:rPr>
          <w:sz w:val="20"/>
          <w:szCs w:val="20"/>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The Company </w:t>
      </w:r>
      <w:r>
        <w:rPr>
          <w:rFonts w:ascii="Arial" w:cs="Arial" w:eastAsia="Arial" w:hAnsi="Arial"/>
          <w:sz w:val="19"/>
          <w:szCs w:val="19"/>
          <w:b w:val="1"/>
          <w:bCs w:val="1"/>
          <w:color w:val="auto"/>
        </w:rPr>
        <w:t>and/or the Participant’s employer</w:t>
      </w:r>
      <w:r>
        <w:rPr>
          <w:rFonts w:ascii="Arial" w:cs="Arial" w:eastAsia="Arial" w:hAnsi="Arial"/>
          <w:sz w:val="19"/>
          <w:szCs w:val="19"/>
          <w:color w:val="auto"/>
        </w:rPr>
        <w:t xml:space="preserve"> shall be entitled to require a cash payment by or on behalf of the Participant and/or to deduct from the Performance Award granted hereunder of compensation payable to the Participant </w:t>
      </w:r>
      <w:r>
        <w:rPr>
          <w:rFonts w:ascii="Arial" w:cs="Arial" w:eastAsia="Arial" w:hAnsi="Arial"/>
          <w:sz w:val="19"/>
          <w:szCs w:val="19"/>
          <w:b w:val="1"/>
          <w:bCs w:val="1"/>
          <w:color w:val="auto"/>
        </w:rPr>
        <w:t>and/or from any other compensation payable to the Participant</w:t>
      </w:r>
      <w:r>
        <w:rPr>
          <w:rFonts w:ascii="Arial" w:cs="Arial" w:eastAsia="Arial" w:hAnsi="Arial"/>
          <w:sz w:val="19"/>
          <w:szCs w:val="19"/>
          <w:color w:val="auto"/>
        </w:rPr>
        <w:t xml:space="preserve"> any sums required by federal, state or local tax law to be withheld or to satisfy any applicable payroll deductions with respect to the vesting of, lapse of restrictions on, or payment of the Performance Award. A Participant who is an officer or director subject to the provisions of Section 16 of the Exchange Act as of the date of the withholding requirement may satisfy the foregoing requirement by electing to have the Company </w:t>
      </w:r>
      <w:r>
        <w:rPr>
          <w:rFonts w:ascii="Arial" w:cs="Arial" w:eastAsia="Arial" w:hAnsi="Arial"/>
          <w:sz w:val="19"/>
          <w:szCs w:val="19"/>
          <w:b w:val="1"/>
          <w:bCs w:val="1"/>
          <w:color w:val="auto"/>
        </w:rPr>
        <w:t>and/or the Participant’s employer</w:t>
      </w:r>
      <w:r>
        <w:rPr>
          <w:rFonts w:ascii="Arial" w:cs="Arial" w:eastAsia="Arial" w:hAnsi="Arial"/>
          <w:sz w:val="19"/>
          <w:szCs w:val="19"/>
          <w:color w:val="auto"/>
        </w:rPr>
        <w:t xml:space="preserve"> withhold from delivery shares of Company Stock in accordance with Section 12(b) of the Plan.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Section 15 above shall be amended to include the language in bold:</w:t>
      </w:r>
    </w:p>
    <w:p>
      <w:pPr>
        <w:spacing w:after="0" w:line="260" w:lineRule="exact"/>
        <w:rPr>
          <w:sz w:val="20"/>
          <w:szCs w:val="20"/>
          <w:color w:val="auto"/>
        </w:rPr>
      </w:pPr>
    </w:p>
    <w:p>
      <w:pPr>
        <w:ind w:left="1300" w:right="80"/>
        <w:spacing w:after="0" w:line="297" w:lineRule="auto"/>
        <w:rPr>
          <w:sz w:val="20"/>
          <w:szCs w:val="20"/>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rPr>
        <w:t xml:space="preserve">.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 </w:t>
      </w:r>
      <w:r>
        <w:rPr>
          <w:rFonts w:ascii="Arial" w:cs="Arial" w:eastAsia="Arial" w:hAnsi="Arial"/>
          <w:sz w:val="19"/>
          <w:szCs w:val="19"/>
          <w:b w:val="1"/>
          <w:bCs w:val="1"/>
          <w:color w:val="auto"/>
        </w:rPr>
        <w:t>Participant’s participation in terms of this Award Agreement is subject to compliance by the Participant</w:t>
      </w:r>
      <w:r>
        <w:rPr>
          <w:rFonts w:ascii="Arial" w:cs="Arial" w:eastAsia="Arial" w:hAnsi="Arial"/>
          <w:sz w:val="19"/>
          <w:szCs w:val="19"/>
          <w:color w:val="auto"/>
        </w:rPr>
        <w:t xml:space="preserve"> </w:t>
      </w:r>
      <w:r>
        <w:rPr>
          <w:rFonts w:ascii="Arial" w:cs="Arial" w:eastAsia="Arial" w:hAnsi="Arial"/>
          <w:sz w:val="19"/>
          <w:szCs w:val="19"/>
          <w:b w:val="1"/>
          <w:bCs w:val="1"/>
          <w:color w:val="auto"/>
        </w:rPr>
        <w:t>with all applicable South African exchange control laws and rules.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21 above shall be amended to add the following provisions:</w:t>
      </w:r>
    </w:p>
    <w:p>
      <w:pPr>
        <w:spacing w:after="0" w:line="260" w:lineRule="exact"/>
        <w:rPr>
          <w:sz w:val="20"/>
          <w:szCs w:val="20"/>
          <w:color w:val="auto"/>
        </w:rPr>
      </w:pPr>
    </w:p>
    <w:p>
      <w:pPr>
        <w:ind w:left="1300" w:right="300"/>
        <w:spacing w:after="0" w:line="263" w:lineRule="auto"/>
        <w:rPr>
          <w:sz w:val="20"/>
          <w:szCs w:val="20"/>
          <w:color w:val="auto"/>
        </w:rPr>
      </w:pPr>
      <w:r>
        <w:rPr>
          <w:rFonts w:ascii="Arial" w:cs="Arial" w:eastAsia="Arial" w:hAnsi="Arial"/>
          <w:sz w:val="22"/>
          <w:szCs w:val="22"/>
          <w:color w:val="auto"/>
        </w:rPr>
        <w:t>This Performance Award contains no promise of any future awards. In other words, by the Participant’s signature below, he/she agrees that he/she will have no</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631" w:right="279" w:bottom="1440" w:gutter="0" w:footer="0" w:header="0"/>
        </w:sectPr>
      </w:pPr>
    </w:p>
    <w:bookmarkStart w:id="65" w:name="page66"/>
    <w:bookmarkEnd w:id="65"/>
    <w:p>
      <w:pPr>
        <w:ind w:left="1300" w:right="620"/>
        <w:spacing w:after="0" w:line="263" w:lineRule="auto"/>
        <w:rPr>
          <w:sz w:val="20"/>
          <w:szCs w:val="20"/>
          <w:color w:val="auto"/>
        </w:rPr>
      </w:pPr>
      <w:r>
        <w:rPr>
          <w:rFonts w:ascii="Arial" w:cs="Arial" w:eastAsia="Arial" w:hAnsi="Arial"/>
          <w:sz w:val="22"/>
          <w:szCs w:val="22"/>
          <w:color w:val="auto"/>
        </w:rPr>
        <w:t>entitlement or claim to, or expectation of, receiving further awards on the basis of this Performance Award or previous awards.</w:t>
      </w:r>
    </w:p>
    <w:p>
      <w:pPr>
        <w:spacing w:after="0" w:line="215" w:lineRule="exact"/>
        <w:rPr>
          <w:sz w:val="20"/>
          <w:szCs w:val="20"/>
          <w:color w:val="auto"/>
        </w:rPr>
      </w:pPr>
    </w:p>
    <w:p>
      <w:pPr>
        <w:ind w:left="1300" w:right="20"/>
        <w:spacing w:after="0" w:line="294" w:lineRule="auto"/>
        <w:rPr>
          <w:sz w:val="20"/>
          <w:szCs w:val="20"/>
          <w:color w:val="auto"/>
        </w:rPr>
      </w:pPr>
      <w:r>
        <w:rPr>
          <w:rFonts w:ascii="Arial" w:cs="Arial" w:eastAsia="Arial" w:hAnsi="Arial"/>
          <w:sz w:val="19"/>
          <w:szCs w:val="19"/>
          <w:color w:val="auto"/>
        </w:rPr>
        <w:t>The Performance Award shall not constitute part of the Participant’s terms and conditions of employment, including without limitation his/her remuneration, nor an acquired right, since it is not intended to compensate the Participant for his/her service to his/her employer. Therefore, the Plan, or the right of the Participant to receive awards pursuant to the Plan, may be amended, supplemented, substituted or terminated at any time. In addition, the value of such Performance Awards will not be considered at any time for purposes of calculating any leave pay, notice pay, severance pay or compensation or the like, which may be due or awarded to the Participant.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66"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208"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w:t>
      </w:r>
    </w:p>
    <w:p>
      <w:pPr>
        <w:spacing w:after="0" w:line="260" w:lineRule="exact"/>
        <w:rPr>
          <w:sz w:val="20"/>
          <w:szCs w:val="20"/>
          <w:color w:val="auto"/>
        </w:rPr>
      </w:pPr>
    </w:p>
    <w:p>
      <w:pPr>
        <w:ind w:left="1300"/>
        <w:spacing w:after="0" w:line="286" w:lineRule="auto"/>
        <w:rPr>
          <w:sz w:val="20"/>
          <w:szCs w:val="20"/>
          <w:color w:val="auto"/>
        </w:rPr>
      </w:pPr>
      <w:r>
        <w:rPr>
          <w:rFonts w:ascii="Arial" w:cs="Arial" w:eastAsia="Arial" w:hAnsi="Arial"/>
          <w:sz w:val="19"/>
          <w:szCs w:val="19"/>
          <w:u w:val="single" w:color="auto"/>
          <w:color w:val="auto"/>
        </w:rPr>
        <w:t>Tax Liabilities</w:t>
      </w:r>
      <w:r>
        <w:rPr>
          <w:rFonts w:ascii="Arial" w:cs="Arial" w:eastAsia="Arial" w:hAnsi="Arial"/>
          <w:sz w:val="19"/>
          <w:szCs w:val="19"/>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w:t>
      </w:r>
    </w:p>
    <w:p>
      <w:pPr>
        <w:spacing w:after="0" w:line="3" w:lineRule="exact"/>
        <w:rPr>
          <w:sz w:val="20"/>
          <w:szCs w:val="20"/>
          <w:color w:val="auto"/>
        </w:rPr>
      </w:pPr>
    </w:p>
    <w:p>
      <w:pPr>
        <w:ind w:left="1300" w:firstLine="5"/>
        <w:spacing w:after="0" w:line="288" w:lineRule="auto"/>
        <w:tabs>
          <w:tab w:leader="none" w:pos="1642"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w:t>
      </w:r>
      <w:r>
        <w:rPr>
          <w:rFonts w:ascii="Arial" w:cs="Arial" w:eastAsia="Arial" w:hAnsi="Arial"/>
          <w:sz w:val="19"/>
          <w:szCs w:val="19"/>
          <w:b w:val="1"/>
          <w:bCs w:val="1"/>
          <w:color w:val="auto"/>
        </w:rPr>
        <w:t>ITEPA</w:t>
      </w:r>
      <w:r>
        <w:rPr>
          <w:rFonts w:ascii="Arial" w:cs="Arial" w:eastAsia="Arial" w:hAnsi="Arial"/>
          <w:sz w:val="19"/>
          <w:szCs w:val="19"/>
          <w:color w:val="auto"/>
        </w:rPr>
        <w:t>”), in respect of the Company Stock delivered pursuant to a Performance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375" w:right="299" w:bottom="1440" w:gutter="0" w:footer="0" w:header="0"/>
        </w:sectPr>
      </w:pPr>
    </w:p>
    <w:bookmarkStart w:id="66" w:name="page67"/>
    <w:bookmarkEnd w:id="66"/>
    <w:p>
      <w:pPr>
        <w:jc w:val="both"/>
        <w:ind w:left="1300" w:right="4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Employer NICs</w:t>
      </w:r>
      <w:r>
        <w:rPr>
          <w:rFonts w:ascii="Arial" w:cs="Arial" w:eastAsia="Arial" w:hAnsi="Arial"/>
          <w:sz w:val="22"/>
          <w:szCs w:val="22"/>
          <w:color w:val="auto"/>
        </w:rPr>
        <w:t>”: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221" w:lineRule="exact"/>
        <w:rPr>
          <w:sz w:val="20"/>
          <w:szCs w:val="20"/>
          <w:color w:val="auto"/>
        </w:rPr>
      </w:pPr>
    </w:p>
    <w:p>
      <w:pPr>
        <w:ind w:left="1300" w:right="6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Taxable Event</w:t>
      </w:r>
      <w:r>
        <w:rPr>
          <w:rFonts w:ascii="Arial" w:cs="Arial" w:eastAsia="Arial" w:hAnsi="Arial"/>
          <w:sz w:val="19"/>
          <w:szCs w:val="19"/>
          <w:color w:val="auto"/>
        </w:rPr>
        <w:t>”: any event or circumstance that gives rise to a liability for the Participant to pay income tax and national insurance contributions or either of them in respect of: (a) the Performance Award, including its assignment or surrender for consideration, or the receipt of any benefit in connection with it; (b) any shares (or other securities or assets): (i) earmarked or held to satisfy the Performance Award; (ii) acquired pursuant to the Performance Award; or (iv) acquired in consideration of the assignment or surrender of the Performance Award; (c) any securities (or other assets) acquired or earmarked as a result of holding shares (or other securities or assets) mentioned in (b); or</w:t>
      </w:r>
    </w:p>
    <w:p>
      <w:pPr>
        <w:spacing w:after="0" w:line="1" w:lineRule="exact"/>
        <w:rPr>
          <w:sz w:val="20"/>
          <w:szCs w:val="20"/>
          <w:color w:val="auto"/>
        </w:rPr>
      </w:pPr>
    </w:p>
    <w:p>
      <w:pPr>
        <w:ind w:left="1300" w:right="120" w:firstLine="5"/>
        <w:spacing w:after="0" w:line="246" w:lineRule="auto"/>
        <w:tabs>
          <w:tab w:leader="none" w:pos="160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amount due in respect of assets within (a) to (c) above and not made good by the Participant within the time limit specified in section 222 ITEPA.</w:t>
      </w:r>
    </w:p>
    <w:p>
      <w:pPr>
        <w:spacing w:after="0" w:line="227" w:lineRule="exact"/>
        <w:rPr>
          <w:sz w:val="20"/>
          <w:szCs w:val="20"/>
          <w:color w:val="auto"/>
        </w:rPr>
      </w:pPr>
    </w:p>
    <w:p>
      <w:pPr>
        <w:ind w:left="13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Liability</w:t>
      </w:r>
      <w:r>
        <w:rPr>
          <w:rFonts w:ascii="Arial" w:cs="Arial" w:eastAsia="Arial" w:hAnsi="Arial"/>
          <w:sz w:val="22"/>
          <w:szCs w:val="22"/>
          <w:color w:val="auto"/>
        </w:rPr>
        <w:t>”: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22 shall be replaced by the following provision:</w:t>
      </w:r>
    </w:p>
    <w:p>
      <w:pPr>
        <w:spacing w:after="0" w:line="260" w:lineRule="exact"/>
        <w:rPr>
          <w:sz w:val="20"/>
          <w:szCs w:val="20"/>
          <w:color w:val="auto"/>
        </w:rPr>
      </w:pPr>
    </w:p>
    <w:p>
      <w:pPr>
        <w:ind w:left="1300" w:right="20"/>
        <w:spacing w:after="0" w:line="290" w:lineRule="auto"/>
        <w:rPr>
          <w:sz w:val="20"/>
          <w:szCs w:val="20"/>
          <w:color w:val="auto"/>
        </w:rPr>
      </w:pPr>
      <w:r>
        <w:rPr>
          <w:rFonts w:ascii="Arial" w:cs="Arial" w:eastAsia="Arial" w:hAnsi="Arial"/>
          <w:sz w:val="19"/>
          <w:szCs w:val="19"/>
          <w:color w:val="auto"/>
        </w:rPr>
        <w:t>Nothing contained in the Plan or this Performance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Performance Award the Participant shall be deemed irrevocably to have waived any such entitlement.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25"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IN WITNESS WHEREOF, the parties hereto have executed this Award Agreement as of the date set forth above.</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Name: Paul V. Campanelli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Signature: 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847"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1300" w:hanging="968"/>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TSR Performance Criteria</w:t>
      </w:r>
      <w:r>
        <w:rPr>
          <w:rFonts w:ascii="Arial" w:cs="Arial" w:eastAsia="Arial" w:hAnsi="Arial"/>
          <w:sz w:val="22"/>
          <w:szCs w:val="22"/>
          <w:color w:val="auto"/>
        </w:rPr>
        <w:t>.</w:t>
      </w:r>
    </w:p>
    <w:p>
      <w:pPr>
        <w:spacing w:after="0" w:line="226"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2"/>
          <w:szCs w:val="22"/>
          <w:color w:val="auto"/>
        </w:rPr>
        <w:t>The Participant will be entitled to receive a number of shares of Company Stock as of the TSR Vesting Date, equal to a multiple of the TSR Target Performance Award achieved based on achievement of targets relating to Relative TSR (the “</w:t>
      </w:r>
      <w:r>
        <w:rPr>
          <w:rFonts w:ascii="Arial" w:cs="Arial" w:eastAsia="Arial" w:hAnsi="Arial"/>
          <w:sz w:val="22"/>
          <w:szCs w:val="22"/>
          <w:b w:val="1"/>
          <w:bCs w:val="1"/>
          <w:i w:val="1"/>
          <w:iCs w:val="1"/>
          <w:color w:val="auto"/>
        </w:rPr>
        <w:t>TSR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as described below for the TSR Performance Period: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6860" w:type="dxa"/>
            <w:vAlign w:val="bottom"/>
            <w:shd w:val="clear" w:color="auto" w:fill="BFBFBF"/>
          </w:tcPr>
          <w:p>
            <w:pPr>
              <w:spacing w:after="0"/>
              <w:rPr>
                <w:sz w:val="24"/>
                <w:szCs w:val="24"/>
                <w:color w:val="auto"/>
              </w:rPr>
            </w:pPr>
          </w:p>
        </w:tc>
        <w:tc>
          <w:tcPr>
            <w:tcW w:w="4560" w:type="dxa"/>
            <w:vAlign w:val="bottom"/>
            <w:gridSpan w:val="2"/>
            <w:shd w:val="clear" w:color="auto" w:fill="BFBFBF"/>
          </w:tcPr>
          <w:p>
            <w:pPr>
              <w:jc w:val="center"/>
              <w:ind w:left="112"/>
              <w:spacing w:after="0"/>
              <w:rPr>
                <w:sz w:val="20"/>
                <w:szCs w:val="20"/>
                <w:color w:val="auto"/>
              </w:rPr>
            </w:pPr>
            <w:r>
              <w:rPr>
                <w:rFonts w:ascii="Arial" w:cs="Arial" w:eastAsia="Arial" w:hAnsi="Arial"/>
                <w:sz w:val="22"/>
                <w:szCs w:val="22"/>
                <w:b w:val="1"/>
                <w:bCs w:val="1"/>
                <w:color w:val="auto"/>
                <w:w w:val="91"/>
              </w:rPr>
              <w:t>Multiple Applicable to TSR Target</w:t>
            </w:r>
          </w:p>
        </w:tc>
      </w:tr>
      <w:tr>
        <w:trPr>
          <w:trHeight w:val="298"/>
        </w:trPr>
        <w:tc>
          <w:tcPr>
            <w:tcW w:w="6860" w:type="dxa"/>
            <w:vAlign w:val="bottom"/>
            <w:shd w:val="clear" w:color="auto" w:fill="BFBFBF"/>
          </w:tcPr>
          <w:p>
            <w:pPr>
              <w:jc w:val="center"/>
              <w:ind w:left="132"/>
              <w:spacing w:after="0"/>
              <w:rPr>
                <w:sz w:val="20"/>
                <w:szCs w:val="20"/>
                <w:color w:val="auto"/>
              </w:rPr>
            </w:pPr>
            <w:r>
              <w:rPr>
                <w:rFonts w:ascii="Arial" w:cs="Arial" w:eastAsia="Arial" w:hAnsi="Arial"/>
                <w:sz w:val="22"/>
                <w:szCs w:val="22"/>
                <w:b w:val="1"/>
                <w:bCs w:val="1"/>
                <w:color w:val="auto"/>
                <w:w w:val="90"/>
              </w:rPr>
              <w:t>Relative TSR</w:t>
            </w:r>
          </w:p>
        </w:tc>
        <w:tc>
          <w:tcPr>
            <w:tcW w:w="4560" w:type="dxa"/>
            <w:vAlign w:val="bottom"/>
            <w:gridSpan w:val="2"/>
            <w:shd w:val="clear" w:color="auto" w:fill="BFBFBF"/>
          </w:tcPr>
          <w:p>
            <w:pPr>
              <w:jc w:val="center"/>
              <w:ind w:left="112"/>
              <w:spacing w:after="0"/>
              <w:rPr>
                <w:sz w:val="20"/>
                <w:szCs w:val="20"/>
                <w:color w:val="auto"/>
              </w:rPr>
            </w:pPr>
            <w:r>
              <w:rPr>
                <w:rFonts w:ascii="Arial" w:cs="Arial" w:eastAsia="Arial" w:hAnsi="Arial"/>
                <w:sz w:val="22"/>
                <w:szCs w:val="22"/>
                <w:b w:val="1"/>
                <w:bCs w:val="1"/>
                <w:color w:val="auto"/>
                <w:w w:val="89"/>
              </w:rPr>
              <w:t>Performance Award</w:t>
            </w:r>
          </w:p>
        </w:tc>
      </w:tr>
      <w:tr>
        <w:trPr>
          <w:trHeight w:val="599"/>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8"/>
              </w:rPr>
              <w:t>Equal to or above 90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320" w:type="dxa"/>
            <w:vAlign w:val="bottom"/>
          </w:tcPr>
          <w:p>
            <w:pPr>
              <w:spacing w:after="0"/>
              <w:rPr>
                <w:sz w:val="24"/>
                <w:szCs w:val="24"/>
                <w:color w:val="auto"/>
              </w:rPr>
            </w:pPr>
          </w:p>
        </w:tc>
        <w:tc>
          <w:tcPr>
            <w:tcW w:w="2240" w:type="dxa"/>
            <w:vAlign w:val="bottom"/>
          </w:tcPr>
          <w:p>
            <w:pPr>
              <w:jc w:val="center"/>
              <w:ind w:right="1992"/>
              <w:spacing w:after="0"/>
              <w:rPr>
                <w:sz w:val="20"/>
                <w:szCs w:val="20"/>
                <w:color w:val="auto"/>
              </w:rPr>
            </w:pPr>
            <w:r>
              <w:rPr>
                <w:rFonts w:ascii="Arial" w:cs="Arial" w:eastAsia="Arial" w:hAnsi="Arial"/>
                <w:sz w:val="22"/>
                <w:szCs w:val="22"/>
                <w:color w:val="auto"/>
                <w:w w:val="81"/>
              </w:rPr>
              <w:t>2</w:t>
            </w:r>
          </w:p>
        </w:tc>
      </w:tr>
      <w:tr>
        <w:trPr>
          <w:trHeight w:val="513"/>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8"/>
              </w:rPr>
              <w:t>Equal to or above 80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 but below 90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4560" w:type="dxa"/>
            <w:vAlign w:val="bottom"/>
            <w:gridSpan w:val="2"/>
          </w:tcPr>
          <w:p>
            <w:pPr>
              <w:jc w:val="center"/>
              <w:ind w:left="112"/>
              <w:spacing w:after="0"/>
              <w:rPr>
                <w:sz w:val="20"/>
                <w:szCs w:val="20"/>
                <w:color w:val="auto"/>
              </w:rPr>
            </w:pPr>
            <w:r>
              <w:rPr>
                <w:rFonts w:ascii="Arial" w:cs="Arial" w:eastAsia="Arial" w:hAnsi="Arial"/>
                <w:sz w:val="22"/>
                <w:szCs w:val="22"/>
                <w:color w:val="auto"/>
                <w:w w:val="89"/>
              </w:rPr>
              <w:t>1.61 - 1.80</w:t>
            </w:r>
          </w:p>
        </w:tc>
      </w:tr>
      <w:tr>
        <w:trPr>
          <w:trHeight w:val="513"/>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8"/>
              </w:rPr>
              <w:t>Equal to or above 70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 but below 80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4560" w:type="dxa"/>
            <w:vAlign w:val="bottom"/>
            <w:gridSpan w:val="2"/>
          </w:tcPr>
          <w:p>
            <w:pPr>
              <w:jc w:val="center"/>
              <w:ind w:left="112"/>
              <w:spacing w:after="0"/>
              <w:rPr>
                <w:sz w:val="20"/>
                <w:szCs w:val="20"/>
                <w:color w:val="auto"/>
              </w:rPr>
            </w:pPr>
            <w:r>
              <w:rPr>
                <w:rFonts w:ascii="Arial" w:cs="Arial" w:eastAsia="Arial" w:hAnsi="Arial"/>
                <w:sz w:val="22"/>
                <w:szCs w:val="22"/>
                <w:color w:val="auto"/>
                <w:w w:val="89"/>
              </w:rPr>
              <w:t>1.41 - 1.60</w:t>
            </w:r>
          </w:p>
        </w:tc>
      </w:tr>
      <w:tr>
        <w:trPr>
          <w:trHeight w:val="513"/>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8"/>
              </w:rPr>
              <w:t>Equal to or above 60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 but below 70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320" w:type="dxa"/>
            <w:vAlign w:val="bottom"/>
          </w:tcPr>
          <w:p>
            <w:pPr>
              <w:jc w:val="right"/>
              <w:spacing w:after="0"/>
              <w:rPr>
                <w:sz w:val="20"/>
                <w:szCs w:val="20"/>
                <w:color w:val="auto"/>
              </w:rPr>
            </w:pPr>
            <w:r>
              <w:rPr>
                <w:rFonts w:ascii="Arial" w:cs="Arial" w:eastAsia="Arial" w:hAnsi="Arial"/>
                <w:sz w:val="22"/>
                <w:szCs w:val="22"/>
                <w:color w:val="auto"/>
              </w:rPr>
              <w:t>1.21</w:t>
            </w:r>
          </w:p>
        </w:tc>
        <w:tc>
          <w:tcPr>
            <w:tcW w:w="2240" w:type="dxa"/>
            <w:vAlign w:val="bottom"/>
          </w:tcPr>
          <w:p>
            <w:pPr>
              <w:ind w:left="20"/>
              <w:spacing w:after="0"/>
              <w:rPr>
                <w:sz w:val="20"/>
                <w:szCs w:val="20"/>
                <w:color w:val="auto"/>
              </w:rPr>
            </w:pPr>
            <w:r>
              <w:rPr>
                <w:rFonts w:ascii="Arial" w:cs="Arial" w:eastAsia="Arial" w:hAnsi="Arial"/>
                <w:sz w:val="22"/>
                <w:szCs w:val="22"/>
                <w:color w:val="auto"/>
              </w:rPr>
              <w:t>– 1.40</w:t>
            </w:r>
          </w:p>
        </w:tc>
      </w:tr>
      <w:tr>
        <w:trPr>
          <w:trHeight w:val="513"/>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8"/>
              </w:rPr>
              <w:t>Equal to or above 50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 but below 60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320" w:type="dxa"/>
            <w:vAlign w:val="bottom"/>
          </w:tcPr>
          <w:p>
            <w:pPr>
              <w:jc w:val="right"/>
              <w:spacing w:after="0"/>
              <w:rPr>
                <w:sz w:val="20"/>
                <w:szCs w:val="20"/>
                <w:color w:val="auto"/>
              </w:rPr>
            </w:pPr>
            <w:r>
              <w:rPr>
                <w:rFonts w:ascii="Arial" w:cs="Arial" w:eastAsia="Arial" w:hAnsi="Arial"/>
                <w:sz w:val="22"/>
                <w:szCs w:val="22"/>
                <w:color w:val="auto"/>
              </w:rPr>
              <w:t>1.00</w:t>
            </w:r>
          </w:p>
        </w:tc>
        <w:tc>
          <w:tcPr>
            <w:tcW w:w="2240" w:type="dxa"/>
            <w:vAlign w:val="bottom"/>
          </w:tcPr>
          <w:p>
            <w:pPr>
              <w:ind w:left="20"/>
              <w:spacing w:after="0"/>
              <w:rPr>
                <w:sz w:val="20"/>
                <w:szCs w:val="20"/>
                <w:color w:val="auto"/>
              </w:rPr>
            </w:pPr>
            <w:r>
              <w:rPr>
                <w:rFonts w:ascii="Arial" w:cs="Arial" w:eastAsia="Arial" w:hAnsi="Arial"/>
                <w:sz w:val="22"/>
                <w:szCs w:val="22"/>
                <w:color w:val="auto"/>
              </w:rPr>
              <w:t>– 1.20</w:t>
            </w:r>
          </w:p>
        </w:tc>
      </w:tr>
      <w:tr>
        <w:trPr>
          <w:trHeight w:val="513"/>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8"/>
              </w:rPr>
              <w:t>Equal to or above 40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 but below 50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4560" w:type="dxa"/>
            <w:vAlign w:val="bottom"/>
            <w:gridSpan w:val="2"/>
          </w:tcPr>
          <w:p>
            <w:pPr>
              <w:jc w:val="center"/>
              <w:ind w:left="112"/>
              <w:spacing w:after="0"/>
              <w:rPr>
                <w:sz w:val="20"/>
                <w:szCs w:val="20"/>
                <w:color w:val="auto"/>
              </w:rPr>
            </w:pPr>
            <w:r>
              <w:rPr>
                <w:rFonts w:ascii="Arial" w:cs="Arial" w:eastAsia="Arial" w:hAnsi="Arial"/>
                <w:sz w:val="22"/>
                <w:szCs w:val="22"/>
                <w:color w:val="auto"/>
                <w:w w:val="84"/>
              </w:rPr>
              <w:t>0.5</w:t>
            </w:r>
          </w:p>
        </w:tc>
      </w:tr>
      <w:tr>
        <w:trPr>
          <w:trHeight w:val="513"/>
        </w:trPr>
        <w:tc>
          <w:tcPr>
            <w:tcW w:w="6860" w:type="dxa"/>
            <w:vAlign w:val="bottom"/>
          </w:tcPr>
          <w:p>
            <w:pPr>
              <w:jc w:val="center"/>
              <w:ind w:left="132"/>
              <w:spacing w:after="0"/>
              <w:rPr>
                <w:sz w:val="20"/>
                <w:szCs w:val="20"/>
                <w:color w:val="auto"/>
              </w:rPr>
            </w:pPr>
            <w:r>
              <w:rPr>
                <w:rFonts w:ascii="Arial" w:cs="Arial" w:eastAsia="Arial" w:hAnsi="Arial"/>
                <w:sz w:val="22"/>
                <w:szCs w:val="22"/>
                <w:color w:val="auto"/>
                <w:w w:val="89"/>
              </w:rPr>
              <w:t>Below 40</w:t>
            </w:r>
            <w:r>
              <w:rPr>
                <w:rFonts w:ascii="Arial" w:cs="Arial" w:eastAsia="Arial" w:hAnsi="Arial"/>
                <w:sz w:val="28"/>
                <w:szCs w:val="28"/>
                <w:color w:val="auto"/>
                <w:w w:val="89"/>
                <w:vertAlign w:val="superscript"/>
              </w:rPr>
              <w:t>th</w:t>
            </w:r>
            <w:r>
              <w:rPr>
                <w:rFonts w:ascii="Arial" w:cs="Arial" w:eastAsia="Arial" w:hAnsi="Arial"/>
                <w:sz w:val="22"/>
                <w:szCs w:val="22"/>
                <w:color w:val="auto"/>
                <w:w w:val="89"/>
              </w:rPr>
              <w:t xml:space="preserve"> percentile</w:t>
            </w:r>
          </w:p>
        </w:tc>
        <w:tc>
          <w:tcPr>
            <w:tcW w:w="2320" w:type="dxa"/>
            <w:vAlign w:val="bottom"/>
          </w:tcPr>
          <w:p>
            <w:pPr>
              <w:spacing w:after="0"/>
              <w:rPr>
                <w:sz w:val="24"/>
                <w:szCs w:val="24"/>
                <w:color w:val="auto"/>
              </w:rPr>
            </w:pPr>
          </w:p>
        </w:tc>
        <w:tc>
          <w:tcPr>
            <w:tcW w:w="2240" w:type="dxa"/>
            <w:vAlign w:val="bottom"/>
          </w:tcPr>
          <w:p>
            <w:pPr>
              <w:jc w:val="center"/>
              <w:ind w:right="1992"/>
              <w:spacing w:after="0"/>
              <w:rPr>
                <w:sz w:val="20"/>
                <w:szCs w:val="20"/>
                <w:color w:val="auto"/>
              </w:rPr>
            </w:pPr>
            <w:r>
              <w:rPr>
                <w:rFonts w:ascii="Arial" w:cs="Arial" w:eastAsia="Arial" w:hAnsi="Arial"/>
                <w:sz w:val="22"/>
                <w:szCs w:val="22"/>
                <w:color w:val="auto"/>
                <w:w w:val="81"/>
              </w:rPr>
              <w:t>0</w:t>
            </w:r>
          </w:p>
        </w:tc>
      </w:tr>
    </w:tbl>
    <w:p>
      <w:pPr>
        <w:spacing w:after="0" w:line="122"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In the event that Relative TSR over the TSR Performance Period is negative, the multiple applicable to the TSR Target Performance Award shall not exceed 1.</w:t>
      </w:r>
    </w:p>
    <w:p>
      <w:pPr>
        <w:spacing w:after="0" w:line="164"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If Relative TSR is equal to or above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but below the 90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the Participant will vest in a number of shares of Company Stock that is the mathematical linear interpolation between the number of shares of Company Stock that would vest at the defined ends of the applicable spectrum. No such interpolation shall occur in the event that Relative TSR is below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equal to or above the 90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p>
      <w:pPr>
        <w:spacing w:after="0" w:line="113"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The determination of Relative TSR will be made in the sole discretion of the Committee, after the end of the TSR Performance Period once the applicable year-end audit is available. The Committee has discretion to accelerate the vesting of all or a portion of the Participant’s TSR Performance Award based upon the overall performance of the Company and/or the Participant or based upon any change in business conditions, provided that the exercise of such discretion would not cause a TSR Performance Award that would otherwise be deducible as “performance-based” compensation within the meaning of Section 162(m) of the Code to become non-deductible.</w:t>
      </w:r>
    </w:p>
    <w:p>
      <w:pPr>
        <w:spacing w:after="0" w:line="188" w:lineRule="exact"/>
        <w:rPr>
          <w:sz w:val="20"/>
          <w:szCs w:val="20"/>
          <w:color w:val="auto"/>
        </w:rPr>
      </w:pPr>
    </w:p>
    <w:p>
      <w:pPr>
        <w:ind w:left="1300" w:hanging="968"/>
        <w:spacing w:after="0"/>
        <w:tabs>
          <w:tab w:leader="none" w:pos="13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Exhibit A, the following terms have the meanings set forth below:</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69" w:right="239" w:bottom="1440" w:gutter="0" w:footer="0" w:header="0"/>
        </w:sectPr>
      </w:pPr>
    </w:p>
    <w:bookmarkStart w:id="69" w:name="page70"/>
    <w:bookmarkEnd w:id="69"/>
    <w:p>
      <w:pPr>
        <w:ind w:right="2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Comparator Group</w:t>
      </w:r>
      <w:r>
        <w:rPr>
          <w:rFonts w:ascii="Arial" w:cs="Arial" w:eastAsia="Arial" w:hAnsi="Arial"/>
          <w:sz w:val="19"/>
          <w:szCs w:val="19"/>
          <w:color w:val="auto"/>
        </w:rPr>
        <w:t xml:space="preserve">” shall mean the companies listed on </w:t>
      </w:r>
      <w:r>
        <w:rPr>
          <w:rFonts w:ascii="Arial" w:cs="Arial" w:eastAsia="Arial" w:hAnsi="Arial"/>
          <w:sz w:val="19"/>
          <w:szCs w:val="19"/>
          <w:u w:val="single" w:color="auto"/>
          <w:color w:val="auto"/>
        </w:rPr>
        <w:t>Annex A</w:t>
      </w:r>
      <w:r>
        <w:rPr>
          <w:rFonts w:ascii="Arial" w:cs="Arial" w:eastAsia="Arial" w:hAnsi="Arial"/>
          <w:sz w:val="19"/>
          <w:szCs w:val="19"/>
          <w:color w:val="auto"/>
        </w:rPr>
        <w:t>, attached hereto. Each such company shall be included in the Comparator Group only if the company is publicly-traded at both the beginning and end of the TSR Performance Period.</w:t>
      </w:r>
    </w:p>
    <w:p>
      <w:pPr>
        <w:spacing w:after="0" w:line="10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 Share Price</w:t>
      </w:r>
      <w:r>
        <w:rPr>
          <w:rFonts w:ascii="Arial" w:cs="Arial" w:eastAsia="Arial" w:hAnsi="Arial"/>
          <w:sz w:val="22"/>
          <w:szCs w:val="22"/>
          <w:color w:val="auto"/>
        </w:rPr>
        <w:t>” shall mean the average of the closing prices of common shares for the applicable company during the thirty (30) consecutive trading days ending on the day immediately preceding the applicable measurement date.</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TSR</w:t>
      </w:r>
      <w:r>
        <w:rPr>
          <w:rFonts w:ascii="Arial" w:cs="Arial" w:eastAsia="Arial" w:hAnsi="Arial"/>
          <w:sz w:val="22"/>
          <w:szCs w:val="22"/>
          <w:color w:val="auto"/>
        </w:rPr>
        <w:t>” shall mean the percentile ranking of the Company’s Total Shareholder Return as compared to the Total Shareholder Return of each company in the Comparator Group.</w:t>
      </w:r>
    </w:p>
    <w:p>
      <w:pPr>
        <w:spacing w:after="0" w:line="175" w:lineRule="exact"/>
        <w:rPr>
          <w:sz w:val="20"/>
          <w:szCs w:val="20"/>
          <w:color w:val="auto"/>
        </w:rPr>
      </w:pPr>
    </w:p>
    <w:p>
      <w:pPr>
        <w:ind w:right="56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Shareholder Return</w:t>
      </w:r>
      <w:r>
        <w:rPr>
          <w:rFonts w:ascii="Arial" w:cs="Arial" w:eastAsia="Arial" w:hAnsi="Arial"/>
          <w:sz w:val="21"/>
          <w:szCs w:val="21"/>
          <w:color w:val="auto"/>
        </w:rPr>
        <w:t>” shall mean the appreciation of the Per Share Price during the TSR Performance Period, plus any dividends paid on the applicable company’s common stock during such TSR Performance Period.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591"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ANNEX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Comparator Group</w:t>
      </w:r>
    </w:p>
    <w:p>
      <w:pPr>
        <w:spacing w:after="0" w:line="242"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AbbVie Inc. (ABBV)</w:t>
      </w:r>
    </w:p>
    <w:p>
      <w:pPr>
        <w:spacing w:after="0" w:line="21"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Abbott Laboratories (ABT)</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Akorn, Inc. (AKRX)</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Alexion Pharmaceuticals Inc. (ALXN)</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Alkermes plc (ALKS)</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Allergan plc (AGN)</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AMAG Pharmaceuticals Inc. (AMAG)</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Amgen Inc. (AMGN)</w:t>
      </w:r>
    </w:p>
    <w:p>
      <w:pPr>
        <w:spacing w:after="0" w:line="3"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AstraZeneca PLC (AZN)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Biogen Inc. (BIIB)</w:t>
      </w:r>
    </w:p>
    <w:p>
      <w:pPr>
        <w:spacing w:after="0" w:line="3" w:lineRule="exact"/>
        <w:rPr>
          <w:rFonts w:ascii="Arial" w:cs="Arial" w:eastAsia="Arial" w:hAnsi="Arial"/>
          <w:sz w:val="22"/>
          <w:szCs w:val="22"/>
          <w:color w:val="auto"/>
        </w:rPr>
      </w:pPr>
    </w:p>
    <w:p>
      <w:pPr>
        <w:ind w:left="480" w:hanging="472"/>
        <w:spacing w:after="0"/>
        <w:tabs>
          <w:tab w:leader="none" w:pos="4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BioMarin Pharmaceutical Inc. (BMRN)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Bristol-Myers Squibb Company (BMY)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Celgene Corporation (CELG)</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Dr. Reddy's Laboratories Ltd. (RDY)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Eli Lilly and Company (LLY)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Gilead Sciences Inc. (GILD)</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GlaxoSmithKline plc (GSK)</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Horizon Pharma Public Limited Company (HZNP)</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Impax Labs Inc. (IPXL)</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Incyte Corporation (INCY)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Jazz Pharmaceuticals Public Limited Company (JAZZ)</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Johnson &amp; Johnson (JNJ)</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Lannett Company (LCI)</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Mallinckrodt Public Limited Company (MNK)</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Merck &amp; Co. Inc. (MRK)</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Mylan N.V. (MYL)</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Novartis AG (NVS)</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Novo Nordisk A/S (NVO)</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Perrigo Company Public Limited Company (PRGO)</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Pfizer Inc. (PFE)</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Qiagen NV (QGEN)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Regeneron Pharmaceuticals Inc. (REGN)</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Roche Holding AG (RHHBY)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Sanofi (SNY)</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Shire plc (SHPG)</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Taro Pharmaceutical Industries Ltd. (TARO)</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Teva Pharmaceutical Industries Limited (TEVA)</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United Therapeutics Corporation (UTHR)</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Valeant Pharmaceuticals International, Inc. (VRX)</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Vertex Pharmaceuticals Inc. (VRTX)</w:t>
      </w:r>
    </w:p>
    <w:p>
      <w:pPr>
        <w:spacing w:after="0" w:line="3" w:lineRule="exact"/>
        <w:rPr>
          <w:rFonts w:ascii="Arial" w:cs="Arial" w:eastAsia="Arial" w:hAnsi="Arial"/>
          <w:sz w:val="22"/>
          <w:szCs w:val="22"/>
          <w:color w:val="auto"/>
        </w:rPr>
      </w:pPr>
    </w:p>
    <w:p>
      <w:pPr>
        <w:ind w:left="500" w:hanging="492"/>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Zoetis Inc. (ZTS)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69" w:right="239" w:bottom="1440" w:gutter="0" w:footer="0" w:header="0"/>
        </w:sectPr>
      </w:pPr>
    </w:p>
    <w:bookmarkStart w:id="71" w:name="page72"/>
    <w:bookmarkEnd w:id="71"/>
    <w:p>
      <w:pPr>
        <w:ind w:left="10300"/>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ind w:right="60"/>
        <w:spacing w:after="0" w:line="269" w:lineRule="auto"/>
        <w:rPr>
          <w:sz w:val="20"/>
          <w:szCs w:val="20"/>
          <w:color w:val="auto"/>
        </w:rPr>
      </w:pPr>
      <w:r>
        <w:rPr>
          <w:rFonts w:ascii="Arial" w:cs="Arial" w:eastAsia="Arial" w:hAnsi="Arial"/>
          <w:sz w:val="22"/>
          <w:szCs w:val="22"/>
          <w:b w:val="1"/>
          <w:bCs w:val="1"/>
          <w:color w:val="auto"/>
        </w:rPr>
        <w:t>The following exhibit contains the FCF Performance Criteria in respect of 2018, which is the first FCF Performance Period for the 2018 FCF Performance Award.</w:t>
      </w:r>
    </w:p>
    <w:p>
      <w:pPr>
        <w:spacing w:after="0" w:line="203" w:lineRule="exact"/>
        <w:rPr>
          <w:sz w:val="20"/>
          <w:szCs w:val="20"/>
          <w:color w:val="auto"/>
        </w:rPr>
      </w:pPr>
    </w:p>
    <w:p>
      <w:pPr>
        <w:ind w:right="140"/>
        <w:spacing w:after="0" w:line="230" w:lineRule="auto"/>
        <w:rPr>
          <w:sz w:val="20"/>
          <w:szCs w:val="20"/>
          <w:color w:val="auto"/>
        </w:rPr>
      </w:pPr>
      <w:r>
        <w:rPr>
          <w:rFonts w:ascii="Arial" w:cs="Arial" w:eastAsia="Arial" w:hAnsi="Arial"/>
          <w:sz w:val="22"/>
          <w:szCs w:val="22"/>
          <w:b w:val="1"/>
          <w:bCs w:val="1"/>
          <w:color w:val="auto"/>
        </w:rPr>
        <w:t>The FCF Performance Criteria (including any changes thereto) in respect of future FCF Performance Periods for the 2018 FCF Performance Award shall be communicated to the Participant no later than March 31</w:t>
      </w:r>
      <w:r>
        <w:rPr>
          <w:rFonts w:ascii="Arial" w:cs="Arial" w:eastAsia="Arial" w:hAnsi="Arial"/>
          <w:sz w:val="28"/>
          <w:szCs w:val="28"/>
          <w:b w:val="1"/>
          <w:bCs w:val="1"/>
          <w:color w:val="auto"/>
          <w:vertAlign w:val="superscript"/>
        </w:rPr>
        <w:t>st</w:t>
      </w:r>
      <w:r>
        <w:rPr>
          <w:rFonts w:ascii="Arial" w:cs="Arial" w:eastAsia="Arial" w:hAnsi="Arial"/>
          <w:sz w:val="22"/>
          <w:szCs w:val="22"/>
          <w:b w:val="1"/>
          <w:bCs w:val="1"/>
          <w:color w:val="auto"/>
        </w:rPr>
        <w:t xml:space="preserve"> of the relevant FCF Performance Period.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(I) FCF Performance Criteria</w:t>
      </w:r>
      <w:r>
        <w:rPr>
          <w:rFonts w:ascii="Arial" w:cs="Arial" w:eastAsia="Arial" w:hAnsi="Arial"/>
          <w:sz w:val="22"/>
          <w:szCs w:val="22"/>
          <w:color w:val="auto"/>
        </w:rPr>
        <w:t>.</w:t>
      </w:r>
    </w:p>
    <w:p>
      <w:pPr>
        <w:spacing w:after="0" w:line="22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Participant will be eligible to earn a number of shares of Company Stock equal to one third (1/3rd) of the number of restricted stock units underlying the target FCF Performance Award multiplied by the multiple applicable to the FCF Performance Award for the FCF Performance Period, which will be based on achievement of a Target relating to Free Cash Flow (the “</w:t>
      </w:r>
      <w:r>
        <w:rPr>
          <w:rFonts w:ascii="Arial" w:cs="Arial" w:eastAsia="Arial" w:hAnsi="Arial"/>
          <w:sz w:val="22"/>
          <w:szCs w:val="22"/>
          <w:b w:val="1"/>
          <w:bCs w:val="1"/>
          <w:i w:val="1"/>
          <w:iCs w:val="1"/>
          <w:color w:val="auto"/>
        </w:rPr>
        <w:t>FCF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and determined in accordance with the below:</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6980" w:type="dxa"/>
            <w:vAlign w:val="bottom"/>
            <w:shd w:val="clear" w:color="auto" w:fill="BFBFBF"/>
          </w:tcPr>
          <w:p>
            <w:pPr>
              <w:spacing w:after="0"/>
              <w:rPr>
                <w:sz w:val="24"/>
                <w:szCs w:val="24"/>
                <w:color w:val="auto"/>
              </w:rPr>
            </w:pPr>
          </w:p>
        </w:tc>
        <w:tc>
          <w:tcPr>
            <w:tcW w:w="4440" w:type="dxa"/>
            <w:vAlign w:val="bottom"/>
            <w:shd w:val="clear" w:color="auto" w:fill="BFBFBF"/>
          </w:tcPr>
          <w:p>
            <w:pPr>
              <w:jc w:val="center"/>
              <w:ind w:left="12"/>
              <w:spacing w:after="0"/>
              <w:rPr>
                <w:sz w:val="20"/>
                <w:szCs w:val="20"/>
                <w:color w:val="auto"/>
              </w:rPr>
            </w:pPr>
            <w:r>
              <w:rPr>
                <w:rFonts w:ascii="Arial" w:cs="Arial" w:eastAsia="Arial" w:hAnsi="Arial"/>
                <w:sz w:val="22"/>
                <w:szCs w:val="22"/>
                <w:b w:val="1"/>
                <w:bCs w:val="1"/>
                <w:color w:val="auto"/>
                <w:w w:val="91"/>
              </w:rPr>
              <w:t>Multiple Applicable to FCF Performance</w:t>
            </w:r>
          </w:p>
        </w:tc>
      </w:tr>
      <w:tr>
        <w:trPr>
          <w:trHeight w:val="298"/>
        </w:trPr>
        <w:tc>
          <w:tcPr>
            <w:tcW w:w="6980" w:type="dxa"/>
            <w:vAlign w:val="bottom"/>
            <w:shd w:val="clear" w:color="auto" w:fill="BFBFBF"/>
          </w:tcPr>
          <w:p>
            <w:pPr>
              <w:jc w:val="center"/>
              <w:spacing w:after="0"/>
              <w:rPr>
                <w:sz w:val="20"/>
                <w:szCs w:val="20"/>
                <w:color w:val="auto"/>
              </w:rPr>
            </w:pPr>
            <w:r>
              <w:rPr>
                <w:rFonts w:ascii="Arial" w:cs="Arial" w:eastAsia="Arial" w:hAnsi="Arial"/>
                <w:sz w:val="22"/>
                <w:szCs w:val="22"/>
                <w:b w:val="1"/>
                <w:bCs w:val="1"/>
                <w:color w:val="auto"/>
                <w:w w:val="91"/>
              </w:rPr>
              <w:t>Free Cash Flow*</w:t>
            </w:r>
          </w:p>
        </w:tc>
        <w:tc>
          <w:tcPr>
            <w:tcW w:w="4440" w:type="dxa"/>
            <w:vAlign w:val="bottom"/>
            <w:shd w:val="clear" w:color="auto" w:fill="BFBFBF"/>
          </w:tcPr>
          <w:p>
            <w:pPr>
              <w:jc w:val="center"/>
              <w:spacing w:after="0"/>
              <w:rPr>
                <w:sz w:val="20"/>
                <w:szCs w:val="20"/>
                <w:color w:val="auto"/>
              </w:rPr>
            </w:pPr>
            <w:r>
              <w:rPr>
                <w:rFonts w:ascii="Arial" w:cs="Arial" w:eastAsia="Arial" w:hAnsi="Arial"/>
                <w:sz w:val="22"/>
                <w:szCs w:val="22"/>
                <w:b w:val="1"/>
                <w:bCs w:val="1"/>
                <w:color w:val="auto"/>
                <w:w w:val="91"/>
              </w:rPr>
              <w:t>Award for the FCF Performance Period</w:t>
            </w:r>
          </w:p>
        </w:tc>
      </w:tr>
      <w:tr>
        <w:trPr>
          <w:trHeight w:val="469"/>
        </w:trPr>
        <w:tc>
          <w:tcPr>
            <w:tcW w:w="6980" w:type="dxa"/>
            <w:vAlign w:val="bottom"/>
          </w:tcPr>
          <w:p>
            <w:pPr>
              <w:jc w:val="center"/>
              <w:ind w:left="12"/>
              <w:spacing w:after="0"/>
              <w:rPr>
                <w:sz w:val="20"/>
                <w:szCs w:val="20"/>
                <w:color w:val="auto"/>
              </w:rPr>
            </w:pPr>
            <w:r>
              <w:rPr>
                <w:rFonts w:ascii="Arial" w:cs="Arial" w:eastAsia="Arial" w:hAnsi="Arial"/>
                <w:sz w:val="22"/>
                <w:szCs w:val="22"/>
                <w:color w:val="auto"/>
                <w:w w:val="88"/>
              </w:rPr>
              <w:t>Equal to or greater than 110%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486"/>
        </w:trPr>
        <w:tc>
          <w:tcPr>
            <w:tcW w:w="6980" w:type="dxa"/>
            <w:vAlign w:val="bottom"/>
          </w:tcPr>
          <w:p>
            <w:pPr>
              <w:jc w:val="center"/>
              <w:ind w:left="12"/>
              <w:spacing w:after="0"/>
              <w:rPr>
                <w:sz w:val="20"/>
                <w:szCs w:val="20"/>
                <w:color w:val="auto"/>
              </w:rPr>
            </w:pPr>
            <w:r>
              <w:rPr>
                <w:rFonts w:ascii="Arial" w:cs="Arial" w:eastAsia="Arial" w:hAnsi="Arial"/>
                <w:sz w:val="22"/>
                <w:szCs w:val="22"/>
                <w:color w:val="auto"/>
                <w:w w:val="87"/>
              </w:rPr>
              <w:t>Equal to or greater than 107.5% of Target but less than 110%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8"/>
              </w:rPr>
              <w:t>1.75</w:t>
            </w:r>
          </w:p>
        </w:tc>
      </w:tr>
      <w:tr>
        <w:trPr>
          <w:trHeight w:val="486"/>
        </w:trPr>
        <w:tc>
          <w:tcPr>
            <w:tcW w:w="6980" w:type="dxa"/>
            <w:vAlign w:val="bottom"/>
          </w:tcPr>
          <w:p>
            <w:pPr>
              <w:jc w:val="center"/>
              <w:spacing w:after="0"/>
              <w:rPr>
                <w:sz w:val="20"/>
                <w:szCs w:val="20"/>
                <w:color w:val="auto"/>
              </w:rPr>
            </w:pPr>
            <w:r>
              <w:rPr>
                <w:rFonts w:ascii="Arial" w:cs="Arial" w:eastAsia="Arial" w:hAnsi="Arial"/>
                <w:sz w:val="22"/>
                <w:szCs w:val="22"/>
                <w:color w:val="auto"/>
                <w:w w:val="88"/>
              </w:rPr>
              <w:t>Equal to or greater than 105% of Target but less than 107.5%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4"/>
              </w:rPr>
              <w:t>1.5</w:t>
            </w:r>
          </w:p>
        </w:tc>
      </w:tr>
      <w:tr>
        <w:trPr>
          <w:trHeight w:val="486"/>
        </w:trPr>
        <w:tc>
          <w:tcPr>
            <w:tcW w:w="6980" w:type="dxa"/>
            <w:vAlign w:val="bottom"/>
          </w:tcPr>
          <w:p>
            <w:pPr>
              <w:jc w:val="center"/>
              <w:spacing w:after="0"/>
              <w:rPr>
                <w:sz w:val="20"/>
                <w:szCs w:val="20"/>
                <w:color w:val="auto"/>
              </w:rPr>
            </w:pPr>
            <w:r>
              <w:rPr>
                <w:rFonts w:ascii="Arial" w:cs="Arial" w:eastAsia="Arial" w:hAnsi="Arial"/>
                <w:sz w:val="22"/>
                <w:szCs w:val="22"/>
                <w:color w:val="auto"/>
                <w:w w:val="88"/>
              </w:rPr>
              <w:t>Equal to or greater than 102.5% of Target but less than 105%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8"/>
              </w:rPr>
              <w:t>1.25</w:t>
            </w:r>
          </w:p>
        </w:tc>
      </w:tr>
      <w:tr>
        <w:trPr>
          <w:trHeight w:val="486"/>
        </w:trPr>
        <w:tc>
          <w:tcPr>
            <w:tcW w:w="6980" w:type="dxa"/>
            <w:vAlign w:val="bottom"/>
          </w:tcPr>
          <w:p>
            <w:pPr>
              <w:jc w:val="center"/>
              <w:spacing w:after="0"/>
              <w:rPr>
                <w:sz w:val="20"/>
                <w:szCs w:val="20"/>
                <w:color w:val="auto"/>
              </w:rPr>
            </w:pPr>
            <w:r>
              <w:rPr>
                <w:rFonts w:ascii="Arial" w:cs="Arial" w:eastAsia="Arial" w:hAnsi="Arial"/>
                <w:sz w:val="22"/>
                <w:szCs w:val="22"/>
                <w:color w:val="auto"/>
                <w:w w:val="88"/>
              </w:rPr>
              <w:t>Equal to or greater than 100% of Target but less than 102.5%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1"/>
              </w:rPr>
              <w:t>1</w:t>
            </w:r>
          </w:p>
        </w:tc>
      </w:tr>
      <w:tr>
        <w:trPr>
          <w:trHeight w:val="486"/>
        </w:trPr>
        <w:tc>
          <w:tcPr>
            <w:tcW w:w="6980" w:type="dxa"/>
            <w:vAlign w:val="bottom"/>
          </w:tcPr>
          <w:p>
            <w:pPr>
              <w:jc w:val="center"/>
              <w:ind w:left="12"/>
              <w:spacing w:after="0"/>
              <w:rPr>
                <w:sz w:val="20"/>
                <w:szCs w:val="20"/>
                <w:color w:val="auto"/>
              </w:rPr>
            </w:pPr>
            <w:r>
              <w:rPr>
                <w:rFonts w:ascii="Arial" w:cs="Arial" w:eastAsia="Arial" w:hAnsi="Arial"/>
                <w:sz w:val="22"/>
                <w:szCs w:val="22"/>
                <w:color w:val="auto"/>
                <w:w w:val="88"/>
              </w:rPr>
              <w:t>Equal to or greater than 97.5% of Target but less than 100%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8"/>
              </w:rPr>
              <w:t>0.75</w:t>
            </w:r>
          </w:p>
        </w:tc>
      </w:tr>
      <w:tr>
        <w:trPr>
          <w:trHeight w:val="486"/>
        </w:trPr>
        <w:tc>
          <w:tcPr>
            <w:tcW w:w="6980" w:type="dxa"/>
            <w:vAlign w:val="bottom"/>
          </w:tcPr>
          <w:p>
            <w:pPr>
              <w:jc w:val="center"/>
              <w:ind w:left="12"/>
              <w:spacing w:after="0"/>
              <w:rPr>
                <w:sz w:val="20"/>
                <w:szCs w:val="20"/>
                <w:color w:val="auto"/>
              </w:rPr>
            </w:pPr>
            <w:r>
              <w:rPr>
                <w:rFonts w:ascii="Arial" w:cs="Arial" w:eastAsia="Arial" w:hAnsi="Arial"/>
                <w:sz w:val="22"/>
                <w:szCs w:val="22"/>
                <w:color w:val="auto"/>
                <w:w w:val="88"/>
              </w:rPr>
              <w:t>Equal to or greater than 95% of Target but less than 97.5%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4"/>
              </w:rPr>
              <w:t>0.5</w:t>
            </w:r>
          </w:p>
        </w:tc>
      </w:tr>
      <w:tr>
        <w:trPr>
          <w:trHeight w:val="486"/>
        </w:trPr>
        <w:tc>
          <w:tcPr>
            <w:tcW w:w="6980" w:type="dxa"/>
            <w:vAlign w:val="bottom"/>
          </w:tcPr>
          <w:p>
            <w:pPr>
              <w:jc w:val="center"/>
              <w:ind w:left="12"/>
              <w:spacing w:after="0"/>
              <w:rPr>
                <w:sz w:val="20"/>
                <w:szCs w:val="20"/>
                <w:color w:val="auto"/>
              </w:rPr>
            </w:pPr>
            <w:r>
              <w:rPr>
                <w:rFonts w:ascii="Arial" w:cs="Arial" w:eastAsia="Arial" w:hAnsi="Arial"/>
                <w:sz w:val="22"/>
                <w:szCs w:val="22"/>
                <w:color w:val="auto"/>
                <w:w w:val="87"/>
              </w:rPr>
              <w:t>Less than 95% of Target</w:t>
            </w:r>
          </w:p>
        </w:tc>
        <w:tc>
          <w:tcPr>
            <w:tcW w:w="4440" w:type="dxa"/>
            <w:vAlign w:val="bottom"/>
          </w:tcPr>
          <w:p>
            <w:pPr>
              <w:jc w:val="center"/>
              <w:spacing w:after="0"/>
              <w:rPr>
                <w:sz w:val="20"/>
                <w:szCs w:val="20"/>
                <w:color w:val="auto"/>
              </w:rPr>
            </w:pPr>
            <w:r>
              <w:rPr>
                <w:rFonts w:ascii="Arial" w:cs="Arial" w:eastAsia="Arial" w:hAnsi="Arial"/>
                <w:sz w:val="22"/>
                <w:szCs w:val="22"/>
                <w:color w:val="auto"/>
                <w:w w:val="81"/>
              </w:rPr>
              <w:t>0</w:t>
            </w:r>
          </w:p>
        </w:tc>
      </w:tr>
    </w:tbl>
    <w:p>
      <w:pPr>
        <w:spacing w:after="0" w:line="22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*Free Cash Flow for each FCF Performance Period associated with the 2018 FCF Performance Award must equal or exceed the following minimum Free Cash Flow: 50% of actual annual adjusted net income for the relevant FCF Performance Period.</w:t>
      </w:r>
    </w:p>
    <w:p>
      <w:pPr>
        <w:spacing w:after="0" w:line="10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If Free Cash Flow is equal to or greater than 95% of Target but below 110% of Target, the Participant will earn a number of shares of Company Stock that is the mathematical linear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69" w:right="239" w:bottom="1440" w:gutter="0" w:footer="0" w:header="0"/>
        </w:sectPr>
      </w:pPr>
    </w:p>
    <w:bookmarkStart w:id="72" w:name="page73"/>
    <w:bookmarkEnd w:id="72"/>
    <w:p>
      <w:pPr>
        <w:spacing w:after="0" w:line="253" w:lineRule="auto"/>
        <w:rPr>
          <w:sz w:val="20"/>
          <w:szCs w:val="20"/>
          <w:color w:val="auto"/>
        </w:rPr>
      </w:pPr>
      <w:r>
        <w:rPr>
          <w:rFonts w:ascii="Arial" w:cs="Arial" w:eastAsia="Arial" w:hAnsi="Arial"/>
          <w:sz w:val="22"/>
          <w:szCs w:val="22"/>
          <w:color w:val="auto"/>
        </w:rPr>
        <w:t>interpolation between the number of shares of Company Stock that would be earned at the defined ends of the applicable spectrum. No such interpolation shall occur in the event that Free Cash Flow is less than 95% of Target or equal to or greater than 110% of Target.</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The determination of Free Cash Flow will be made in the sole discretion of the Committee, after the end of the applicable FCF Performance Period once the applicable year-end audit is available. The Committee may adjust the FCF Performance Award in a manner approved by the Committee at the time of the grant of the FCF Performance Award. The Committee has discretion to increase the portion of the Participant’s FCF Performance Award earned based upon the overall performance of the Company and/or the Participant or based upon any change in business conditions, provided that the exercise of such discretion does not cause an FCF Performance Award that would otherwise be deducible as “performance-based” compensation within the meaning of Section 162(m) of the Code to become non-deductible.</w:t>
      </w:r>
    </w:p>
    <w:p>
      <w:pPr>
        <w:spacing w:after="0" w:line="175" w:lineRule="exact"/>
        <w:rPr>
          <w:sz w:val="20"/>
          <w:szCs w:val="20"/>
          <w:color w:val="auto"/>
        </w:rPr>
      </w:pPr>
    </w:p>
    <w:p>
      <w:pPr>
        <w:ind w:left="1300" w:hanging="968"/>
        <w:spacing w:after="0"/>
        <w:tabs>
          <w:tab w:leader="none" w:pos="130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Exhibit B, the following terms have the meanings set forth below:</w:t>
      </w:r>
    </w:p>
    <w:p>
      <w:pPr>
        <w:spacing w:after="0" w:line="220"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Cash Flow from Operations</w:t>
      </w:r>
      <w:r>
        <w:rPr>
          <w:rFonts w:ascii="Arial" w:cs="Arial" w:eastAsia="Arial" w:hAnsi="Arial"/>
          <w:sz w:val="22"/>
          <w:szCs w:val="22"/>
          <w:color w:val="auto"/>
        </w:rPr>
        <w:t>” shall mean cash from operations less the following expenses: mesh and other legal settlements; unused financing fees; separation, restructuring, transaction and integration payments; and one-time significant tax refunds or payments.</w:t>
      </w:r>
    </w:p>
    <w:p>
      <w:pPr>
        <w:spacing w:after="0" w:line="186"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Expenditures</w:t>
      </w:r>
      <w:r>
        <w:rPr>
          <w:rFonts w:ascii="Arial" w:cs="Arial" w:eastAsia="Arial" w:hAnsi="Arial"/>
          <w:sz w:val="22"/>
          <w:szCs w:val="22"/>
          <w:color w:val="auto"/>
        </w:rPr>
        <w:t>” shall mean the Company’s purchases of property, plant and equipment (including capitalized software costs).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Free Cash Flow</w:t>
      </w:r>
      <w:r>
        <w:rPr>
          <w:rFonts w:ascii="Arial" w:cs="Arial" w:eastAsia="Arial" w:hAnsi="Arial"/>
          <w:sz w:val="22"/>
          <w:szCs w:val="22"/>
          <w:color w:val="auto"/>
        </w:rPr>
        <w:t>” shall mean Adjusted Cash Flow from Operations less Capital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w:t>
      </w:r>
      <w:r>
        <w:rPr>
          <w:rFonts w:ascii="Arial" w:cs="Arial" w:eastAsia="Arial" w:hAnsi="Arial"/>
          <w:sz w:val="22"/>
          <w:szCs w:val="22"/>
          <w:color w:val="auto"/>
        </w:rPr>
        <w:t>” shall mean $456,000,000.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60"/>
          </w:cols>
          <w:pgMar w:left="240" w:top="591"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V. Campanelli, certify that:</w:t>
      </w:r>
    </w:p>
    <w:p>
      <w:pPr>
        <w:spacing w:after="0" w:line="90" w:lineRule="exact"/>
        <w:rPr>
          <w:sz w:val="20"/>
          <w:szCs w:val="20"/>
          <w:color w:val="auto"/>
        </w:rPr>
      </w:pPr>
    </w:p>
    <w:p>
      <w:pPr>
        <w:ind w:left="600" w:hanging="187"/>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V. Campanelli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20"/>
              <w:spacing w:after="0"/>
              <w:rPr>
                <w:sz w:val="20"/>
                <w:szCs w:val="20"/>
                <w:color w:val="auto"/>
              </w:rPr>
            </w:pPr>
            <w:r>
              <w:rPr>
                <w:rFonts w:ascii="Arial" w:cs="Arial" w:eastAsia="Arial" w:hAnsi="Arial"/>
                <w:sz w:val="18"/>
                <w:szCs w:val="18"/>
                <w:color w:val="auto"/>
                <w:w w:val="88"/>
              </w:rPr>
              <w:t>May 8, 2018</w:t>
            </w:r>
          </w:p>
        </w:tc>
      </w:tr>
    </w:tbl>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20"/>
              <w:spacing w:after="0"/>
              <w:rPr>
                <w:sz w:val="20"/>
                <w:szCs w:val="20"/>
                <w:color w:val="auto"/>
              </w:rPr>
            </w:pPr>
            <w:r>
              <w:rPr>
                <w:rFonts w:ascii="Arial" w:cs="Arial" w:eastAsia="Arial" w:hAnsi="Arial"/>
                <w:sz w:val="18"/>
                <w:szCs w:val="18"/>
                <w:color w:val="auto"/>
                <w:w w:val="88"/>
              </w:rPr>
              <w:t>May 8, 2018</w:t>
            </w:r>
          </w:p>
        </w:tc>
      </w:tr>
    </w:tbl>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Paul V. Campanelli,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76" w:lineRule="exact"/>
        <w:rPr>
          <w:sz w:val="20"/>
          <w:szCs w:val="20"/>
          <w:color w:val="auto"/>
        </w:rPr>
      </w:pPr>
    </w:p>
    <w:p>
      <w:pPr>
        <w:ind w:left="420" w:right="500" w:firstLine="398"/>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2018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PAUL V. CAMPANELLI</w:t>
            </w:r>
          </w:p>
        </w:tc>
        <w:tc>
          <w:tcPr>
            <w:tcW w:w="6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spacing w:after="0"/>
              <w:rPr>
                <w:sz w:val="20"/>
                <w:szCs w:val="20"/>
                <w:color w:val="auto"/>
              </w:rPr>
            </w:pPr>
            <w:r>
              <w:rPr>
                <w:rFonts w:ascii="Arial" w:cs="Arial" w:eastAsia="Arial" w:hAnsi="Arial"/>
                <w:sz w:val="18"/>
                <w:szCs w:val="18"/>
                <w:color w:val="auto"/>
              </w:rPr>
              <w:t>Paul V. Campanelli</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 Blaise Coleman, as Chief Financial Officer of Endo International plc (the Company), hereby certify, pursuant to 18 U.S.C. Section 1350, as adopted pursuant to Section 906 of the Sarbanes-Oxley Act of 2002, that:</w:t>
      </w:r>
    </w:p>
    <w:p>
      <w:pPr>
        <w:spacing w:after="0" w:line="35" w:lineRule="exact"/>
        <w:rPr>
          <w:sz w:val="20"/>
          <w:szCs w:val="20"/>
          <w:color w:val="auto"/>
        </w:rPr>
      </w:pPr>
    </w:p>
    <w:p>
      <w:pPr>
        <w:ind w:left="420" w:right="500" w:firstLine="398"/>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2018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176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w:t>
            </w:r>
          </w:p>
        </w:tc>
      </w:tr>
      <w:tr>
        <w:trPr>
          <w:trHeight w:val="230"/>
        </w:trPr>
        <w:tc>
          <w:tcPr>
            <w:tcW w:w="9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3"/>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lowerRoman"/>
      <w:start w:val="2"/>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4"/>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lvl w:ilvl="1">
      <w:lvlJc w:val="left"/>
      <w:lvlText w:val="(%2)"/>
      <w:numFmt w:val="lowerLetter"/>
      <w:start w:val="1"/>
    </w:lvl>
  </w:abstractNum>
  <w:abstractNum w:abstractNumId="25">
    <w:nsid w:val="2D517796"/>
    <w:multiLevelType w:val="hybridMultilevel"/>
    <w:lvl w:ilvl="0">
      <w:lvlJc w:val="left"/>
      <w:lvlText w:val="%1"/>
      <w:numFmt w:val="decimal"/>
      <w:start w:val="1"/>
    </w:lvl>
    <w:lvl w:ilvl="1">
      <w:lvlJc w:val="left"/>
      <w:lvlText w:val="(%2)"/>
      <w:numFmt w:val="lowerLetter"/>
      <w:start w:val="2"/>
    </w:lvl>
  </w:abstractNum>
  <w:abstractNum w:abstractNumId="26">
    <w:nsid w:val="580BD78F"/>
    <w:multiLevelType w:val="hybridMultilevel"/>
    <w:lvl w:ilvl="0">
      <w:lvlJc w:val="left"/>
      <w:lvlText w:val="%1."/>
      <w:numFmt w:val="decimal"/>
      <w:start w:val="3"/>
    </w:lvl>
    <w:lvl w:ilvl="1">
      <w:lvlJc w:val="left"/>
      <w:lvlText w:val="(%2)"/>
      <w:numFmt w:val="lowerLetter"/>
      <w:start w:val="1"/>
    </w:lvl>
  </w:abstractNum>
  <w:abstractNum w:abstractNumId="27">
    <w:nsid w:val="153EA438"/>
    <w:multiLevelType w:val="hybridMultilevel"/>
    <w:lvl w:ilvl="0">
      <w:lvlJc w:val="left"/>
      <w:lvlText w:val="%1"/>
      <w:numFmt w:val="lowerRoman"/>
      <w:start w:val="1"/>
    </w:lvl>
    <w:lvl w:ilvl="1">
      <w:lvlJc w:val="left"/>
      <w:lvlText w:val="(%2)"/>
      <w:numFmt w:val="lowerLetter"/>
      <w:start w:val="3"/>
    </w:lvl>
  </w:abstractNum>
  <w:abstractNum w:abstractNumId="28">
    <w:nsid w:val="3855585C"/>
    <w:multiLevelType w:val="hybridMultilevel"/>
    <w:lvl w:ilvl="0">
      <w:lvlJc w:val="left"/>
      <w:lvlText w:val="(%1)"/>
      <w:numFmt w:val="lowerRoman"/>
      <w:start w:val="1"/>
    </w:lvl>
    <w:lvl w:ilvl="1">
      <w:lvlJc w:val="left"/>
      <w:lvlText w:val="%2"/>
      <w:numFmt w:val="lowerLetter"/>
      <w:start w:val="1"/>
    </w:lvl>
  </w:abstractNum>
  <w:abstractNum w:abstractNumId="29">
    <w:nsid w:val="70A64E2A"/>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6"/>
    </w:lvl>
    <w:lvl w:ilvl="3">
      <w:lvlJc w:val="left"/>
      <w:lvlText w:val="%4"/>
      <w:numFmt w:val="lowerLetter"/>
      <w:start w:val="1"/>
    </w:lvl>
  </w:abstractNum>
  <w:abstractNum w:abstractNumId="30">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31">
    <w:nsid w:val="2A487CB0"/>
    <w:multiLevelType w:val="hybridMultilevel"/>
    <w:lvl w:ilvl="0">
      <w:lvlJc w:val="left"/>
      <w:lvlText w:val="%1"/>
      <w:numFmt w:val="lowerLetter"/>
      <w:start w:val="1"/>
    </w:lvl>
    <w:lvl w:ilvl="1">
      <w:lvlJc w:val="left"/>
      <w:lvlText w:val="(%2)"/>
      <w:numFmt w:val="lowerLetter"/>
      <w:start w:val="35"/>
    </w:lvl>
  </w:abstractNum>
  <w:abstractNum w:abstractNumId="32">
    <w:nsid w:val="1D4ED43B"/>
    <w:multiLevelType w:val="hybridMultilevel"/>
    <w:lvl w:ilvl="0">
      <w:lvlJc w:val="left"/>
      <w:lvlText w:val="(%1)"/>
      <w:numFmt w:val="lowerLetter"/>
      <w:start w:val="2"/>
    </w:lvl>
    <w:lvl w:ilvl="1">
      <w:lvlJc w:val="left"/>
      <w:lvlText w:val="(%2)"/>
      <w:numFmt w:val="lowerLetter"/>
      <w:start w:val="9"/>
    </w:lvl>
  </w:abstractNum>
  <w:abstractNum w:abstractNumId="33">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4">
    <w:nsid w:val="2CD89A3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5">
    <w:nsid w:val="57E4CCA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6">
    <w:nsid w:val="7A6D8D3C"/>
    <w:multiLevelType w:val="hybridMultilevel"/>
    <w:lvl w:ilvl="0">
      <w:lvlJc w:val="left"/>
      <w:lvlText w:val="(%1)"/>
      <w:numFmt w:val="lowerLetter"/>
      <w:start w:val="2"/>
    </w:lvl>
  </w:abstractNum>
  <w:abstractNum w:abstractNumId="37">
    <w:nsid w:val="4B588F54"/>
    <w:multiLevelType w:val="hybridMultilevel"/>
    <w:lvl w:ilvl="0">
      <w:lvlJc w:val="left"/>
      <w:lvlText w:val="%1."/>
      <w:numFmt w:val="decimal"/>
      <w:start w:val="7"/>
    </w:lvl>
  </w:abstractNum>
  <w:abstractNum w:abstractNumId="38">
    <w:nsid w:val="542289EC"/>
    <w:multiLevelType w:val="hybridMultilevel"/>
    <w:lvl w:ilvl="0">
      <w:lvlJc w:val="left"/>
      <w:lvlText w:val="%1."/>
      <w:numFmt w:val="decimal"/>
      <w:start w:val="11"/>
    </w:lvl>
  </w:abstractNum>
  <w:abstractNum w:abstractNumId="39">
    <w:nsid w:val="6DE91B18"/>
    <w:multiLevelType w:val="hybridMultilevel"/>
    <w:lvl w:ilvl="0">
      <w:lvlJc w:val="left"/>
      <w:lvlText w:val="%1."/>
      <w:numFmt w:val="decimal"/>
      <w:start w:val="16"/>
    </w:lvl>
  </w:abstractNum>
  <w:abstractNum w:abstractNumId="40">
    <w:nsid w:val="38437FDB"/>
    <w:multiLevelType w:val="hybridMultilevel"/>
    <w:lvl w:ilvl="0">
      <w:lvlJc w:val="left"/>
      <w:lvlText w:val="%1."/>
      <w:numFmt w:val="decimal"/>
      <w:start w:val="20"/>
    </w:lvl>
  </w:abstractNum>
  <w:abstractNum w:abstractNumId="41">
    <w:nsid w:val="7644A45C"/>
    <w:multiLevelType w:val="hybridMultilevel"/>
    <w:lvl w:ilvl="0">
      <w:lvlJc w:val="left"/>
      <w:lvlText w:val="%1."/>
      <w:numFmt w:val="decimal"/>
      <w:start w:val="21"/>
    </w:lvl>
  </w:abstractNum>
  <w:abstractNum w:abstractNumId="42">
    <w:nsid w:val="32FFF902"/>
    <w:multiLevelType w:val="hybridMultilevel"/>
    <w:lvl w:ilvl="0">
      <w:lvlJc w:val="left"/>
      <w:lvlText w:val="%1."/>
      <w:numFmt w:val="decimal"/>
      <w:start w:val="23"/>
    </w:lvl>
  </w:abstractNum>
  <w:abstractNum w:abstractNumId="43">
    <w:nsid w:val="684A481A"/>
    <w:multiLevelType w:val="hybridMultilevel"/>
    <w:lvl w:ilvl="0">
      <w:lvlJc w:val="left"/>
      <w:lvlText w:val="(%1)"/>
      <w:numFmt w:val="lowerLetter"/>
      <w:start w:val="7"/>
    </w:lvl>
  </w:abstractNum>
  <w:abstractNum w:abstractNumId="44">
    <w:nsid w:val="579478FE"/>
    <w:multiLevelType w:val="hybridMultilevel"/>
    <w:lvl w:ilvl="0">
      <w:lvlJc w:val="left"/>
      <w:lvlText w:val="(%1)"/>
      <w:numFmt w:val="upperLetter"/>
      <w:start w:val="3"/>
    </w:lvl>
  </w:abstractNum>
  <w:abstractNum w:abstractNumId="45">
    <w:nsid w:val="749ABB43"/>
    <w:multiLevelType w:val="hybridMultilevel"/>
    <w:lvl w:ilvl="0">
      <w:lvlJc w:val="left"/>
      <w:lvlText w:val="(%1)"/>
      <w:numFmt w:val="lowerLetter"/>
      <w:start w:val="4"/>
    </w:lvl>
  </w:abstractNum>
  <w:abstractNum w:abstractNumId="46">
    <w:nsid w:val="3DC240FB"/>
    <w:multiLevelType w:val="hybridMultilevel"/>
    <w:lvl w:ilvl="0">
      <w:lvlJc w:val="left"/>
      <w:lvlText w:val="(%1)"/>
      <w:numFmt w:val="upperLetter"/>
      <w:start w:val="9"/>
    </w:lvl>
  </w:abstractNum>
  <w:abstractNum w:abstractNumId="47">
    <w:nsid w:val="1BA026FA"/>
    <w:multiLevelType w:val="hybridMultilevel"/>
    <w:lvl w:ilvl="0">
      <w:lvlJc w:val="left"/>
      <w:lvlText w:val="(%1)"/>
      <w:numFmt w:val="upperLetter"/>
      <w:start w:val="35"/>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upperLetter"/>
      <w:start w:val="35"/>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8" Type="http://schemas.openxmlformats.org/officeDocument/2006/relationships/hyperlink" Target="http://www.sec.gov/Archives/edgar/data/1593034/000119312518132997/d57706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2019-12-28T22:21:35Z</dcterms:created>
  <dcterms:modified xsi:type="dcterms:W3CDTF">2019-12-28T22:21:35Z</dcterms:modified>
</cp:coreProperties>
</file>