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49"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220" w:type="dxa"/>
            <w:vAlign w:val="bottom"/>
          </w:tcPr>
          <w:p>
            <w:pPr>
              <w:jc w:val="right"/>
              <w:ind w:right="868"/>
              <w:spacing w:after="0"/>
              <w:rPr>
                <w:sz w:val="20"/>
                <w:szCs w:val="20"/>
                <w:color w:val="auto"/>
              </w:rPr>
            </w:pPr>
            <w:r>
              <w:rPr>
                <w:rFonts w:ascii="Times New Roman" w:cs="Times New Roman" w:eastAsia="Times New Roman" w:hAnsi="Times New Roman"/>
                <w:sz w:val="18"/>
                <w:szCs w:val="18"/>
                <w:b w:val="1"/>
                <w:bCs w:val="1"/>
                <w:color w:val="auto"/>
              </w:rPr>
              <w:t>001-36326</w:t>
            </w:r>
          </w:p>
        </w:tc>
        <w:tc>
          <w:tcPr>
            <w:tcW w:w="2920" w:type="dxa"/>
            <w:vAlign w:val="bottom"/>
          </w:tcPr>
          <w:p>
            <w:pPr>
              <w:jc w:val="center"/>
              <w:ind w:left="1846"/>
              <w:spacing w:after="0"/>
              <w:rPr>
                <w:sz w:val="20"/>
                <w:szCs w:val="20"/>
                <w:color w:val="auto"/>
              </w:rPr>
            </w:pPr>
            <w:r>
              <w:rPr>
                <w:rFonts w:ascii="Times New Roman" w:cs="Times New Roman" w:eastAsia="Times New Roman" w:hAnsi="Times New Roman"/>
                <w:sz w:val="18"/>
                <w:szCs w:val="18"/>
                <w:b w:val="1"/>
                <w:bCs w:val="1"/>
                <w:color w:val="auto"/>
              </w:rPr>
              <w:t>68-0683755</w:t>
            </w:r>
          </w:p>
        </w:tc>
      </w:tr>
      <w:tr>
        <w:trPr>
          <w:trHeight w:val="196"/>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220" w:type="dxa"/>
            <w:vAlign w:val="bottom"/>
          </w:tcPr>
          <w:p>
            <w:pPr>
              <w:jc w:val="center"/>
              <w:ind w:left="148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56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220" w:type="dxa"/>
            <w:vAlign w:val="bottom"/>
          </w:tcPr>
          <w:p>
            <w:pPr>
              <w:spacing w:after="0"/>
              <w:rPr>
                <w:sz w:val="14"/>
                <w:szCs w:val="14"/>
                <w:color w:val="auto"/>
              </w:rPr>
            </w:pP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02"/>
        </w:trPr>
        <w:tc>
          <w:tcPr>
            <w:tcW w:w="5780" w:type="dxa"/>
            <w:vAlign w:val="bottom"/>
            <w:gridSpan w:val="2"/>
          </w:tcPr>
          <w:p>
            <w:pPr>
              <w:jc w:val="center"/>
              <w:ind w:right="208"/>
              <w:spacing w:after="0"/>
              <w:rPr>
                <w:sz w:val="20"/>
                <w:szCs w:val="20"/>
                <w:color w:val="auto"/>
              </w:rPr>
            </w:pPr>
            <w:r>
              <w:rPr>
                <w:rFonts w:ascii="Times New Roman" w:cs="Times New Roman" w:eastAsia="Times New Roman" w:hAnsi="Times New Roman"/>
                <w:sz w:val="18"/>
                <w:szCs w:val="18"/>
                <w:b w:val="1"/>
                <w:bCs w:val="1"/>
                <w:color w:val="auto"/>
                <w:w w:val="99"/>
              </w:rPr>
              <w:t>First Floor, Minerva House, Simmonscourt Road</w:t>
            </w:r>
          </w:p>
        </w:tc>
        <w:tc>
          <w:tcPr>
            <w:tcW w:w="2920" w:type="dxa"/>
            <w:vAlign w:val="bottom"/>
          </w:tcPr>
          <w:p>
            <w:pPr>
              <w:spacing w:after="0"/>
              <w:rPr>
                <w:sz w:val="24"/>
                <w:szCs w:val="24"/>
                <w:color w:val="auto"/>
              </w:rPr>
            </w:pPr>
          </w:p>
        </w:tc>
      </w:tr>
      <w:tr>
        <w:trPr>
          <w:trHeight w:val="270"/>
        </w:trPr>
        <w:tc>
          <w:tcPr>
            <w:tcW w:w="57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tc>
        <w:tc>
          <w:tcPr>
            <w:tcW w:w="2920" w:type="dxa"/>
            <w:vAlign w:val="bottom"/>
          </w:tcPr>
          <w:p>
            <w:pPr>
              <w:jc w:val="center"/>
              <w:ind w:right="446"/>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00"/>
        </w:trPr>
        <w:tc>
          <w:tcPr>
            <w:tcW w:w="1560" w:type="dxa"/>
            <w:vAlign w:val="bottom"/>
          </w:tcPr>
          <w:p>
            <w:pPr>
              <w:spacing w:after="0"/>
              <w:rPr>
                <w:sz w:val="17"/>
                <w:szCs w:val="17"/>
                <w:color w:val="auto"/>
              </w:rPr>
            </w:pPr>
          </w:p>
        </w:tc>
        <w:tc>
          <w:tcPr>
            <w:tcW w:w="4220" w:type="dxa"/>
            <w:vAlign w:val="bottom"/>
          </w:tcPr>
          <w:p>
            <w:pPr>
              <w:jc w:val="center"/>
              <w:ind w:right="176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920" w:type="dxa"/>
            <w:vAlign w:val="bottom"/>
          </w:tcPr>
          <w:p>
            <w:pPr>
              <w:jc w:val="center"/>
              <w:ind w:right="4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1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63" w:lineRule="exact"/>
        <w:rPr>
          <w:sz w:val="24"/>
          <w:szCs w:val="24"/>
          <w:color w:val="auto"/>
        </w:rPr>
      </w:pPr>
    </w:p>
    <w:p>
      <w:pPr>
        <w:ind w:right="52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00" w:firstLine="8"/>
        <w:spacing w:after="0" w:line="41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20" w:type="dxa"/>
        <w:tblCellMar>
          <w:top w:w="0" w:type="dxa"/>
          <w:left w:w="0" w:type="dxa"/>
          <w:bottom w:w="0" w:type="dxa"/>
          <w:right w:w="0" w:type="dxa"/>
        </w:tblCellMar>
      </w:tblPr>
      <w:tr>
        <w:trPr>
          <w:trHeight w:val="188"/>
        </w:trPr>
        <w:tc>
          <w:tcPr>
            <w:tcW w:w="106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Title of each class</w:t>
            </w:r>
          </w:p>
        </w:tc>
        <w:tc>
          <w:tcPr>
            <w:tcW w:w="2020" w:type="dxa"/>
            <w:vAlign w:val="bottom"/>
          </w:tcPr>
          <w:p>
            <w:pPr>
              <w:spacing w:after="0"/>
              <w:rPr>
                <w:sz w:val="16"/>
                <w:szCs w:val="16"/>
                <w:color w:val="auto"/>
              </w:rPr>
            </w:pPr>
          </w:p>
        </w:tc>
        <w:tc>
          <w:tcPr>
            <w:tcW w:w="18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680" w:type="dxa"/>
            <w:vAlign w:val="bottom"/>
            <w:gridSpan w:val="2"/>
          </w:tcPr>
          <w:p>
            <w:pPr>
              <w:jc w:val="center"/>
              <w:ind w:left="435"/>
              <w:spacing w:after="0" w:line="189" w:lineRule="exact"/>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48"/>
        </w:trPr>
        <w:tc>
          <w:tcPr>
            <w:tcW w:w="4380" w:type="dxa"/>
            <w:vAlign w:val="bottom"/>
            <w:gridSpan w:val="3"/>
          </w:tcPr>
          <w:p>
            <w:pPr>
              <w:jc w:val="center"/>
              <w:ind w:right="96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9"/>
              </w:rPr>
              <w:t>ENDP</w:t>
            </w:r>
          </w:p>
        </w:tc>
        <w:tc>
          <w:tcPr>
            <w:tcW w:w="52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132" w:lineRule="exact"/>
        <w:rPr>
          <w:sz w:val="24"/>
          <w:szCs w:val="24"/>
          <w:color w:val="auto"/>
        </w:rPr>
      </w:pPr>
    </w:p>
    <w:p>
      <w:pPr>
        <w:ind w:right="36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58" w:lineRule="exact"/>
        <w:rPr>
          <w:sz w:val="24"/>
          <w:szCs w:val="24"/>
          <w:color w:val="auto"/>
        </w:rPr>
      </w:pPr>
    </w:p>
    <w:p>
      <w:pPr>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2022, Endo International plc (the Company) held its 2022 Annual General Meeting of Shareholders (the Annual Meeting) in Dublin, 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voted on by shareholders at the Annual Meeting and the results of such voting are set forth below.</w:t>
      </w:r>
    </w:p>
    <w:p>
      <w:pPr>
        <w:spacing w:after="0" w:line="95" w:lineRule="exact"/>
        <w:rPr>
          <w:sz w:val="20"/>
          <w:szCs w:val="20"/>
          <w:color w:val="auto"/>
        </w:rPr>
      </w:pPr>
    </w:p>
    <w:p>
      <w:pPr>
        <w:ind w:right="260" w:firstLine="8"/>
        <w:spacing w:after="0" w:line="268" w:lineRule="auto"/>
        <w:tabs>
          <w:tab w:leader="none" w:pos="64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elect, by separate resolutions, the following directors, representing all of the members of the Board of Directors of the Company (the Board), to serve until the next annual general meeting of shareholders or until their death, resignation or removal, if earlier, was approved based upon the following votes: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Votes For Approval</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G. Barberio</w:t>
            </w:r>
          </w:p>
        </w:tc>
        <w:tc>
          <w:tcPr>
            <w:tcW w:w="3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137,600,024</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21,517,338</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120,869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M. Chao</w:t>
            </w:r>
          </w:p>
        </w:tc>
        <w:tc>
          <w:tcPr>
            <w:tcW w:w="3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147,997,161</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11,122,950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118,120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Blaise Coleman</w:t>
            </w:r>
          </w:p>
        </w:tc>
        <w:tc>
          <w:tcPr>
            <w:tcW w:w="3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146,567,870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12,582,189</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88,172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M. Cooke</w:t>
            </w:r>
          </w:p>
        </w:tc>
        <w:tc>
          <w:tcPr>
            <w:tcW w:w="3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148,102,831</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11,044,828</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90,572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J. Hutson, Ph.D.</w:t>
            </w:r>
          </w:p>
        </w:tc>
        <w:tc>
          <w:tcPr>
            <w:tcW w:w="3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138,289,425</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20,831,038</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117,768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Hyatt</w:t>
            </w:r>
          </w:p>
        </w:tc>
        <w:tc>
          <w:tcPr>
            <w:tcW w:w="3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103,208,140</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55,896,748</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133,343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P. Montague</w:t>
            </w:r>
          </w:p>
        </w:tc>
        <w:tc>
          <w:tcPr>
            <w:tcW w:w="35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95,533,427</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63,600,281</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104,523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31,856,803</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 Christine Smith, Ph.D.</w:t>
            </w:r>
          </w:p>
        </w:tc>
        <w:tc>
          <w:tcPr>
            <w:tcW w:w="3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138,566,801</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20,544,755</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126,675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31,856,803</w:t>
            </w:r>
          </w:p>
        </w:tc>
      </w:tr>
    </w:tbl>
    <w:p>
      <w:pPr>
        <w:spacing w:after="0" w:line="1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approve, on an advisory basis, the compensation of the Company's named executive officers received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 approval</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24,395,060</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134,650,506</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192,665</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31,856,803</w:t>
            </w:r>
          </w:p>
        </w:tc>
      </w:tr>
    </w:tbl>
    <w:p>
      <w:pPr>
        <w:spacing w:after="0" w:line="17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renew the Board's existing authority to issue shares under Irish law was approved based upon the following votes: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 approval</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170,131,044</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20,522,869</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441,121</w:t>
            </w:r>
          </w:p>
        </w:tc>
      </w:tr>
    </w:tbl>
    <w:p>
      <w:pPr>
        <w:spacing w:after="0" w:line="180" w:lineRule="exact"/>
        <w:rPr>
          <w:sz w:val="20"/>
          <w:szCs w:val="20"/>
          <w:color w:val="auto"/>
        </w:rPr>
      </w:pPr>
    </w:p>
    <w:p>
      <w:pPr>
        <w:ind w:right="40" w:firstLine="8"/>
        <w:spacing w:after="0" w:line="286" w:lineRule="auto"/>
        <w:tabs>
          <w:tab w:leader="none" w:pos="64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renew the Board's existing authority to opt-out of statutory pre-emption rights under Irish law was approved based upon the following votes: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 approval</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170,652,158</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19,971,371</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471,505</w:t>
            </w:r>
          </w:p>
        </w:tc>
      </w:tr>
    </w:tbl>
    <w:p>
      <w:pPr>
        <w:spacing w:after="0" w:line="167" w:lineRule="exact"/>
        <w:rPr>
          <w:sz w:val="20"/>
          <w:szCs w:val="20"/>
          <w:color w:val="auto"/>
        </w:rPr>
      </w:pPr>
    </w:p>
    <w:p>
      <w:pPr>
        <w:ind w:right="200" w:firstLine="8"/>
        <w:spacing w:after="0" w:line="268" w:lineRule="auto"/>
        <w:tabs>
          <w:tab w:leader="none" w:pos="64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approve the appointment of PricewaterhouseCoopers LLP as the Company's independent registered public accounting firm for the year ending December 31, 2022 and to authorize the Board, acting through the Audit &amp; Finance Committee, to determine the independent registered public accounting firm's remuneration was approved based upon the following votes: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 approval</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172,674,579</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1,556,953</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5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16,863,502</w:t>
            </w:r>
          </w:p>
        </w:tc>
      </w:tr>
    </w:tbl>
    <w:p>
      <w:pPr>
        <w:spacing w:after="0" w:line="18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Such other matters as may properly come before the Annual Meeting or any adjournment or postponement thereof: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8"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48"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J. Maletta</w:t>
            </w: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J. Maletta</w:t>
            </w:r>
          </w:p>
        </w:tc>
        <w:tc>
          <w:tcPr>
            <w:tcW w:w="1580" w:type="dxa"/>
            <w:vAlign w:val="bottom"/>
          </w:tcPr>
          <w:p>
            <w:pPr>
              <w:spacing w:after="0"/>
              <w:rPr>
                <w:sz w:val="21"/>
                <w:szCs w:val="2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9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 and Company Secretary</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9, 2022</w:t>
      </w:r>
    </w:p>
    <w:sectPr>
      <w:pgSz w:w="11900" w:h="16838" w:orient="portrait"/>
      <w:cols w:equalWidth="0" w:num="1">
        <w:col w:w="10340"/>
      </w:cols>
      <w:pgMar w:left="320" w:top="90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2022-06-09T15:09:57Z</dcterms:created>
  <dcterms:modified xsi:type="dcterms:W3CDTF">2022-06-09T15:09:57Z</dcterms:modified>
</cp:coreProperties>
</file>