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08"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6"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320" w:right="880" w:hanging="2430"/>
        <w:spacing w:after="0" w:line="253" w:lineRule="auto"/>
        <w:tabs>
          <w:tab w:leader="none" w:pos="1223"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2"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or</w:t>
      </w:r>
    </w:p>
    <w:p>
      <w:pPr>
        <w:ind w:left="1240" w:hanging="393"/>
        <w:spacing w:after="0" w:line="221" w:lineRule="auto"/>
        <w:tabs>
          <w:tab w:leader="none" w:pos="124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219" w:lineRule="exact"/>
        <w:rPr>
          <w:sz w:val="24"/>
          <w:szCs w:val="24"/>
          <w:color w:val="auto"/>
        </w:rPr>
      </w:pPr>
    </w:p>
    <w:p>
      <w:pPr>
        <w:ind w:left="3540"/>
        <w:spacing w:after="0"/>
        <w:tabs>
          <w:tab w:leader="none" w:pos="7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001-36326</w:t>
      </w:r>
    </w:p>
    <w:p>
      <w:pPr>
        <w:spacing w:after="0" w:line="54"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Endo International plc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ectPr>
          <w:pgSz w:w="11900" w:h="16838" w:orient="portrait"/>
          <w:cols w:equalWidth="0" w:num="1">
            <w:col w:w="11200"/>
          </w:cols>
          <w:pgMar w:left="340" w:top="863" w:right="359" w:bottom="1440" w:gutter="0" w:footer="0" w:header="0"/>
        </w:sectPr>
      </w:pPr>
    </w:p>
    <w:p>
      <w:pPr>
        <w:spacing w:after="0" w:line="95" w:lineRule="exact"/>
        <w:rPr>
          <w:sz w:val="24"/>
          <w:szCs w:val="24"/>
          <w:color w:val="auto"/>
        </w:rPr>
      </w:pPr>
    </w:p>
    <w:p>
      <w:pPr>
        <w:ind w:left="270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68-0683755</w:t>
      </w:r>
    </w:p>
    <w:p>
      <w:pPr>
        <w:spacing w:after="0" w:line="82" w:lineRule="exact"/>
        <w:rPr>
          <w:sz w:val="24"/>
          <w:szCs w:val="24"/>
          <w:color w:val="auto"/>
        </w:rPr>
      </w:pPr>
    </w:p>
    <w:p>
      <w:pPr>
        <w:sectPr>
          <w:pgSz w:w="11900" w:h="16838" w:orient="portrait"/>
          <w:cols w:equalWidth="0" w:num="2">
            <w:col w:w="7480" w:space="720"/>
            <w:col w:w="3000"/>
          </w:cols>
          <w:pgMar w:left="340" w:top="863" w:right="359" w:bottom="1440" w:gutter="0" w:footer="0" w:header="0"/>
          <w:type w:val="continuous"/>
        </w:sectPr>
      </w:pPr>
    </w:p>
    <w:p>
      <w:pPr>
        <w:ind w:left="12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17" w:lineRule="exact"/>
        <w:rPr>
          <w:sz w:val="24"/>
          <w:szCs w:val="24"/>
          <w:color w:val="auto"/>
        </w:rPr>
      </w:pPr>
    </w:p>
    <w:p>
      <w:pPr>
        <w:sectPr>
          <w:pgSz w:w="11900" w:h="16838" w:orient="portrait"/>
          <w:cols w:equalWidth="0" w:num="2">
            <w:col w:w="6780" w:space="720"/>
            <w:col w:w="3700"/>
          </w:cols>
          <w:pgMar w:left="340" w:top="863" w:right="359" w:bottom="1440" w:gutter="0" w:footer="0" w:header="0"/>
          <w:type w:val="continuous"/>
        </w:sectPr>
      </w:pPr>
    </w:p>
    <w:p>
      <w:pPr>
        <w:ind w:left="1420"/>
        <w:spacing w:after="0"/>
        <w:rPr>
          <w:sz w:val="20"/>
          <w:szCs w:val="20"/>
          <w:color w:val="auto"/>
        </w:rPr>
      </w:pPr>
      <w:r>
        <w:rPr>
          <w:rFonts w:ascii="Arial" w:cs="Arial" w:eastAsia="Arial" w:hAnsi="Arial"/>
          <w:sz w:val="13"/>
          <w:szCs w:val="13"/>
          <w:b w:val="1"/>
          <w:bCs w:val="1"/>
          <w:color w:val="auto"/>
        </w:rPr>
        <w:t>First Floor, Minerva House, Simmonscourt Road</w:t>
      </w:r>
    </w:p>
    <w:p>
      <w:pPr>
        <w:sectPr>
          <w:pgSz w:w="11900" w:h="16838" w:orient="portrait"/>
          <w:cols w:equalWidth="0" w:num="1">
            <w:col w:w="11200"/>
          </w:cols>
          <w:pgMar w:left="340" w:top="863" w:right="359" w:bottom="1440" w:gutter="0" w:footer="0" w:header="0"/>
          <w:type w:val="continuous"/>
        </w:sectPr>
      </w:pPr>
    </w:p>
    <w:p>
      <w:pPr>
        <w:spacing w:after="0" w:line="67"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Not Applicable</w:t>
      </w:r>
    </w:p>
    <w:p>
      <w:pPr>
        <w:spacing w:after="0" w:line="71" w:lineRule="exact"/>
        <w:rPr>
          <w:sz w:val="24"/>
          <w:szCs w:val="24"/>
          <w:color w:val="auto"/>
        </w:rPr>
      </w:pPr>
    </w:p>
    <w:p>
      <w:pPr>
        <w:sectPr>
          <w:pgSz w:w="11900" w:h="16838" w:orient="portrait"/>
          <w:cols w:equalWidth="0" w:num="2">
            <w:col w:w="7360" w:space="720"/>
            <w:col w:w="3120"/>
          </w:cols>
          <w:pgMar w:left="340" w:top="863" w:right="359" w:bottom="1440" w:gutter="0" w:footer="0" w:header="0"/>
          <w:type w:val="continuous"/>
        </w:sectPr>
      </w:pPr>
    </w:p>
    <w:p>
      <w:pPr>
        <w:ind w:left="17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8" w:lineRule="exact"/>
        <w:rPr>
          <w:sz w:val="24"/>
          <w:szCs w:val="24"/>
          <w:color w:val="auto"/>
        </w:rPr>
      </w:pPr>
    </w:p>
    <w:p>
      <w:pPr>
        <w:sectPr>
          <w:pgSz w:w="11900" w:h="16838" w:orient="portrait"/>
          <w:cols w:equalWidth="0" w:num="2">
            <w:col w:w="7500" w:space="720"/>
            <w:col w:w="2980"/>
          </w:cols>
          <w:pgMar w:left="340" w:top="863" w:right="3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011-353-1-268-2000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00"/>
          </w:cols>
          <w:pgMar w:left="340" w:top="863" w:right="359" w:bottom="1440" w:gutter="0" w:footer="0" w:header="0"/>
          <w:type w:val="continuous"/>
        </w:sectPr>
      </w:pPr>
    </w:p>
    <w:p>
      <w:pPr>
        <w:spacing w:after="0" w:line="269" w:lineRule="exact"/>
        <w:rPr>
          <w:sz w:val="24"/>
          <w:szCs w:val="24"/>
          <w:color w:val="auto"/>
        </w:rPr>
      </w:pPr>
    </w:p>
    <w:p>
      <w:pPr>
        <w:ind w:left="3240"/>
        <w:spacing w:after="0"/>
        <w:rPr>
          <w:sz w:val="20"/>
          <w:szCs w:val="20"/>
          <w:color w:val="auto"/>
        </w:rPr>
      </w:pPr>
      <w:r>
        <w:rPr>
          <w:rFonts w:ascii="Arial" w:cs="Arial" w:eastAsia="Arial" w:hAnsi="Arial"/>
          <w:sz w:val="14"/>
          <w:szCs w:val="14"/>
          <w:color w:val="auto"/>
        </w:rPr>
        <w:t>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 None (*)</w:t>
      </w:r>
    </w:p>
    <w:p>
      <w:pPr>
        <w:spacing w:after="0" w:line="47" w:lineRule="exact"/>
        <w:rPr>
          <w:sz w:val="24"/>
          <w:szCs w:val="24"/>
          <w:color w:val="auto"/>
        </w:rPr>
      </w:pPr>
    </w:p>
    <w:p>
      <w:pPr>
        <w:ind w:left="960" w:right="60" w:hanging="308"/>
        <w:spacing w:after="0" w:line="228" w:lineRule="auto"/>
        <w:tabs>
          <w:tab w:leader="none" w:pos="9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0340" w:type="dxa"/>
            <w:vAlign w:val="bottom"/>
          </w:tcPr>
          <w:p>
            <w:pPr>
              <w:spacing w:after="0"/>
              <w:rPr>
                <w:sz w:val="20"/>
                <w:szCs w:val="20"/>
                <w:color w:val="auto"/>
              </w:rPr>
            </w:pPr>
            <w:r>
              <w:rPr>
                <w:rFonts w:ascii="Arial" w:cs="Arial" w:eastAsia="Arial" w:hAnsi="Arial"/>
                <w:sz w:val="17"/>
                <w:szCs w:val="17"/>
                <w:color w:val="auto"/>
                <w:w w:val="94"/>
              </w:rPr>
              <w:t>Indicate by check mark whether the registrant (1) has filed all reports required to be filed by Section 13 or 15(d) of the Securities Exchange Act of</w:t>
            </w:r>
          </w:p>
        </w:tc>
        <w:tc>
          <w:tcPr>
            <w:tcW w:w="54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28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71"/>
        </w:trPr>
        <w:tc>
          <w:tcPr>
            <w:tcW w:w="10340" w:type="dxa"/>
            <w:vAlign w:val="bottom"/>
          </w:tcPr>
          <w:p>
            <w:pPr>
              <w:spacing w:after="0" w:line="172" w:lineRule="exact"/>
              <w:rPr>
                <w:sz w:val="20"/>
                <w:szCs w:val="20"/>
                <w:color w:val="auto"/>
              </w:rPr>
            </w:pPr>
            <w:r>
              <w:rPr>
                <w:rFonts w:ascii="Arial" w:cs="Arial" w:eastAsia="Arial" w:hAnsi="Arial"/>
                <w:sz w:val="17"/>
                <w:szCs w:val="17"/>
                <w:color w:val="auto"/>
                <w:w w:val="91"/>
              </w:rPr>
              <w:t>1934 during the preceding 12 months (or for such shorter period that the registrant was required to file such reports), and (2) has been subject to such</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28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31"/>
        </w:trPr>
        <w:tc>
          <w:tcPr>
            <w:tcW w:w="10340" w:type="dxa"/>
            <w:vAlign w:val="bottom"/>
          </w:tcPr>
          <w:p>
            <w:pPr>
              <w:spacing w:after="0"/>
              <w:rPr>
                <w:sz w:val="20"/>
                <w:szCs w:val="20"/>
                <w:color w:val="auto"/>
              </w:rPr>
            </w:pPr>
            <w:r>
              <w:rPr>
                <w:rFonts w:ascii="Arial" w:cs="Arial" w:eastAsia="Arial" w:hAnsi="Arial"/>
                <w:sz w:val="17"/>
                <w:szCs w:val="17"/>
                <w:color w:val="auto"/>
              </w:rPr>
              <w:t>filing requirements for the past 90 days. (†)</w:t>
            </w:r>
          </w:p>
        </w:tc>
        <w:tc>
          <w:tcPr>
            <w:tcW w:w="5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0" w:right="160" w:hanging="310"/>
        <w:spacing w:after="0" w:line="236" w:lineRule="auto"/>
        <w:tabs>
          <w:tab w:leader="none" w:pos="9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registrant is a voluntary filer that is not subject to the filing requirements of Section 13 or 15(d) of the Securities Exchange Act of 1934, as amended. It has filed all reports that otherwise would be required to be filed by Section 13 or 15(d) of the Securities Exchange Act of 1934, as amended, during the past 90 days.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0320" w:type="dxa"/>
            <w:vAlign w:val="bottom"/>
          </w:tcPr>
          <w:p>
            <w:pPr>
              <w:spacing w:after="0"/>
              <w:rPr>
                <w:sz w:val="20"/>
                <w:szCs w:val="20"/>
                <w:color w:val="auto"/>
              </w:rPr>
            </w:pPr>
            <w:r>
              <w:rPr>
                <w:rFonts w:ascii="Arial" w:cs="Arial" w:eastAsia="Arial" w:hAnsi="Arial"/>
                <w:sz w:val="17"/>
                <w:szCs w:val="17"/>
                <w:color w:val="auto"/>
                <w:w w:val="92"/>
              </w:rPr>
              <w:t>Indicate by check mark whether the registrant has submitted electronically every Interactive Data File required to be submitted pursuant to Rule 405</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1"/>
        </w:trPr>
        <w:tc>
          <w:tcPr>
            <w:tcW w:w="10320" w:type="dxa"/>
            <w:vAlign w:val="bottom"/>
          </w:tcPr>
          <w:p>
            <w:pPr>
              <w:spacing w:after="0" w:line="172" w:lineRule="exact"/>
              <w:rPr>
                <w:sz w:val="20"/>
                <w:szCs w:val="20"/>
                <w:color w:val="auto"/>
              </w:rPr>
            </w:pPr>
            <w:r>
              <w:rPr>
                <w:rFonts w:ascii="Arial" w:cs="Arial" w:eastAsia="Arial" w:hAnsi="Arial"/>
                <w:sz w:val="17"/>
                <w:szCs w:val="17"/>
                <w:color w:val="auto"/>
                <w:w w:val="94"/>
              </w:rPr>
              <w:t>of Regulation S-T (§232.405 of this chapter) during the preceding 12 months (or for such shorter period that the registrant was required to submit</w:t>
            </w:r>
          </w:p>
        </w:tc>
        <w:tc>
          <w:tcPr>
            <w:tcW w:w="58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1"/>
        </w:trPr>
        <w:tc>
          <w:tcPr>
            <w:tcW w:w="10320" w:type="dxa"/>
            <w:vAlign w:val="bottom"/>
          </w:tcPr>
          <w:p>
            <w:pPr>
              <w:spacing w:after="0"/>
              <w:rPr>
                <w:sz w:val="20"/>
                <w:szCs w:val="20"/>
                <w:color w:val="auto"/>
              </w:rPr>
            </w:pPr>
            <w:r>
              <w:rPr>
                <w:rFonts w:ascii="Arial" w:cs="Arial" w:eastAsia="Arial" w:hAnsi="Arial"/>
                <w:sz w:val="17"/>
                <w:szCs w:val="17"/>
                <w:color w:val="auto"/>
              </w:rPr>
              <w:t>such files).</w:t>
            </w:r>
          </w:p>
        </w:tc>
        <w:tc>
          <w:tcPr>
            <w:tcW w:w="58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jc w:val="both"/>
        <w:ind w:right="140"/>
        <w:spacing w:after="0" w:line="23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Arial" w:cs="Arial" w:eastAsia="Arial" w:hAnsi="Arial"/>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10900" w:type="dxa"/>
            <w:vAlign w:val="bottom"/>
            <w:gridSpan w:val="4"/>
          </w:tcPr>
          <w:p>
            <w:pPr>
              <w:spacing w:after="0"/>
              <w:rPr>
                <w:sz w:val="20"/>
                <w:szCs w:val="20"/>
                <w:color w:val="auto"/>
              </w:rPr>
            </w:pPr>
            <w:r>
              <w:rPr>
                <w:rFonts w:ascii="Arial" w:cs="Arial" w:eastAsia="Arial" w:hAnsi="Arial"/>
                <w:sz w:val="17"/>
                <w:szCs w:val="17"/>
                <w:color w:val="auto"/>
                <w:w w:val="93"/>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7040" w:type="dxa"/>
            <w:vAlign w:val="bottom"/>
            <w:gridSpan w:val="2"/>
          </w:tcPr>
          <w:p>
            <w:pPr>
              <w:spacing w:after="0"/>
              <w:rPr>
                <w:sz w:val="20"/>
                <w:szCs w:val="20"/>
                <w:color w:val="auto"/>
              </w:rPr>
            </w:pPr>
            <w:r>
              <w:rPr>
                <w:rFonts w:ascii="Arial" w:cs="Arial" w:eastAsia="Arial" w:hAnsi="Arial"/>
                <w:sz w:val="17"/>
                <w:szCs w:val="17"/>
                <w:color w:val="auto"/>
                <w:w w:val="98"/>
              </w:rPr>
              <w:t>revised financial accounting standards provided pursuant to Section 13(a) of the Exchange Act.</w:t>
            </w:r>
          </w:p>
        </w:tc>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75"/>
        </w:trPr>
        <w:tc>
          <w:tcPr>
            <w:tcW w:w="998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August 1, 2023 was 235,219,612.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551815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63"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ENDO INTERNATIONAL PLC</w:t>
      </w:r>
    </w:p>
    <w:p>
      <w:pPr>
        <w:jc w:val="center"/>
        <w:spacing w:after="0" w:line="234" w:lineRule="auto"/>
        <w:rPr>
          <w:sz w:val="20"/>
          <w:szCs w:val="20"/>
          <w:color w:val="auto"/>
        </w:rPr>
      </w:pPr>
      <w:r>
        <w:rPr>
          <w:rFonts w:ascii="Arial" w:cs="Arial" w:eastAsia="Arial" w:hAnsi="Arial"/>
          <w:sz w:val="18"/>
          <w:szCs w:val="18"/>
          <w:b w:val="1"/>
          <w:bCs w:val="1"/>
          <w:color w:val="auto"/>
        </w:rPr>
        <w:t>(DEBTOR-IN-POSSESSION)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gridSpan w:val="23"/>
          </w:tcPr>
          <w:p>
            <w:pPr>
              <w:spacing w:after="0"/>
              <w:rPr>
                <w:sz w:val="20"/>
                <w:szCs w:val="20"/>
                <w:color w:val="auto"/>
              </w:rPr>
            </w:pPr>
            <w:r>
              <w:rPr>
                <w:rFonts w:ascii="Arial" w:cs="Arial" w:eastAsia="Arial" w:hAnsi="Arial"/>
                <w:sz w:val="18"/>
                <w:szCs w:val="18"/>
                <w:color w:val="0000FF"/>
              </w:rPr>
              <w:t>Forward-Looking Statements</w:t>
            </w:r>
          </w:p>
        </w:tc>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0000FF"/>
              </w:rPr>
              <w:t>i</w:t>
            </w: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Borders>
              <w:bottom w:val="single" w:sz="8" w:color="0000FF"/>
            </w:tcBorders>
            <w:gridSpan w:val="8"/>
          </w:tcPr>
          <w:p>
            <w:pPr>
              <w:jc w:val="center"/>
              <w:spacing w:after="0"/>
              <w:rPr>
                <w:sz w:val="20"/>
                <w:szCs w:val="20"/>
                <w:color w:val="auto"/>
              </w:rPr>
            </w:pPr>
            <w:r>
              <w:rPr>
                <w:rFonts w:ascii="Arial" w:cs="Arial" w:eastAsia="Arial" w:hAnsi="Arial"/>
                <w:sz w:val="18"/>
                <w:szCs w:val="18"/>
                <w:b w:val="1"/>
                <w:bCs w:val="1"/>
                <w:color w:val="0000FF"/>
              </w:rPr>
              <w:t>PART I. FINANCIAL INFORMATION</w:t>
            </w:r>
          </w:p>
        </w:tc>
        <w:tc>
          <w:tcPr>
            <w:tcW w:w="980" w:type="dxa"/>
            <w:vAlign w:val="bottom"/>
            <w:gridSpan w:val="2"/>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40" w:type="dxa"/>
            <w:vAlign w:val="bottom"/>
            <w:gridSpan w:val="3"/>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(Unaudited)</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(Unaudited)</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0" w:type="dxa"/>
            <w:vAlign w:val="bottom"/>
            <w:gridSpan w:val="18"/>
          </w:tcPr>
          <w:p>
            <w:pPr>
              <w:spacing w:after="0"/>
              <w:rPr>
                <w:sz w:val="20"/>
                <w:szCs w:val="20"/>
                <w:color w:val="auto"/>
              </w:rPr>
            </w:pPr>
            <w:r>
              <w:rPr>
                <w:rFonts w:ascii="Arial" w:cs="Arial" w:eastAsia="Arial" w:hAnsi="Arial"/>
                <w:sz w:val="18"/>
                <w:szCs w:val="18"/>
                <w:color w:val="0000FF"/>
                <w:w w:val="89"/>
              </w:rPr>
              <w:t>Condensed Consolidated Statements of Comprehensive Income (Loss) (Unaudited)</w:t>
            </w:r>
          </w:p>
        </w:tc>
        <w:tc>
          <w:tcPr>
            <w:tcW w:w="440" w:type="dxa"/>
            <w:vAlign w:val="bottom"/>
          </w:tcPr>
          <w:p>
            <w:pPr>
              <w:spacing w:after="0"/>
              <w:rPr>
                <w:sz w:val="18"/>
                <w:szCs w:val="18"/>
                <w:color w:val="auto"/>
              </w:rPr>
            </w:pP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440" w:type="dxa"/>
            <w:vAlign w:val="bottom"/>
          </w:tcPr>
          <w:p>
            <w:pPr>
              <w:spacing w:after="0"/>
              <w:rPr>
                <w:sz w:val="19"/>
                <w:szCs w:val="19"/>
                <w:color w:val="auto"/>
              </w:rPr>
            </w:pP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320" w:type="dxa"/>
            <w:vAlign w:val="bottom"/>
            <w:gridSpan w:val="2"/>
          </w:tcPr>
          <w:p>
            <w:pPr>
              <w:spacing w:after="0"/>
              <w:rPr>
                <w:sz w:val="18"/>
                <w:szCs w:val="18"/>
                <w:color w:val="auto"/>
              </w:rPr>
            </w:pPr>
          </w:p>
        </w:tc>
        <w:tc>
          <w:tcPr>
            <w:tcW w:w="64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6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6"/>
          </w:tcPr>
          <w:p>
            <w:pPr>
              <w:spacing w:after="0"/>
              <w:rPr>
                <w:sz w:val="19"/>
                <w:szCs w:val="19"/>
                <w:color w:val="auto"/>
              </w:rPr>
            </w:pPr>
          </w:p>
        </w:tc>
        <w:tc>
          <w:tcPr>
            <w:tcW w:w="362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64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53</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9"/>
          </w:tcPr>
          <w:p>
            <w:pPr>
              <w:jc w:val="center"/>
              <w:ind w:right="1140"/>
              <w:spacing w:after="0"/>
              <w:rPr>
                <w:sz w:val="20"/>
                <w:szCs w:val="20"/>
                <w:color w:val="auto"/>
              </w:rPr>
            </w:pPr>
            <w:r>
              <w:rPr>
                <w:rFonts w:ascii="Arial" w:cs="Arial" w:eastAsia="Arial" w:hAnsi="Arial"/>
                <w:sz w:val="18"/>
                <w:szCs w:val="18"/>
                <w:b w:val="1"/>
                <w:bCs w:val="1"/>
                <w:color w:val="0000FF"/>
              </w:rPr>
              <w:t>PART II. OTHER INFORMATION</w:t>
            </w: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1.</w:t>
            </w:r>
          </w:p>
        </w:tc>
        <w:tc>
          <w:tcPr>
            <w:tcW w:w="320" w:type="dxa"/>
            <w:vAlign w:val="bottom"/>
            <w:gridSpan w:val="2"/>
          </w:tcPr>
          <w:p>
            <w:pPr>
              <w:spacing w:after="0"/>
              <w:rPr>
                <w:sz w:val="19"/>
                <w:szCs w:val="19"/>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1200" w:type="dxa"/>
            <w:vAlign w:val="bottom"/>
            <w:gridSpan w:val="5"/>
          </w:tcPr>
          <w:p>
            <w:pPr>
              <w:spacing w:after="0"/>
              <w:rPr>
                <w:sz w:val="19"/>
                <w:szCs w:val="19"/>
                <w:color w:val="auto"/>
              </w:rPr>
            </w:pPr>
          </w:p>
        </w:tc>
        <w:tc>
          <w:tcPr>
            <w:tcW w:w="2760" w:type="dxa"/>
            <w:vAlign w:val="bottom"/>
            <w:tcBorders>
              <w:top w:val="single" w:sz="8" w:color="0000FF"/>
            </w:tcBorders>
            <w:gridSpan w:val="6"/>
          </w:tcPr>
          <w:p>
            <w:pPr>
              <w:spacing w:after="0"/>
              <w:rPr>
                <w:sz w:val="19"/>
                <w:szCs w:val="19"/>
                <w:color w:val="auto"/>
              </w:rPr>
            </w:pPr>
          </w:p>
        </w:tc>
        <w:tc>
          <w:tcPr>
            <w:tcW w:w="1140" w:type="dxa"/>
            <w:vAlign w:val="bottom"/>
            <w:gridSpan w:val="3"/>
          </w:tcPr>
          <w:p>
            <w:pPr>
              <w:spacing w:after="0"/>
              <w:rPr>
                <w:sz w:val="19"/>
                <w:szCs w:val="19"/>
                <w:color w:val="auto"/>
              </w:rPr>
            </w:pP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64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44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2100" w:type="dxa"/>
            <w:vAlign w:val="bottom"/>
            <w:gridSpan w:val="7"/>
          </w:tcPr>
          <w:p>
            <w:pPr>
              <w:spacing w:after="0"/>
              <w:rPr>
                <w:sz w:val="19"/>
                <w:szCs w:val="19"/>
                <w:color w:val="auto"/>
              </w:rPr>
            </w:pPr>
          </w:p>
        </w:tc>
        <w:tc>
          <w:tcPr>
            <w:tcW w:w="3620" w:type="dxa"/>
            <w:vAlign w:val="bottom"/>
            <w:gridSpan w:val="2"/>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240" w:type="dxa"/>
            <w:vAlign w:val="bottom"/>
            <w:tcBorders>
              <w:top w:val="single" w:sz="8" w:color="0000FF"/>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4120" w:type="dxa"/>
            <w:vAlign w:val="bottom"/>
            <w:gridSpan w:val="11"/>
          </w:tcPr>
          <w:p>
            <w:pPr>
              <w:spacing w:after="0"/>
              <w:rPr>
                <w:sz w:val="18"/>
                <w:szCs w:val="18"/>
                <w:color w:val="auto"/>
              </w:rPr>
            </w:pP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440" w:type="dxa"/>
            <w:vAlign w:val="bottom"/>
            <w:gridSpan w:val="3"/>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4680" w:type="dxa"/>
            <w:vAlign w:val="bottom"/>
            <w:gridSpan w:val="12"/>
          </w:tcPr>
          <w:p>
            <w:pPr>
              <w:spacing w:after="0"/>
              <w:rPr>
                <w:sz w:val="18"/>
                <w:szCs w:val="18"/>
                <w:color w:val="auto"/>
              </w:rPr>
            </w:pPr>
          </w:p>
        </w:tc>
        <w:tc>
          <w:tcPr>
            <w:tcW w:w="36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440" w:type="dxa"/>
            <w:vAlign w:val="bottom"/>
            <w:gridSpan w:val="3"/>
          </w:tcPr>
          <w:p>
            <w:pPr>
              <w:spacing w:after="0"/>
              <w:rPr>
                <w:sz w:val="19"/>
                <w:szCs w:val="19"/>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5840" w:type="dxa"/>
            <w:vAlign w:val="bottom"/>
            <w:gridSpan w:val="18"/>
          </w:tcPr>
          <w:p>
            <w:pPr>
              <w:spacing w:after="0"/>
              <w:rPr>
                <w:sz w:val="19"/>
                <w:szCs w:val="19"/>
                <w:color w:val="auto"/>
              </w:rPr>
            </w:pPr>
          </w:p>
        </w:tc>
        <w:tc>
          <w:tcPr>
            <w:tcW w:w="362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9"/>
                <w:szCs w:val="19"/>
                <w:color w:val="auto"/>
              </w:rPr>
            </w:pPr>
          </w:p>
        </w:tc>
      </w:tr>
      <w:tr>
        <w:trPr>
          <w:trHeight w:val="480"/>
        </w:trPr>
        <w:tc>
          <w:tcPr>
            <w:tcW w:w="2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0" w:type="dxa"/>
            <w:vAlign w:val="bottom"/>
            <w:gridSpan w:val="4"/>
          </w:tcPr>
          <w:p>
            <w:pPr>
              <w:jc w:val="right"/>
              <w:spacing w:after="0"/>
              <w:rPr>
                <w:sz w:val="20"/>
                <w:szCs w:val="20"/>
                <w:color w:val="auto"/>
              </w:rPr>
            </w:pPr>
            <w:r>
              <w:rPr>
                <w:rFonts w:ascii="Arial" w:cs="Arial" w:eastAsia="Arial" w:hAnsi="Arial"/>
                <w:sz w:val="18"/>
                <w:szCs w:val="18"/>
                <w:color w:val="0000FF"/>
              </w:rPr>
              <w:t>56</w:t>
            </w:r>
          </w:p>
        </w:tc>
        <w:tc>
          <w:tcPr>
            <w:tcW w:w="20" w:type="dxa"/>
            <w:vAlign w:val="bottom"/>
          </w:tcPr>
          <w:p>
            <w:pPr>
              <w:spacing w:after="0"/>
              <w:rPr>
                <w:sz w:val="24"/>
                <w:szCs w:val="24"/>
                <w:color w:val="auto"/>
              </w:rPr>
            </w:pPr>
          </w:p>
        </w:tc>
      </w:tr>
      <w:tr>
        <w:trPr>
          <w:trHeight w:val="1135"/>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and the Private Securities Litigation Reform Act of 1995. Forward-looking statements include, without limitation, any statements relating to future financial results, cost savings, revenues, expenses, net income and income per share; the status, progress and/or outcome of litigation, proceedings under chapter 11 of title 11 of the United States (U.S.) Code (the Bankruptcy Code) and/or any other contingency planning initiatives, including the application and effect of the automatic stay thereunder; future financing activities; the impact of public health crises and epidemics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among other things, the growth of our business, our financial performance and the development of our industry.</w:t>
      </w:r>
    </w:p>
    <w:p>
      <w:pPr>
        <w:spacing w:after="0" w:line="66" w:lineRule="exact"/>
        <w:rPr>
          <w:sz w:val="20"/>
          <w:szCs w:val="20"/>
          <w:color w:val="auto"/>
        </w:rPr>
      </w:pPr>
    </w:p>
    <w:p>
      <w:pPr>
        <w:ind w:firstLine="486"/>
        <w:spacing w:after="0" w:line="259" w:lineRule="auto"/>
        <w:rPr>
          <w:sz w:val="20"/>
          <w:szCs w:val="20"/>
          <w:color w:val="auto"/>
        </w:rPr>
      </w:pPr>
      <w:r>
        <w:rPr>
          <w:rFonts w:ascii="Arial" w:cs="Arial" w:eastAsia="Arial" w:hAnsi="Arial"/>
          <w:sz w:val="17"/>
          <w:szCs w:val="17"/>
          <w:color w:val="auto"/>
        </w:rPr>
        <w:t>Because these statements reflect our current views concerning future events, these forward-looking statements involve risks and uncertainties including, without limitation, the timing or results of any pending or future litigation, investigations, claims, actual or contingent liabilities, settlement discussions, negotiations or other adverse proceedings, including proceedings involving opioid-related matters, antitrust matters and tax matters with the U.S. Internal Revenue Service (IRS); unfavorable publicity regarding the misuse of opioids; the status, progress and/or outcome of our ongoing bankruptcy proceedings; changing competitive, market and regulatory conditions; changes in legislation; our ability to obtain and maintain adequate protection for our intellectual property rights; the impacts of competition such as those related to the loss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the Annual Report on Form 10-K for the year ended December 31, 2022 filed with the Securities and Exchange Commission (SEC) on March 6, 2023 (the Annual Report), in Part II, Item 1A of the Quarterly Report on Form 10-Q for the quarterly period ended March 31, 2023 filed with the SEC on May 8, 2023 (the First-Quarter 2023 Form 10-Q) and in other reports that we file with the SEC.</w:t>
      </w:r>
    </w:p>
    <w:p>
      <w:pPr>
        <w:spacing w:after="0" w:line="8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the effects of our ongoing bankruptcy proceedings and the related events of default under our indebtedness on our current and future liquidity and ability to fund our working capital, capital expenditures, business development, debt service requirements, acquisitions and any other obligations; our ability to attract and retain key personnel; our ability to adjust to changing market conditions; and/or the potential for a significant reduction in our short-term and long-term revenues and/or any other factor that could cause us to be unable to fund our operations and liquidity needs.</w:t>
      </w:r>
    </w:p>
    <w:p>
      <w:pPr>
        <w:spacing w:after="0" w:line="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and Part II, Item 1A of the First-Quarter 2023 Form 10-Q,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6"/>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865,918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1,018,883</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Restricted cash and cash equivalents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159,707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145,358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493,988</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274,535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274,499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108,081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136,923</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receivable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183"/>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1,862,912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2,076,768</w:t>
            </w:r>
          </w:p>
        </w:tc>
        <w:tc>
          <w:tcPr>
            <w:tcW w:w="0" w:type="dxa"/>
            <w:vAlign w:val="bottom"/>
          </w:tcPr>
          <w:p>
            <w:pPr>
              <w:spacing w:after="0"/>
              <w:rPr>
                <w:sz w:val="1"/>
                <w:szCs w:val="1"/>
                <w:color w:val="auto"/>
              </w:rPr>
            </w:pPr>
          </w:p>
        </w:tc>
      </w:tr>
      <w:tr>
        <w:trPr>
          <w:trHeight w:val="179"/>
        </w:trPr>
        <w:tc>
          <w:tcPr>
            <w:tcW w:w="84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448,043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438,314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28,070</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1,352,011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1,352,011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INTANGIBLES, NET</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1,604,271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1,732,935</w:t>
            </w: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126,087</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129,839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5,419,111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5,757,937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640"/>
              <w:spacing w:after="0"/>
              <w:rPr>
                <w:sz w:val="20"/>
                <w:szCs w:val="20"/>
                <w:color w:val="auto"/>
              </w:rPr>
            </w:pPr>
            <w:r>
              <w:rPr>
                <w:rFonts w:ascii="Arial" w:cs="Arial" w:eastAsia="Arial" w:hAnsi="Arial"/>
                <w:sz w:val="14"/>
                <w:szCs w:val="14"/>
                <w:b w:val="1"/>
                <w:bCs w:val="1"/>
                <w:color w:val="auto"/>
              </w:rPr>
              <w:t>LIABILITIES AND SHAREHOLDERS’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563,425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687,183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183"/>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564,882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689,627</w:t>
            </w:r>
          </w:p>
        </w:tc>
        <w:tc>
          <w:tcPr>
            <w:tcW w:w="0" w:type="dxa"/>
            <w:vAlign w:val="bottom"/>
          </w:tcPr>
          <w:p>
            <w:pPr>
              <w:spacing w:after="0"/>
              <w:rPr>
                <w:sz w:val="1"/>
                <w:szCs w:val="1"/>
                <w:color w:val="auto"/>
              </w:rPr>
            </w:pPr>
          </w:p>
        </w:tc>
      </w:tr>
      <w:tr>
        <w:trPr>
          <w:trHeight w:val="179"/>
        </w:trPr>
        <w:tc>
          <w:tcPr>
            <w:tcW w:w="840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40,275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42,746</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SUBJECT TO COMPROMISE</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8,924,870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9,168,782</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DEFICIT: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Euro deferred shares, $0.01 par value; 4,000,000 shares authorized and issued at both June 30, 2023 and December 31, 2022</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2"/>
              </w:rPr>
              <w:t>Ordinary shares, $0.0001 par value; 1,000,000,000 shares authorized; 235,219,612 and 235,208,039 shares issued and outstanding at June 30,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2023 and December 31, 2022, respectively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8,980,561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8,969,322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(12,884,461)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(12,904,620)</w:t>
            </w:r>
          </w:p>
        </w:tc>
        <w:tc>
          <w:tcPr>
            <w:tcW w:w="0" w:type="dxa"/>
            <w:vAlign w:val="bottom"/>
          </w:tcPr>
          <w:p>
            <w:pPr>
              <w:spacing w:after="0"/>
              <w:rPr>
                <w:sz w:val="1"/>
                <w:szCs w:val="1"/>
                <w:color w:val="auto"/>
              </w:rPr>
            </w:pPr>
          </w:p>
        </w:tc>
      </w:tr>
      <w:tr>
        <w:trPr>
          <w:trHeight w:val="186"/>
        </w:trPr>
        <w:tc>
          <w:tcPr>
            <w:tcW w:w="84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(223,443)</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(226,941)</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shareholders’ deficit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(4,127,275)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(4,162,172)</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LIABILITIES AND SHAREHOLDERS’ DEFICIT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5,419,111</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5,757,937</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82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NET</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546,852</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569,114</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1,062,119</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1,221,373</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revenues</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233,852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537,001</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137,729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180,830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288,522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407,991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29,788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55,740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65,918</w:t>
            </w:r>
          </w:p>
        </w:tc>
        <w:tc>
          <w:tcPr>
            <w:tcW w:w="0" w:type="dxa"/>
            <w:vAlign w:val="bottom"/>
          </w:tcPr>
          <w:p>
            <w:pPr>
              <w:spacing w:after="0"/>
              <w:rPr>
                <w:sz w:val="1"/>
                <w:szCs w:val="1"/>
                <w:color w:val="auto"/>
              </w:rPr>
            </w:pPr>
          </w:p>
        </w:tc>
      </w:tr>
      <w:tr>
        <w:trPr>
          <w:trHeight w:val="186"/>
        </w:trPr>
        <w:tc>
          <w:tcPr>
            <w:tcW w:w="546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8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67,900</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Litigation-related and other contingencies, net</w:t>
            </w:r>
          </w:p>
        </w:tc>
        <w:tc>
          <w:tcPr>
            <w:tcW w:w="8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43,213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25,362</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Asset impairment charges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1,781,063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1,801,016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Acquisition-related and integration items, net</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139,784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274,733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Reorganization items, net</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84,267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169,619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 (income), net</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(18,149)</w:t>
            </w: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(1,873,732)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37,240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(1,940,847)</w:t>
            </w:r>
          </w:p>
        </w:tc>
        <w:tc>
          <w:tcPr>
            <w:tcW w:w="0" w:type="dxa"/>
            <w:vAlign w:val="bottom"/>
          </w:tcPr>
          <w:p>
            <w:pPr>
              <w:spacing w:after="0"/>
              <w:rPr>
                <w:sz w:val="1"/>
                <w:szCs w:val="1"/>
                <w:color w:val="auto"/>
              </w:rPr>
            </w:pPr>
          </w:p>
        </w:tc>
      </w:tr>
      <w:tr>
        <w:trPr>
          <w:trHeight w:val="19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5,336</w:t>
            </w:r>
          </w:p>
        </w:tc>
        <w:tc>
          <w:tcPr>
            <w:tcW w:w="0" w:type="dxa"/>
            <w:vAlign w:val="bottom"/>
          </w:tcPr>
          <w:p>
            <w:pPr>
              <w:spacing w:after="0"/>
              <w:rPr>
                <w:sz w:val="1"/>
                <w:szCs w:val="1"/>
                <w:color w:val="auto"/>
              </w:rPr>
            </w:pPr>
          </w:p>
        </w:tc>
      </w:tr>
      <w:tr>
        <w:trPr>
          <w:trHeight w:val="20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24,011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(1,880,883)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21,188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(1,946,183)</w:t>
            </w:r>
          </w:p>
        </w:tc>
        <w:tc>
          <w:tcPr>
            <w:tcW w:w="0" w:type="dxa"/>
            <w:vAlign w:val="bottom"/>
          </w:tcPr>
          <w:p>
            <w:pPr>
              <w:spacing w:after="0"/>
              <w:rPr>
                <w:sz w:val="1"/>
                <w:szCs w:val="1"/>
                <w:color w:val="auto"/>
              </w:rPr>
            </w:pPr>
          </w:p>
        </w:tc>
      </w:tr>
      <w:tr>
        <w:trPr>
          <w:trHeight w:val="179"/>
        </w:trPr>
        <w:tc>
          <w:tcPr>
            <w:tcW w:w="5460" w:type="dxa"/>
            <w:vAlign w:val="bottom"/>
          </w:tcPr>
          <w:p>
            <w:pPr>
              <w:ind w:left="20"/>
              <w:spacing w:after="0"/>
              <w:rPr>
                <w:sz w:val="20"/>
                <w:szCs w:val="20"/>
                <w:color w:val="auto"/>
              </w:rPr>
            </w:pPr>
            <w:r>
              <w:rPr>
                <w:rFonts w:ascii="Arial" w:cs="Arial" w:eastAsia="Arial" w:hAnsi="Arial"/>
                <w:sz w:val="14"/>
                <w:szCs w:val="14"/>
                <w:color w:val="auto"/>
              </w:rPr>
              <w:t>DISCONTINUED OPERATIONS, NET OF TAX (NOTE 4)</w:t>
            </w:r>
          </w:p>
        </w:tc>
        <w:tc>
          <w:tcPr>
            <w:tcW w:w="8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(4,544)</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23,438</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(1,885,427)</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20,159</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(1,957,401)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(LOSS) PER SHARE—BASIC:</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97"/>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27"/>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(LOSS) PER SHARE—DILUTED: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4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235,220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235,117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235,218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234,498</w:t>
            </w:r>
          </w:p>
        </w:tc>
        <w:tc>
          <w:tcPr>
            <w:tcW w:w="0" w:type="dxa"/>
            <w:vAlign w:val="bottom"/>
          </w:tcPr>
          <w:p>
            <w:pPr>
              <w:spacing w:after="0"/>
              <w:rPr>
                <w:sz w:val="1"/>
                <w:szCs w:val="1"/>
                <w:color w:val="auto"/>
              </w:rPr>
            </w:pPr>
          </w:p>
        </w:tc>
      </w:tr>
      <w:tr>
        <w:trPr>
          <w:trHeight w:val="182"/>
        </w:trPr>
        <w:tc>
          <w:tcPr>
            <w:tcW w:w="5460" w:type="dxa"/>
            <w:vAlign w:val="bottom"/>
          </w:tcPr>
          <w:p>
            <w:pPr>
              <w:ind w:left="120"/>
              <w:spacing w:after="0"/>
              <w:rPr>
                <w:sz w:val="20"/>
                <w:szCs w:val="20"/>
                <w:color w:val="auto"/>
              </w:rPr>
            </w:pPr>
            <w:r>
              <w:rPr>
                <w:rFonts w:ascii="Arial" w:cs="Arial" w:eastAsia="Arial" w:hAnsi="Arial"/>
                <w:sz w:val="14"/>
                <w:szCs w:val="14"/>
                <w:color w:val="auto"/>
              </w:rPr>
              <w:t>Diluted</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235,220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235,117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235,662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234,498</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82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4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17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23,438</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(1,885,427)</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20,159</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(1,957,401)</w:t>
            </w: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6"/>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unrealized gain (loss) on foreign currency</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r>
      <w:tr>
        <w:trPr>
          <w:trHeight w:val="193"/>
        </w:trPr>
        <w:tc>
          <w:tcPr>
            <w:tcW w:w="5460" w:type="dxa"/>
            <w:vAlign w:val="bottom"/>
          </w:tcPr>
          <w:p>
            <w:pPr>
              <w:ind w:left="220"/>
              <w:spacing w:after="0"/>
              <w:rPr>
                <w:sz w:val="20"/>
                <w:szCs w:val="20"/>
                <w:color w:val="auto"/>
              </w:rPr>
            </w:pPr>
            <w:r>
              <w:rPr>
                <w:rFonts w:ascii="Arial" w:cs="Arial" w:eastAsia="Arial" w:hAnsi="Arial"/>
                <w:sz w:val="14"/>
                <w:szCs w:val="14"/>
                <w:color w:val="auto"/>
              </w:rPr>
              <w:t>Total other comprehensive income (loss)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2,891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(4,334)</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3,498</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(2,439)</w:t>
            </w:r>
          </w:p>
        </w:tc>
      </w:tr>
      <w:tr>
        <w:trPr>
          <w:trHeight w:val="227"/>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86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26,329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(1,959,840)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8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184"/>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20,159</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(1,957,401)</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6"/>
        </w:trPr>
        <w:tc>
          <w:tcPr>
            <w:tcW w:w="83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155,003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206,224</w:t>
            </w:r>
          </w:p>
        </w:tc>
      </w:tr>
      <w:tr>
        <w:trPr>
          <w:trHeight w:val="18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7,650</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Amortization of debt issuance costs and discount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7,470</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Acquired in-process research and development charges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67,900</w:t>
            </w:r>
          </w:p>
        </w:tc>
      </w:tr>
      <w:tr>
        <w:trPr>
          <w:trHeight w:val="186"/>
        </w:trPr>
        <w:tc>
          <w:tcPr>
            <w:tcW w:w="8380" w:type="dxa"/>
            <w:vAlign w:val="bottom"/>
          </w:tcPr>
          <w:p>
            <w:pPr>
              <w:ind w:left="220"/>
              <w:spacing w:after="0"/>
              <w:rPr>
                <w:sz w:val="20"/>
                <w:szCs w:val="20"/>
                <w:color w:val="auto"/>
              </w:rPr>
            </w:pPr>
            <w:r>
              <w:rPr>
                <w:rFonts w:ascii="Arial" w:cs="Arial" w:eastAsia="Arial" w:hAnsi="Arial"/>
                <w:sz w:val="14"/>
                <w:szCs w:val="14"/>
                <w:color w:val="auto"/>
              </w:rPr>
              <w:t>Asset impairment charges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1,801,016</w:t>
            </w:r>
          </w:p>
        </w:tc>
      </w:tr>
      <w:tr>
        <w:trPr>
          <w:trHeight w:val="18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 on sale of business and other assets</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(11,745)</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assets and liabilities which provided (used) cash:</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43,916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93,519</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(25,369)</w:t>
            </w:r>
          </w:p>
        </w:tc>
      </w:tr>
      <w:tr>
        <w:trPr>
          <w:trHeight w:val="186"/>
        </w:trPr>
        <w:tc>
          <w:tcPr>
            <w:tcW w:w="8380" w:type="dxa"/>
            <w:vAlign w:val="bottom"/>
          </w:tcPr>
          <w:p>
            <w:pPr>
              <w:ind w:left="220"/>
              <w:spacing w:after="0"/>
              <w:rPr>
                <w:sz w:val="20"/>
                <w:szCs w:val="20"/>
                <w:color w:val="auto"/>
              </w:rPr>
            </w:pPr>
            <w:r>
              <w:rPr>
                <w:rFonts w:ascii="Arial" w:cs="Arial" w:eastAsia="Arial" w:hAnsi="Arial"/>
                <w:sz w:val="14"/>
                <w:szCs w:val="14"/>
                <w:color w:val="auto"/>
              </w:rPr>
              <w:t>Prepaid and other assets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120,013</w:t>
            </w:r>
          </w:p>
        </w:tc>
      </w:tr>
      <w:tr>
        <w:trPr>
          <w:trHeight w:val="18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(58,598)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(239,449)</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Income taxes payable/receivable, net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3,043</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9"/>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67,903</w:t>
            </w:r>
          </w:p>
        </w:tc>
      </w:tr>
      <w:tr>
        <w:trPr>
          <w:trHeight w:val="183"/>
        </w:trPr>
        <w:tc>
          <w:tcPr>
            <w:tcW w:w="838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 expenditures, excluding capitalized interest</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(53,516)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(47,559)</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Capitalized interest payments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(3,140)</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U.S. Government Agreement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7,340</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Acquisitions, including in-process research and development, net of cash and restricted cash acquired</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(89,520)</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6"/>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sale of business and other assets</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21,133</w:t>
            </w:r>
          </w:p>
        </w:tc>
      </w:tr>
      <w:tr>
        <w:trPr>
          <w:trHeight w:val="193"/>
        </w:trPr>
        <w:tc>
          <w:tcPr>
            <w:tcW w:w="8380" w:type="dxa"/>
            <w:vAlign w:val="bottom"/>
          </w:tcPr>
          <w:p>
            <w:pPr>
              <w:ind w:left="2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(31,903)</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(111,746)</w:t>
            </w:r>
          </w:p>
        </w:tc>
      </w:tr>
      <w:tr>
        <w:trPr>
          <w:trHeight w:val="168"/>
        </w:trPr>
        <w:tc>
          <w:tcPr>
            <w:tcW w:w="8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Repayments of notes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(180,342)</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9"/>
        </w:trPr>
        <w:tc>
          <w:tcPr>
            <w:tcW w:w="8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term loans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Adequate protection payments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(291,689)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other indebtedness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(2,970)</w:t>
            </w:r>
          </w:p>
        </w:tc>
      </w:tr>
      <w:tr>
        <w:trPr>
          <w:trHeight w:val="186"/>
        </w:trPr>
        <w:tc>
          <w:tcPr>
            <w:tcW w:w="8380" w:type="dxa"/>
            <w:vAlign w:val="bottom"/>
          </w:tcPr>
          <w:p>
            <w:pPr>
              <w:ind w:left="140"/>
              <w:spacing w:after="0"/>
              <w:rPr>
                <w:sz w:val="20"/>
                <w:szCs w:val="20"/>
                <w:color w:val="auto"/>
              </w:rPr>
            </w:pPr>
            <w:r>
              <w:rPr>
                <w:rFonts w:ascii="Arial" w:cs="Arial" w:eastAsia="Arial" w:hAnsi="Arial"/>
                <w:sz w:val="14"/>
                <w:szCs w:val="14"/>
                <w:color w:val="auto"/>
              </w:rPr>
              <w:t>Payments for contingent consideration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(1,744)</w:t>
            </w:r>
          </w:p>
        </w:tc>
      </w:tr>
      <w:tr>
        <w:trPr>
          <w:trHeight w:val="189"/>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of tax withholding for restricted shares</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w:t>
            </w:r>
          </w:p>
        </w:tc>
      </w:tr>
      <w:tr>
        <w:trPr>
          <w:trHeight w:val="193"/>
        </w:trPr>
        <w:tc>
          <w:tcPr>
            <w:tcW w:w="8380" w:type="dxa"/>
            <w:vAlign w:val="bottom"/>
          </w:tcPr>
          <w:p>
            <w:pPr>
              <w:ind w:left="22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(297,071)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(196,950)</w:t>
            </w:r>
          </w:p>
        </w:tc>
      </w:tr>
      <w:tr>
        <w:trPr>
          <w:trHeight w:val="18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r>
      <w:tr>
        <w:trPr>
          <w:trHeight w:val="193"/>
        </w:trPr>
        <w:tc>
          <w:tcPr>
            <w:tcW w:w="8380" w:type="dxa"/>
            <w:vAlign w:val="bottom"/>
          </w:tcPr>
          <w:p>
            <w:pPr>
              <w:ind w:left="20"/>
              <w:spacing w:after="0"/>
              <w:rPr>
                <w:sz w:val="20"/>
                <w:szCs w:val="20"/>
                <w:color w:val="auto"/>
              </w:rPr>
            </w:pPr>
            <w:r>
              <w:rPr>
                <w:rFonts w:ascii="Arial" w:cs="Arial" w:eastAsia="Arial" w:hAnsi="Arial"/>
                <w:sz w:val="14"/>
                <w:szCs w:val="14"/>
                <w:color w:val="auto"/>
              </w:rPr>
              <w:t>NET DECREASE IN CASH, CASH EQUIVALENTS, RESTRICTED CASH AND RESTRICTED CASH EQUIVALENTS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(138,616)</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(241,245)</w:t>
            </w:r>
          </w:p>
        </w:tc>
      </w:tr>
      <w:tr>
        <w:trPr>
          <w:trHeight w:val="202"/>
        </w:trPr>
        <w:tc>
          <w:tcPr>
            <w:tcW w:w="8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BEGINNING OF PERIOD</w:t>
            </w: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1,249,241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1,631,310</w:t>
            </w:r>
          </w:p>
        </w:tc>
      </w:tr>
      <w:tr>
        <w:trPr>
          <w:trHeight w:val="183"/>
        </w:trPr>
        <w:tc>
          <w:tcPr>
            <w:tcW w:w="8380" w:type="dxa"/>
            <w:vAlign w:val="bottom"/>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END OF PERIOD</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1,110,625</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1,390,065</w:t>
            </w: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76"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8-03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June 30, 2023 and the results of its operations and its cash flows for the periods presented. Operating results for the three and six months ended June 30, 2023 are not necessarily indicative of the results that may be expected for the year ending December 31, 2023. The year-end Condensed Consolidated Balance Sheet data as of December 31, 2022 was derived from audited financial statements but does not include all disclosures required by U.S. GAAP.</w:t>
      </w:r>
    </w:p>
    <w:p>
      <w:pPr>
        <w:spacing w:after="0" w:line="7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further discussed herein, thousands of governmental and private plaintiffs have filed suit against us and/or certain of our subsidiaries alleging opioid-related claims, most of which we have not been able to settle. As a result of the possibility or occurrence of an unfavorable outcome with respect to these proceedings, other legal proceedings and certain other risks and uncertainties, we explored a wide array of potential actions as part of our contingency planning and, as further described in the Quarterly Report on Form 10-Q for the quarterly period ended June 30, 2022 filed with the SEC on August 9, 2022 (the Second-Quarter 2022 Form 10-Q), we previously concluded that the related conditions and events gave rise to substantial doubt about our ability to continue as a going concern.</w:t>
      </w:r>
    </w:p>
    <w:p>
      <w:pPr>
        <w:spacing w:after="0" w:line="8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Subsequent to the filing of the Second-Quarter 2022 Form 10-Q, beginning on August 16, 2022 (the Petition Date), Endo International plc, together with certain of its direct and indirect subsidiaries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2. Bankruptcy Proceedings and Note 14. Debt for additional information. As a result of these conditions and events, management continues to believe there is substantial doubt about our ability to continue as a going concern within one year after the date of issuance of these Condensed Consolidated Financial Statements. The accompanying Condensed Consolidated Financial Statements have been prepared under the going concern basis of accounting as required by U.S. GAAP and do not include any adjustments that might be necessary should we be unable to continue as a going concern.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BANKRUPTCY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Filing</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As noted above, on the Petition Date, certain of the Debtors filed voluntary petitions for relief under the Bankruptcy Code. Certain additional Debtors filed voluntary petitions for relief under the Bankruptcy Code on May 25, 2023 and May 31, 2023. The Debtors have received approval from the U.S. Bankruptcy Court for the Southern District of New York (the Bankruptcy Court) to jointly administer their chapter 11 cases (the Chapter 11 Cases) for administrative purposes only pursuant to Rule 1015(b) of the Federal Rules of Bankruptcy Procedure under the caption </w:t>
      </w:r>
      <w:r>
        <w:rPr>
          <w:rFonts w:ascii="Arial" w:cs="Arial" w:eastAsia="Arial" w:hAnsi="Arial"/>
          <w:sz w:val="17"/>
          <w:szCs w:val="17"/>
          <w:i w:val="1"/>
          <w:iCs w:val="1"/>
          <w:color w:val="auto"/>
        </w:rPr>
        <w:t>In re Endo International plc, et al</w:t>
      </w:r>
      <w:r>
        <w:rPr>
          <w:rFonts w:ascii="Arial" w:cs="Arial" w:eastAsia="Arial" w:hAnsi="Arial"/>
          <w:sz w:val="17"/>
          <w:szCs w:val="17"/>
          <w:color w:val="auto"/>
        </w:rPr>
        <w:t>. Certain entities consolidated by Endo International plc and included in these Condensed Consolidated Financial Statements are not party to the Chapter 11 Cases. These entities are collectively referred to herein as the Non-Debtor Affiliates.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Debtors will continue to operate their businesses and manage their properties as debtors-in-possession pursuant to sections 1107 and 1108 of the Bankruptcy Code. As debtors-in-possession, the Debtors are generally permitted to continue to operate as ongoing businesses and pay debts and honor obligations arising in the ordinary course of their businesses after the Petition Date. However, the Debtors generally may not pay third-party claims or creditors on account of obligations arising before the Petition Date or engage in transactions outside the ordinary course of business without approval of the Bankruptcy Court.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w:t>
      </w:r>
    </w:p>
    <w:p>
      <w:pPr>
        <w:spacing w:after="0" w:line="70"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Among other requirements, chapter 11 proceedings must comply with the priority scheme established by the Bankruptcy Code, under which certain post-petition and secured or “priority” pre-petition liabilities generally need to be satisfied before general unsecured creditors and shareholders are entitled to receive any distribution.</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Under the Bankruptcy Code, the Debtors may assume, modify, assign or reject certain executory contracts and unexpired leases, including, without limitation, leases of real property and equipment, subject to the approval of the Bankruptcy Court and certain other conditions. Generally, the rejection of an executory contract or unexpired lease is treated as a pre-petition breach of such executory contract or unexpired lease and, subject to certain exceptions, relieves the Debtors from performing their future obligations under such executory contract or unexpired lease but entitles the contract counterparty or lessor to a pre-petition general unsecured claim for damages caused by such deemed breach. Generally, the assumption of an executory contract or unexpired lease requires the Debtors to cure existing monetary defaults under such executory contract or unexpired lease and provide adequate assurance of future performance. Accordingly, any description of an executory contract or unexpired lease in this report, including, where applicable, the express termination rights thereunder or a quantification of obligations, must be read in conjunction with, and is qualified by, any overriding rejection rights the Debtors have under the Bankruptcy Code.</w:t>
      </w:r>
    </w:p>
    <w:p>
      <w:pPr>
        <w:spacing w:after="0" w:line="73"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To ensure their ability to continue operating in the ordinary course of business, the Debtors have filed with the Bankruptcy Court a variety of motions seeking “first day” relief, including the authority to access cash collateral, continue using their cash management system, pay employee wages and benefits and pay vendors in the ordinary course of business. At a hearing held on August 18, 2022, the Bankruptcy Court generally approved the relief sought in these motions on an interim basis. Following subsequent hearings held on September 28, 2022, October 13, 2022 and October 19, 2022, the Bankruptcy Court entered orders approving substantially all of the relief sought on a final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14. Debt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Support Agreement</w:t>
      </w:r>
    </w:p>
    <w:p>
      <w:pPr>
        <w:spacing w:after="0" w:line="12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On August 16, 2022, we entered into a Restructuring Support Agreement (the RSA) with an ad hoc group (the Ad Hoc First Lien Group) of certain creditors holding in excess of 50% of the aggregate outstanding principal amount of Secured Debt (as defined in that certain collateral trust agreement, dated as of April 27, 2017, among Endo International plc, certain subsidiaries of Endo International plc, the other grantors from time to time party thereto, JPMorgan Chase Bank, N.A., as administrative agent under the Credit Agreement (as defined below), and Wells Fargo Bank, National Association, as indenture trustee, and Wilmington Trust, National Association, as collateral trustee (the Collateral Trust Agreement)), pursuant to which, among other things, one or more entities formed in a manner acceptable to the Ad Hoc First Lien Group (the Stalking Horse Bidder or the Purchaser) will serve as stalking horse bidder as we seek to sell all or substantially all of our assets in a sale pursuant to section 363 of the Bankruptcy Code (the Sale).</w:t>
      </w:r>
    </w:p>
    <w:p>
      <w:pPr>
        <w:spacing w:after="0" w:line="58"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described in the RSA, the Stalking Horse Bidder’s bid (the Stalking Horse Bid), which was subject to higher or otherwise better bids from other parties, includes an offer to purchase substantially all of our assets for an aggregate purchase price including: (i) a credit bid in full satisfaction of the Prepetition First Lien Indebtedness (as defined in the RSA); (ii) $5 million in cash on account of certain unencumbered assets; (iii) $122 million to wind-down our operations following the Sale closing date (the Wind-Down Amount); (iv) pre-closing professional fees; and (v) the assumption of certain liabilities. As part of the Stalking Horse Bid, the Stalking Horse Bidder will also make offers of employment to all of our active employees. The proposed purchase and sale agreement with respect to the Stalking Horse Bid as filed with the Bankruptcy Court on November 23, 2022, and as amended and subsequently filed with the Bankruptcy Court on March 24, 2023 and July 7, 2023, includes customary representations and warranties and customary covenants by the parties thereto.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On November 23, 2022, we filed: (i) a motion seeking Bankruptcy Court approval of bidding procedures in connection with the Sale and (ii) a motion seeking to set deadlines (bar dates) for all claimants to file claims against the Debtors. At a hearing on December 15, 2022, the Bankruptcy Court directed the Debtors and certain key parties in interest in the Chapter 11 Cases to participate in a mediation process to attempt to resolve certain objections and contested issues relating to the bidding procedures motion, the Sale and other critical matters in the Chapter 11 Cases.</w:t>
      </w:r>
    </w:p>
    <w:p>
      <w:pPr>
        <w:spacing w:after="0" w:line="6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March 2023, the Debtors announced that, as a result of the mediation process, the Ad Hoc First Lien Group (and Stalking Horse Bidder) reached certain resolutions in principle with both the unsecured creditors' committee (the UCC) and opioid claimants' committee (the OCC) appointed in the Chapter 11 Cases and certain ad hoc groups of debtholders. These resolutions, documented in the stipulation filed with the Bankruptcy Court on March 24, 2023 (and described in further detail below), are supported by the Debtors. In connection with such resolutions, the Company agreed in principle with the Ad Hoc First Lien Group to reduce the Wind-Down Amount associated with the Stalking Horse Bid from $122 million to approximately $116 million, subject to definitive documentation. Following a hearing, the Bankruptcy Court entered orders on April 3, 2023 approving the bidding procedures motion (the Bidding Procedures Order) and the bar date motion.</w:t>
      </w:r>
    </w:p>
    <w:p>
      <w:pPr>
        <w:spacing w:after="0" w:line="8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part of the Bidding Procedures Order, the Bankruptcy Court also approved certain internal restructuring transactions under Irish law that will allow us to pursue the Sale in a tax efficient manner (the Reconstruction Steps). The Reconstruction Steps were completed on May 31, 2023, and involved, among other things: (i) the conversion from private limited companies to private unlimited companies under Irish law of our subsidiaries Endo Ventures Limited and Endo Global Biologics Limited and their re-registration as Endo Ventures Unlimited (EVU) and Endo Global Biologics Unlimited (EGBU), respectively; and (ii) the transfer of the business and assets of EVU and EGBU to our newly-formed subsidiaries Operand Pharmaceuticals II Limited and Operand Pharmaceuticals III Limited.</w:t>
      </w:r>
    </w:p>
    <w:p>
      <w:pPr>
        <w:spacing w:after="0" w:line="84"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As contemplated by the RSA, the bidding procedures order approved a marketing process and auction that was conducted under the supervision of the Bankruptcy Court, during which interested parties had an opportunity to conduct due diligence and determine whether to submit a bid to acquire the Debtors’ assets. In the months following the entry of the Bidding Procedures Order, the Company conducted a robust marketing process. Following the passing of the deadline for potential bidders to submit indications of interest, on June 20, 2023, in accordance with the Bidding Procedures Order, the Company filed with the Bankruptcy Court a notice of termination of the sale and marketing process (the Sale Acceleration Election), naming the Stalking Horse Bidder as the Successful Bidder (as defined in the Bidding Procedures Order) and accelerating the hearing to approve the sale from August 31, 2023 to July 28, 2023 (which was thereafter adjourned to August 14, 2023).</w:t>
      </w:r>
    </w:p>
    <w:p>
      <w:pPr>
        <w:spacing w:after="0" w:line="6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Now that the Stalking Horse Bid has been selected as the highest or otherwise best offer following said marketing process, the Ad Hoc First Lien Group will direct the Collateral Trustee (as defined in the Collateral Trust Agreement) to assign its rights to credit bid, on behalf of the Secured Parties (as defined in the Collateral Trust Agreement), to the Stalking Horse Bidder, so as to enable the Stalking Horse Bidder to credit bid for all or substantially all of our assets in exchange for the extinguishment of the obligations to the Secured Parties.</w:t>
      </w:r>
    </w:p>
    <w:p>
      <w:pPr>
        <w:spacing w:after="0" w:line="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Pursuant to the RSA, each of the parties agreed to, among other things, take all actions as are necessary and appropriate to facilitate the implementation and consummation of the Restructuring (as defined in the RSA), negotiate in good faith certain definitive documents relating to the Restructuring and obtain required approvals. In addition, we agreed to conduct our business in the ordinary course, provide notice and certain materials relating to the Restructuring to the consenting creditors’ advisors and pay certain fees and expenses of the consenting creditors. The RSA further contemplates that the Purchaser will fund one or more trusts for parties with opioid-related claims against us, as further discussed in Note 15. Commitments and Contingencies.</w:t>
      </w:r>
    </w:p>
    <w:p>
      <w:pPr>
        <w:spacing w:after="0" w:line="84" w:lineRule="exact"/>
        <w:rPr>
          <w:sz w:val="20"/>
          <w:szCs w:val="20"/>
          <w:color w:val="auto"/>
        </w:rPr>
      </w:pPr>
    </w:p>
    <w:p>
      <w:pPr>
        <w:ind w:right="20" w:firstLine="486"/>
        <w:spacing w:after="0" w:line="283" w:lineRule="auto"/>
        <w:rPr>
          <w:sz w:val="20"/>
          <w:szCs w:val="20"/>
          <w:color w:val="auto"/>
        </w:rPr>
      </w:pPr>
      <w:r>
        <w:rPr>
          <w:rFonts w:ascii="Arial" w:cs="Arial" w:eastAsia="Arial" w:hAnsi="Arial"/>
          <w:sz w:val="16"/>
          <w:szCs w:val="16"/>
          <w:color w:val="auto"/>
        </w:rPr>
        <w:t>The RSA provides certain milestones for the Restructuring. If we fail to satisfy these milestones and such failure is not the result of a breach of the RSA by the Required Consenting First Lien Creditors (as defined in the RSA), the Required Consenting First Lien Creditors will have the right to terminate the RSA. These milestones, as modified since we entered into the RSA (and which may be further modified from time to time) and as adjusted to reflect our exercise of the Sale Acceleration Election, include: (i) not later than 11:59 p.m. prevailing Eastern Time on October 25, 2022, the Bankruptcy Court shall have entered the Cash Collateral Order (as defined below) on a final basis; (ii) not later than 11:59 p.m. prevailing Eastern Time on April 11, 2023, the Bankruptcy Court shall have entered an order approving the bidding procedures; (iii) not later than 11:59 p.m. prevailing Eastern Time on September 13, 2023, the Bankruptcy Court shall have entered an order approving the Sale (the Sale Order Date); and (iv) not later than the earlier of (x) 11:59 p.m. prevailing Eastern Time on September 13, 2023 and (y) the date that is thirty (30) calendar days after the date the order approving the sale is entered (the Outside Date), the closing of the Sale shall have occurred, in which case the Outside Date is subject to certain extensions as a result of the Sale Acceleration Election as set forth in the RSA, including: (a) for extensions of prior milestones; (b) to close the Sale transaction with a backup bidder; and</w:t>
      </w:r>
    </w:p>
    <w:p>
      <w:pPr>
        <w:spacing w:after="0" w:line="5" w:lineRule="exact"/>
        <w:rPr>
          <w:sz w:val="20"/>
          <w:szCs w:val="20"/>
          <w:color w:val="auto"/>
        </w:rPr>
      </w:pPr>
    </w:p>
    <w:p>
      <w:pPr>
        <w:ind w:firstLine="8"/>
        <w:spacing w:after="0" w:line="273"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delays in obtaining regulatory or third-party approvals or consents. As of the date of this report, milestones (i) and (ii) referenced above have been satisfied. Each of the parties to the RSA may terminate the agreement (and thereby their support for the Sale) under certain limited circumstances, including for material breaches and materially untrue representations and warranties by their counterparties, if a governmental agency enjoins the Sale or if the purchase and sale agreement with respect to the Sale is terminated under certain circumstances.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The transactions contemplated by the RSA are subject to approval by the Bankruptcy Court, among other conditions. Accordingly, no assurance can be given that the transactions described therein will be consummated.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Chapter 11 Proceedings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Collateral</w:t>
      </w:r>
    </w:p>
    <w:p>
      <w:pPr>
        <w:spacing w:after="0" w:line="117" w:lineRule="exact"/>
        <w:rPr>
          <w:sz w:val="20"/>
          <w:szCs w:val="20"/>
          <w:color w:val="auto"/>
        </w:rPr>
      </w:pPr>
    </w:p>
    <w:p>
      <w:pPr>
        <w:jc w:val="both"/>
        <w:ind w:right="60" w:firstLine="486"/>
        <w:spacing w:after="0" w:line="301" w:lineRule="auto"/>
        <w:rPr>
          <w:sz w:val="20"/>
          <w:szCs w:val="20"/>
          <w:color w:val="auto"/>
        </w:rPr>
      </w:pPr>
      <w:r>
        <w:rPr>
          <w:rFonts w:ascii="Arial" w:cs="Arial" w:eastAsia="Arial" w:hAnsi="Arial"/>
          <w:sz w:val="16"/>
          <w:szCs w:val="16"/>
          <w:color w:val="auto"/>
        </w:rPr>
        <w:t>As part of the RSA,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 The Debtors intend to use the cash collateral to, among other things, permit the orderly continuation of their businesses, pay the costs of administration of their estates and satisfy other working capital and general corporate purposes.</w:t>
      </w:r>
    </w:p>
    <w:p>
      <w:pPr>
        <w:spacing w:after="0" w:line="4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Cash Collateral Order: (i) obligates the Debtors to make certain adequate protection payments during the bankruptcy proceedings, which are further discussed in Note 14. Debt of this report and Note 15. Debt in the Consolidated Financial Statements included in Part IV, Item 15 of the Annual Report; (ii) establishes a budget for the Debtors’ use of cash collateral; (iii) establishes certain informational rights for the Debtors’ secured creditors; (iv) provides for the waiver of certain Bankruptcy Code provisions; and (v) requires the Debtors to maintain at least $600.0 million of “liquidity,” calculated at the end of each week as unrestricted cash and cash equivalents plus certain specified amounts of restricted cash associated with the TLC Agreement, which is defined and further discussed below in Note 11. License, Collaboration and Asset Acquisition Agreements.</w:t>
      </w:r>
    </w:p>
    <w:p>
      <w:pPr>
        <w:spacing w:after="0" w:line="7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foregoing description of the Cash Collateral Order does not purport to be complete and is qualified in its entirety by reference to the Cash Collateral Order entered by the Bankruptcy Court in the Chapter 11 Cases.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Potential Claims</w:t>
      </w:r>
    </w:p>
    <w:p>
      <w:pPr>
        <w:spacing w:after="0" w:line="117"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In November 2022, the Debtors filed with the Bankruptcy Court schedules and statements, subject to further amendment or modification, which set forth, among other things, the assets and liabilities of each of the Debtors, subject to the assumptions filed in connection therewith.</w:t>
      </w:r>
    </w:p>
    <w:p>
      <w:pPr>
        <w:spacing w:after="0" w:line="3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As part of the Chapter 11 Cases, persons and entities believing that they have claims or causes of action against the Debtors may file proofs of claim evidencing such claims. As noted above, the Debtors have filed a motion seeking to set a bar date (deadline) for holders of claims to file proofs of claim (including general claims and claims of governmental units). On April 3, 2023, the Bankruptcy Court entered an order, as subsequently amended on June 23, 2023 and July 14, 2023 (the Bar Date Order) setting July 7, 2023 as the general bar date (deadline) for persons and non-governmental entities to file proofs of claim against the Debtors. The Bankruptcy Court also set May 31, 2023 as the bar date for governmental entities to file claims other than certain claims relating to opioids against the Debtors. Certain claims, including most governmental claims relating to opioids, are subject to separate bar date procedures as set forth in more detail in the Bar Date Order.</w:t>
      </w:r>
    </w:p>
    <w:p>
      <w:pPr>
        <w:spacing w:after="0" w:line="6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As of August 1, 2023, more than 829,000 claims, totaling more than $924 billion, have been filed against the Debtors, including, in certain cases, duplicate claims across multiple Debtors. For example, the IRS has filed multiple proofs of claim against several of the Debtors, as further discussed in Note 19. Income Taxes. We expect that the Debtors may continue to receive a number of claims in the future. As claims are filed, they are being evaluated for validity and compared to amounts recorded in our accounting records. As of the date of this report, the amounts of certain of the claims received exceed the amounts of the corresponding liabilities, if any, that we have recorded based on our assessments of the purported liabilities underlying such claims, and it is likely this will continue to be the case in future periods. We are not aware of any claims that we currently expect will require a material adjustment to the accounts and balances as reported as of June 30, 2023.</w:t>
      </w:r>
    </w:p>
    <w:p>
      <w:pPr>
        <w:spacing w:after="0" w:line="6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Differences in amounts recorded and claims filed by creditors will continue to be investigated and resolved, including through the filing of objections with the Bankruptcy Court, where appropriate. The Debtors may ask the Bankruptcy Court to disallow claims that the Debtors believe are duplicative, have been later amended or superseded, are without merit, are overstated or should be disallowed for other reasons. In addition, as a result of this process, the Debtors may identify additional liabilities that will need to be recorded or reclassified to Liabilities subject to compromise in the Condensed Consolidated Balance Sheets. In light of the substantial number of claims that have been filed as of the date of this report and may be filed in the future, the claims resolution process may take considerable time to complete and may continue for the duration of the Debtors’ bankruptcy proceedings.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 in the Chapter 11 Cases</w:t>
      </w:r>
    </w:p>
    <w:p>
      <w:pPr>
        <w:spacing w:after="0" w:line="12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March 2023, the Debtors announced that, in connection with the mediation process and as referenced in an amended RSA, the Ad Hoc First Lien Group (and Stalking Horse Bidder) reached certain resolutions in principle with the UCC and the OCC appointed in the Chapter 11 Cases and certain ad hoc groups of debtholders. In July 2023, the Debtors announced an additional resolution between the Stalking Horse Bidder and the Future Claimants' Representative (the FCR). These resolutions, which are set forth in greater detail in filings with the Bankruptcy Court dated as of March 24, 2023 and July 13, 2023, respectively, are supported by the Debtors.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resolution reached between the Ad Hoc First Lien Group and the UCC provides that, upon the consummation of the Sale, the Stalking Horse Bidder will create a trust for the benefit of eligible general unsecured creditors. As consideration, the trust will receive, among other things, (i) $60 million in cash; (ii) 4.25% of equity in the Stalking Horse Bidder (subject to dilution by equity issued pursuant to rights offerings and under the management incentive plan); (iii) a litigation trust, which will have the right to pursue certain estate claims and causes of action against (1) non-continuing directors and former officers (as against certain specified insurance policies and proceeds), (2) certain third-party advisors to the Debtors, and (3) certain additional third parties, including parties to certain pre-petition transactions with the Debtors; and (iv) a rights offering for certain eligible trust beneficiaries, subject to certain subscription requirements, for up to $160 million of equity in the Stalking Horse Bidder. The resolution also contemplates a fee cap of $15 million for the UCC professionals for any work done after April 1, 2023.</w:t>
      </w:r>
    </w:p>
    <w:p>
      <w:pPr>
        <w:spacing w:after="0" w:line="70"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resolution reached between the Ad Hoc First Lien Group and the OCC provides that, upon the consummation of the Sale, the Stalking Horse Bidder will create a trust for the benefit of certain private present opioid claimants (such as non-governmental entities). As consideration, the trust will receive, among other things, $119.7 million of gross cash consideration payable in three installments (subject to the Stalking Horse Bidder's exercise of certain prepayment options and triggers) to be distributed to eligible private present opioid claimants. As set forth in the amended RSA, the Stalking Horse Bidder has agreed, upon the consummation of the Sale, to fund a trust for the benefit of certain public and tribal opioid claimants. The trust to be created pursuant to the resolution reached with the OCC is intended to be structured similarly to the public/tribal opioid trust and includes prepayment obligations triggered upon certain prepayments made to the public/tribal opioid trust. The resolution also contemplates a fee cap of $8.5 million for opioid claimants’ committee hourly professionals.</w:t>
      </w:r>
    </w:p>
    <w:p>
      <w:pPr>
        <w:spacing w:after="0" w:line="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resolution reached between the Ad Hoc First Lien Group and the FCR provides that, upon the consummation of the Sale, the Stalking Horse Bidder will create trusts (the Future Trusts) for the benefit of certain private opioid and mesh claimants whose first injury did not arise until after the general bar date. As consideration, the Future Trusts will receive, among other things, $12 million of gross cash consideration payable in installments to be distributed to eligible private future opioid and mesh claimants.</w:t>
      </w:r>
    </w:p>
    <w:p>
      <w:pPr>
        <w:spacing w:after="0" w:line="79" w:lineRule="exact"/>
        <w:rPr>
          <w:sz w:val="20"/>
          <w:szCs w:val="20"/>
          <w:color w:val="auto"/>
        </w:rPr>
      </w:pPr>
    </w:p>
    <w:p>
      <w:pPr>
        <w:ind w:right="140" w:firstLine="486"/>
        <w:spacing w:after="0" w:line="375" w:lineRule="auto"/>
        <w:rPr>
          <w:sz w:val="20"/>
          <w:szCs w:val="20"/>
          <w:color w:val="auto"/>
        </w:rPr>
      </w:pPr>
      <w:r>
        <w:rPr>
          <w:rFonts w:ascii="Arial" w:cs="Arial" w:eastAsia="Arial" w:hAnsi="Arial"/>
          <w:sz w:val="18"/>
          <w:szCs w:val="18"/>
          <w:color w:val="auto"/>
        </w:rPr>
        <w:t xml:space="preserve">In connection with the resolutions, the UCC, the OCC, the FCR and the ad hoc groups of debtholders party thereto have agreed to support the Sale. </w:t>
      </w:r>
      <w:r>
        <w:rPr>
          <w:rFonts w:ascii="Arial" w:cs="Arial" w:eastAsia="Arial" w:hAnsi="Arial"/>
          <w:sz w:val="18"/>
          <w:szCs w:val="18"/>
          <w:b w:val="1"/>
          <w:bCs w:val="1"/>
          <w:color w:val="auto"/>
        </w:rPr>
        <w:t>Bankruptcy Accounting</w:t>
      </w:r>
    </w:p>
    <w:p>
      <w:pPr>
        <w:spacing w:after="0" w:line="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 xml:space="preserve">As a result of the Chapter 11 Cases, we have applied the provisions of </w:t>
      </w:r>
      <w:r>
        <w:rPr>
          <w:rFonts w:ascii="Arial" w:cs="Arial" w:eastAsia="Arial" w:hAnsi="Arial"/>
          <w:sz w:val="18"/>
          <w:szCs w:val="18"/>
          <w:i w:val="1"/>
          <w:iCs w:val="1"/>
          <w:color w:val="auto"/>
        </w:rPr>
        <w:t>Accounting Standards Codification Topic 852, Reorganizations</w:t>
      </w:r>
      <w:r>
        <w:rPr>
          <w:rFonts w:ascii="Arial" w:cs="Arial" w:eastAsia="Arial" w:hAnsi="Arial"/>
          <w:sz w:val="18"/>
          <w:szCs w:val="18"/>
          <w:color w:val="auto"/>
        </w:rPr>
        <w:t xml:space="preserve"> (ASC 852) in preparing the accompanying Condensed Consolidated Financial Statements. ASC 852 requires that, for periods including and after the filing of a chapter 11 petition, the Condensed Consolidated Financial Statements distinguish transactions and events that are directly associated with the reorganization from the ongoing operations of the business.</w:t>
      </w:r>
    </w:p>
    <w:p>
      <w:pPr>
        <w:spacing w:after="0" w:line="79"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Accordingly, for periods beginning with the third quarter of 2022, pre-petition unsecured and undersecured claims related to the Debtors that may be impacted by the bankruptcy reorganization process have been classified as Liabilities subject to compromise in the Condensed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 The following table sets forth, as of June 30, 2023 and December 31, 2022, information about the amounts presented as Liabilities subject to compromise in our Condensed Consolidated Balance Sheets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160,617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160,617</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7,543,028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7,834,717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Litigation accruals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864,995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820,805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235,176</w:t>
            </w:r>
          </w:p>
        </w:tc>
      </w:tr>
      <w:tr>
        <w:trPr>
          <w:trHeight w:val="24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8,924,870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9,168,782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75"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include operating and finance lease liabilities as further described in Note 9. Leases, acquisition-related contingent consideration liabilities as further described in Note 7. Fair Value Measurements and a variety of other miscellaneous liabilities.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determination of how liabilities will ultimately be settled or treated cannot be made until approved by the Bankruptcy Court. Therefore, the amounts in the table above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and could have a material adverse effect on our business, financial condition, results of operations and cash flows.</w:t>
      </w:r>
    </w:p>
    <w:p>
      <w:pPr>
        <w:spacing w:after="0" w:line="60" w:lineRule="exact"/>
        <w:rPr>
          <w:sz w:val="20"/>
          <w:szCs w:val="20"/>
          <w:color w:val="auto"/>
        </w:rPr>
      </w:pPr>
    </w:p>
    <w:p>
      <w:pPr>
        <w:jc w:val="both"/>
        <w:ind w:right="420" w:firstLine="486"/>
        <w:spacing w:after="0" w:line="295" w:lineRule="auto"/>
        <w:rPr>
          <w:sz w:val="20"/>
          <w:szCs w:val="20"/>
          <w:color w:val="auto"/>
        </w:rPr>
      </w:pPr>
      <w:r>
        <w:rPr>
          <w:rFonts w:ascii="Arial" w:cs="Arial" w:eastAsia="Arial" w:hAnsi="Arial"/>
          <w:sz w:val="16"/>
          <w:szCs w:val="16"/>
          <w:color w:val="auto"/>
        </w:rPr>
        <w:t>Certain expenses, gains and losses resulting from and recognized during our bankruptcy proceedings are now being recorded in Reorganization items, net in our Condensed Consolidated Statements of Operations. The following table sets forth, for the three and six months ended June 30, 2023, information about the amounts presented as Reorganization items, net in our Condensed Consolidated Statements of Operations (in thousands):</w:t>
      </w:r>
    </w:p>
    <w:tbl>
      <w:tblPr>
        <w:tblLayout w:type="fixed"/>
        <w:tblInd w:w="20" w:type="dxa"/>
        <w:tblCellMar>
          <w:top w:w="0" w:type="dxa"/>
          <w:left w:w="0" w:type="dxa"/>
          <w:bottom w:w="0" w:type="dxa"/>
          <w:right w:w="0" w:type="dxa"/>
        </w:tblCellMar>
      </w:tblPr>
      <w:tr>
        <w:trPr>
          <w:trHeight w:val="150"/>
        </w:trPr>
        <w:tc>
          <w:tcPr>
            <w:tcW w:w="8380" w:type="dxa"/>
            <w:vAlign w:val="bottom"/>
          </w:tcPr>
          <w:p>
            <w:pPr>
              <w:spacing w:after="0"/>
              <w:rPr>
                <w:sz w:val="13"/>
                <w:szCs w:val="13"/>
                <w:color w:val="auto"/>
              </w:rPr>
            </w:pPr>
          </w:p>
        </w:tc>
        <w:tc>
          <w:tcPr>
            <w:tcW w:w="1360" w:type="dxa"/>
            <w:vAlign w:val="bottom"/>
            <w:gridSpan w:val="2"/>
          </w:tcPr>
          <w:p>
            <w:pPr>
              <w:ind w:left="20"/>
              <w:spacing w:after="0" w:line="150"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21"/>
              <w:spacing w:after="0" w:line="150" w:lineRule="exact"/>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5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June 30,</w:t>
            </w:r>
          </w:p>
        </w:tc>
      </w:tr>
      <w:tr>
        <w:trPr>
          <w:trHeight w:val="189"/>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2023</w:t>
            </w:r>
          </w:p>
        </w:tc>
      </w:tr>
      <w:tr>
        <w:trPr>
          <w:trHeight w:val="26"/>
        </w:trPr>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169,619</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169,619</w:t>
            </w:r>
          </w:p>
        </w:tc>
      </w:tr>
      <w:tr>
        <w:trPr>
          <w:trHeight w:val="21"/>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During the six months ended June 30, 2023, our operating cash flows included net cash outflows of $162.0 million related to amounts classified or expected to be classified as Reorganization items, net, which primarily consisted of payments for professional fees.</w:t>
      </w:r>
    </w:p>
    <w:p>
      <w:pPr>
        <w:spacing w:after="0" w:line="6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Refer also to Note 14. Debt for information about how our bankruptcy proceedings and certain related developments have affected our debt service payments and how such payments are being reflected in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Delisting</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August 17, 2022, we received a letter (the Notice) from The Nasdaq Stock Market LLC (Nasdaq) stating that, in accordance 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liabilities subject to compromise and reorganization items, net, among others. Some of these estimates can be subjective and complex. Uncertainties related to the magnitude and duration of public health crises, like the recent COVID-19 pandemic, and epidemics, the extent to which it may impact our estimated future financial results, worldwide macroeconomic conditions including interest rates, employment rates, consumer spending, health insurance coverage, the speed of the anticipated recovery and governmental and business reactions to a public health emergency and/or epidemic, including any possible re-initiation of shutdowns or renewed restrictions,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Furthermore, our ongoing bankruptcy proceedings and planned sale process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2022</w:t>
      </w:r>
    </w:p>
    <w:p>
      <w:pPr>
        <w:spacing w:after="0" w:line="12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There have been no significant changes to our significant accounting policies since December 31, 2022. For additional discussion of the Company’s significant accounting policies, see Note 3. Summary of Significant Accounting Policies in the Consolidated Financial Statements included in Part IV, Item 15 of the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AND ASSET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21" w:lineRule="exact"/>
        <w:rPr>
          <w:sz w:val="20"/>
          <w:szCs w:val="20"/>
          <w:color w:val="auto"/>
        </w:rPr>
      </w:pPr>
    </w:p>
    <w:p>
      <w:pPr>
        <w:jc w:val="both"/>
        <w:ind w:right="220" w:firstLine="486"/>
        <w:spacing w:after="0" w:line="295" w:lineRule="auto"/>
        <w:rPr>
          <w:sz w:val="20"/>
          <w:szCs w:val="20"/>
          <w:color w:val="auto"/>
        </w:rPr>
      </w:pPr>
      <w:r>
        <w:rPr>
          <w:rFonts w:ascii="Arial" w:cs="Arial" w:eastAsia="Arial" w:hAnsi="Arial"/>
          <w:sz w:val="16"/>
          <w:szCs w:val="16"/>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and six months ended June 30, 2023 and 2022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820" w:type="dxa"/>
            <w:vAlign w:val="bottom"/>
            <w:gridSpan w:val="5"/>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54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(660)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(11,218)</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(573)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(11,218)</w:t>
            </w:r>
          </w:p>
        </w:tc>
      </w:tr>
    </w:tbl>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$1.0 million and $11.2 million for the six months ended June 30, 2023 and 2022,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79" w:lineRule="exact"/>
        <w:rPr>
          <w:sz w:val="20"/>
          <w:szCs w:val="20"/>
          <w:color w:val="auto"/>
        </w:rPr>
      </w:pPr>
    </w:p>
    <w:p>
      <w:pPr>
        <w:ind w:right="1220" w:firstLine="486"/>
        <w:spacing w:after="0" w:line="375" w:lineRule="auto"/>
        <w:rPr>
          <w:sz w:val="20"/>
          <w:szCs w:val="20"/>
          <w:color w:val="auto"/>
        </w:rPr>
      </w:pPr>
      <w:r>
        <w:rPr>
          <w:rFonts w:ascii="Arial" w:cs="Arial" w:eastAsia="Arial" w:hAnsi="Arial"/>
          <w:sz w:val="18"/>
          <w:szCs w:val="18"/>
          <w:color w:val="auto"/>
        </w:rPr>
        <w:t xml:space="preserve">Refer to Note 15. Commitments and Contingencies for amounts and additional information relating to vaginal mesh-related matters. </w:t>
      </w:r>
      <w:r>
        <w:rPr>
          <w:rFonts w:ascii="Arial" w:cs="Arial" w:eastAsia="Arial" w:hAnsi="Arial"/>
          <w:sz w:val="18"/>
          <w:szCs w:val="18"/>
          <w:b w:val="1"/>
          <w:bCs w:val="1"/>
          <w:color w:val="auto"/>
        </w:rPr>
        <w:t>Certain Assets and Liabilities of Endo’s Retail Generics Business</w:t>
      </w:r>
    </w:p>
    <w:p>
      <w:pPr>
        <w:spacing w:after="0" w:line="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 November 2020, we announced the initiation of several strategic actions to further optimize the Company’s operations and increase overall efficiency (the 2020 Restructuring Initiative), which are further discussed in Note 5. Restructuring. These actions include an initiative to exit certain of our manufacturing and other sites to optimize our retail generics business cost structure.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Certain of these sites and certain corresponding assets and liabilities were sold in 2021. The assets sold included certain of our manufacturing facilities and related fixed assets in Chestnut Ridge, New York and Irvine, California, as well as certain U.S. retail generics products and certain related product inventory.</w:t>
      </w:r>
    </w:p>
    <w:p>
      <w:pPr>
        <w:spacing w:after="0" w:line="76" w:lineRule="exact"/>
        <w:rPr>
          <w:sz w:val="20"/>
          <w:szCs w:val="20"/>
          <w:color w:val="auto"/>
        </w:rPr>
      </w:pPr>
    </w:p>
    <w:p>
      <w:pPr>
        <w:ind w:right="400" w:firstLine="486"/>
        <w:spacing w:after="0" w:line="286" w:lineRule="auto"/>
        <w:rPr>
          <w:sz w:val="20"/>
          <w:szCs w:val="20"/>
          <w:color w:val="auto"/>
        </w:rPr>
      </w:pPr>
      <w:r>
        <w:rPr>
          <w:rFonts w:ascii="Arial" w:cs="Arial" w:eastAsia="Arial" w:hAnsi="Arial"/>
          <w:sz w:val="16"/>
          <w:szCs w:val="16"/>
          <w:color w:val="auto"/>
        </w:rPr>
        <w:t>In 2022, we entered into a definitive agreement to sell certain additional assets located in Chestnut Ridge, New York to Ram Ridge Partners BH LLC. The assets primarily consisted of property, plant and equipment. In October 2022, the Bankruptcy Court approved the sale of the assets. The sale closed during the fourth quarter of 2022. As a result of this sale, we became entitled to aggregate cash consideration of approximately $18.5 million, substantially all of which was received by December 31, 2022. In connection with this sale, we recognized a pre-tax disposal gain of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$8.4 million during the fourth quarter of 2022, which we recorded in Other expense (income), net in the Condensed Consolidated Statements of Operations.</w:t>
      </w:r>
    </w:p>
    <w:p>
      <w:pPr>
        <w:spacing w:after="0" w:line="12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assets described in this section, which primarily related to the Company’s Generic Pharmaceuticals segment, did not meet the requirements for treatment as a discontinued operation.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charges or cash payments associated with the 2020 Restructuring Initiative in 2023.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six months ended June 30, 2022 (in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June 30,</w:t>
            </w:r>
          </w:p>
        </w:tc>
      </w:tr>
      <w:tr>
        <w:trPr>
          <w:trHeight w:val="189"/>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related to:</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Accelerated depreciation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595"/>
              <w:spacing w:after="0"/>
              <w:rPr>
                <w:sz w:val="20"/>
                <w:szCs w:val="20"/>
                <w:color w:val="auto"/>
              </w:rPr>
            </w:pPr>
            <w:r>
              <w:rPr>
                <w:rFonts w:ascii="Arial" w:cs="Arial" w:eastAsia="Arial" w:hAnsi="Arial"/>
                <w:sz w:val="18"/>
                <w:szCs w:val="18"/>
                <w:color w:val="auto"/>
                <w:w w:val="86"/>
              </w:rPr>
              <w:t>147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3,824</w:t>
            </w: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adjustments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86"/>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37"/>
        </w:trPr>
        <w:tc>
          <w:tcPr>
            <w:tcW w:w="8380" w:type="dxa"/>
            <w:vAlign w:val="bottom"/>
          </w:tcPr>
          <w:p>
            <w:pPr>
              <w:ind w:left="120"/>
              <w:spacing w:after="0"/>
              <w:rPr>
                <w:sz w:val="20"/>
                <w:szCs w:val="20"/>
                <w:color w:val="auto"/>
              </w:rPr>
            </w:pPr>
            <w:r>
              <w:rPr>
                <w:rFonts w:ascii="Arial" w:cs="Arial" w:eastAsia="Arial" w:hAnsi="Arial"/>
                <w:sz w:val="18"/>
                <w:szCs w:val="18"/>
                <w:color w:val="auto"/>
              </w:rPr>
              <w:t>Employee separation, continuity and other benefit-related costs</w:t>
            </w:r>
          </w:p>
        </w:tc>
        <w:tc>
          <w:tcPr>
            <w:tcW w:w="260" w:type="dxa"/>
            <w:vAlign w:val="bottom"/>
          </w:tcPr>
          <w:p>
            <w:pPr>
              <w:spacing w:after="0"/>
              <w:rPr>
                <w:sz w:val="20"/>
                <w:szCs w:val="20"/>
                <w:color w:val="auto"/>
              </w:rPr>
            </w:pPr>
          </w:p>
        </w:tc>
        <w:tc>
          <w:tcPr>
            <w:tcW w:w="1100" w:type="dxa"/>
            <w:vAlign w:val="bottom"/>
          </w:tcPr>
          <w:p>
            <w:pPr>
              <w:jc w:val="center"/>
              <w:ind w:left="555"/>
              <w:spacing w:after="0"/>
              <w:rPr>
                <w:sz w:val="20"/>
                <w:szCs w:val="20"/>
                <w:color w:val="auto"/>
              </w:rPr>
            </w:pPr>
            <w:r>
              <w:rPr>
                <w:rFonts w:ascii="Arial" w:cs="Arial" w:eastAsia="Arial" w:hAnsi="Arial"/>
                <w:sz w:val="18"/>
                <w:szCs w:val="18"/>
                <w:color w:val="auto"/>
                <w:w w:val="90"/>
              </w:rPr>
              <w:t>(655)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36"/>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Certain other restructuring costs</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6"/>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3"/>
        </w:trPr>
        <w:tc>
          <w:tcPr>
            <w:tcW w:w="838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555"/>
              <w:spacing w:after="0"/>
              <w:rPr>
                <w:sz w:val="20"/>
                <w:szCs w:val="20"/>
                <w:color w:val="auto"/>
              </w:rPr>
            </w:pPr>
            <w:r>
              <w:rPr>
                <w:rFonts w:ascii="Arial" w:cs="Arial" w:eastAsia="Arial" w:hAnsi="Arial"/>
                <w:sz w:val="18"/>
                <w:szCs w:val="18"/>
                <w:color w:val="auto"/>
                <w:w w:val="90"/>
              </w:rPr>
              <w:t>(139)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7,256</w:t>
            </w:r>
          </w:p>
        </w:tc>
      </w:tr>
      <w:tr>
        <w:trPr>
          <w:trHeight w:val="20"/>
        </w:trPr>
        <w:tc>
          <w:tcPr>
            <w:tcW w:w="8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These pre-tax net amounts were primarily attributable to our Generic Pharmaceuticals segment, which incurred $0.1 million of pre-tax net charge reversals and $5.1 million of pre-tax net charges during the three and six months ended June 30, 2022, respectively. The remaining amounts related to our other segments and certain corporate unallocated costs.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2022, cumulative amounts incurred to date included charges related to accelerated depreciation of $51.0 million, asset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impairments related to certain identifiable intangible assets, operating lease assets and disposal groups totaling $49.5 million, inventory adjustments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 million, employee separation, continuity and other benefit-related costs, net of $53.9 million and certain other restructuring costs of $3.5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amounts, $134.3 million was attributable to the Generic Pharmaceuticals segment, with the remaining amounts relating to our other segments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corporate unallocated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six months ended June 30,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included in:</w:t>
            </w:r>
          </w:p>
        </w:tc>
        <w:tc>
          <w:tcPr>
            <w:tcW w:w="3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86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596"/>
              <w:spacing w:after="0"/>
              <w:rPr>
                <w:sz w:val="20"/>
                <w:szCs w:val="20"/>
                <w:color w:val="auto"/>
              </w:rPr>
            </w:pPr>
            <w:r>
              <w:rPr>
                <w:rFonts w:ascii="Arial" w:cs="Arial" w:eastAsia="Arial" w:hAnsi="Arial"/>
                <w:sz w:val="18"/>
                <w:szCs w:val="18"/>
                <w:color w:val="auto"/>
                <w:w w:val="86"/>
              </w:rPr>
              <w:t>391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0"/>
              </w:rPr>
              <w:t>(712)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96"/>
              <w:spacing w:after="0"/>
              <w:rPr>
                <w:sz w:val="20"/>
                <w:szCs w:val="20"/>
                <w:color w:val="auto"/>
              </w:rPr>
            </w:pPr>
            <w:r>
              <w:rPr>
                <w:rFonts w:ascii="Arial" w:cs="Arial" w:eastAsia="Arial" w:hAnsi="Arial"/>
                <w:sz w:val="18"/>
                <w:szCs w:val="18"/>
                <w:color w:val="auto"/>
                <w:w w:val="86"/>
              </w:rPr>
              <w:t>182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0"/>
              </w:rPr>
              <w:t>(139)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Restructuring Initiative</w:t>
      </w:r>
    </w:p>
    <w:p>
      <w:pPr>
        <w:spacing w:after="0" w:line="121" w:lineRule="exact"/>
        <w:rPr>
          <w:sz w:val="20"/>
          <w:szCs w:val="20"/>
          <w:color w:val="auto"/>
        </w:rPr>
      </w:pPr>
    </w:p>
    <w:p>
      <w:pPr>
        <w:ind w:right="40" w:firstLine="486"/>
        <w:spacing w:after="0" w:line="260" w:lineRule="auto"/>
        <w:rPr>
          <w:sz w:val="20"/>
          <w:szCs w:val="20"/>
          <w:color w:val="auto"/>
        </w:rPr>
      </w:pPr>
      <w:r>
        <w:rPr>
          <w:rFonts w:ascii="Arial" w:cs="Arial" w:eastAsia="Arial" w:hAnsi="Arial"/>
          <w:sz w:val="17"/>
          <w:szCs w:val="17"/>
          <w:color w:val="auto"/>
        </w:rPr>
        <w:t>In April 2022, the Company communicated the initiation of actions to streamline and simplify certain functions, including its commercial organization, to increase its overall organizational effectiveness and better align with current and future needs. In December 2022, the Company announced it would be taking certain additional actions to cease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In December 2022, the Bankruptcy Court approved an order authorizing the Company to cease the production and commercialization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granting related relief.</w:t>
      </w:r>
    </w:p>
    <w:p>
      <w:pPr>
        <w:spacing w:after="0" w:line="1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a result of the 2022 Restructuring Initiative, the Company’s global workforce is ultimately expected to be reduced by up to approximately 190 net full-time positions. The Company expects to realize annualized pre-tax cash savings (without giving effect to the costs described below) of approximately $105 million to $125 million by the end of 2023, primarily related to reductions in Selling, general and administrative expenses and Cost of revenues. Future costs associated with the 2022 Restructuring Initiative are not expected to be material.</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charges associated with the 2022 Restructuring Initiative in 2023.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2022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six months ended June 30, 2022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restructuring charges (charge reversals)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40" w:right="2980"/>
        <w:spacing w:after="0" w:line="296" w:lineRule="auto"/>
        <w:rPr>
          <w:sz w:val="20"/>
          <w:szCs w:val="20"/>
          <w:color w:val="auto"/>
        </w:rPr>
      </w:pPr>
      <w:r>
        <w:rPr>
          <w:rFonts w:ascii="Arial" w:cs="Arial" w:eastAsia="Arial" w:hAnsi="Arial"/>
          <w:sz w:val="18"/>
          <w:szCs w:val="18"/>
          <w:color w:val="auto"/>
        </w:rPr>
        <w:t>Employee separation, continuity and other benefit-related costs Certain other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260" w:type="dxa"/>
            <w:vAlign w:val="bottom"/>
          </w:tcPr>
          <w:p>
            <w:pPr>
              <w:spacing w:after="0"/>
              <w:rPr>
                <w:sz w:val="16"/>
                <w:szCs w:val="16"/>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June 30,</w:t>
            </w:r>
          </w:p>
        </w:tc>
      </w:tr>
      <w:tr>
        <w:trPr>
          <w:trHeight w:val="189"/>
        </w:trPr>
        <w:tc>
          <w:tcPr>
            <w:tcW w:w="26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2022</w:t>
            </w:r>
          </w:p>
        </w:tc>
      </w:tr>
      <w:tr>
        <w:trPr>
          <w:trHeight w:val="26"/>
        </w:trPr>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52"/>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30"/>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20,087</w:t>
            </w:r>
          </w:p>
        </w:tc>
      </w:tr>
      <w:tr>
        <w:trPr>
          <w:trHeight w:val="237"/>
        </w:trPr>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r>
      <w:tr>
        <w:trPr>
          <w:trHeight w:val="2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680" w:space="720"/>
            <w:col w:w="2840"/>
          </w:cols>
          <w:pgMar w:left="320" w:top="118" w:right="339" w:bottom="1440" w:gutter="0" w:footer="0" w:header="0"/>
          <w:type w:val="continuous"/>
        </w:sectPr>
      </w:pPr>
    </w:p>
    <w:p>
      <w:pPr>
        <w:ind w:right="260" w:firstLine="486"/>
        <w:spacing w:after="0" w:line="263" w:lineRule="auto"/>
        <w:rPr>
          <w:sz w:val="20"/>
          <w:szCs w:val="20"/>
          <w:color w:val="auto"/>
        </w:rPr>
      </w:pPr>
      <w:r>
        <w:rPr>
          <w:rFonts w:ascii="Arial" w:cs="Arial" w:eastAsia="Arial" w:hAnsi="Arial"/>
          <w:sz w:val="18"/>
          <w:szCs w:val="18"/>
          <w:color w:val="auto"/>
        </w:rPr>
        <w:t>These pre-tax net amounts were primarily attributable to our Branded Pharmaceuticals segment, which incurred $0.6 million and $17.0 million of pre-tax net charges during the three and six months ended June 30, 2022. The remaining amounts related to our Generic Pharmaceuticals segment and certain corporate unallocated costs.</w:t>
      </w:r>
    </w:p>
    <w:p>
      <w:pPr>
        <w:spacing w:after="0" w:line="76"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As of December 31, 2022, cumulative amounts incurred to date included charges related to asset impairments related to certain identifiable intangible assets of $180.2 million, inventory adjustments of $34.9 million, employee separation, continuity and other benefit-related costs, net of $28.3 million and certain other restructuring costs of $8.7 million. Of these amounts, $238.6 million was attributable to the Branded Pharmaceuticals segment, with the remaining amounts related to our Generic Pharmaceuticals segment and certain corporate unallocated costs.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2022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six months ended June 30,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included in:</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880" w:type="dxa"/>
            <w:vAlign w:val="bottom"/>
            <w:gridSpan w:val="2"/>
          </w:tcPr>
          <w:p>
            <w:pPr>
              <w:ind w:left="36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88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to the liability for the 2022 Restructuring Initiative during the six months ended June 30, 2023 were as follows (in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Employee</w:t>
            </w:r>
          </w:p>
        </w:tc>
      </w:tr>
      <w:tr>
        <w:trPr>
          <w:trHeight w:val="144"/>
        </w:trPr>
        <w:tc>
          <w:tcPr>
            <w:tcW w:w="9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Separation,</w:t>
            </w:r>
          </w:p>
        </w:tc>
      </w:tr>
      <w:tr>
        <w:trPr>
          <w:trHeight w:val="139"/>
        </w:trPr>
        <w:tc>
          <w:tcPr>
            <w:tcW w:w="9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Continuity and</w:t>
            </w:r>
          </w:p>
        </w:tc>
      </w:tr>
      <w:tr>
        <w:trPr>
          <w:trHeight w:val="149"/>
        </w:trPr>
        <w:tc>
          <w:tcPr>
            <w:tcW w:w="9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Benefit-</w:t>
            </w:r>
          </w:p>
        </w:tc>
      </w:tr>
      <w:tr>
        <w:trPr>
          <w:trHeight w:val="192"/>
        </w:trPr>
        <w:tc>
          <w:tcPr>
            <w:tcW w:w="9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Related Costs</w:t>
            </w:r>
          </w:p>
        </w:tc>
      </w:tr>
      <w:tr>
        <w:trPr>
          <w:trHeight w:val="229"/>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r>
      <w:tr>
        <w:trPr>
          <w:trHeight w:val="229"/>
        </w:trPr>
        <w:tc>
          <w:tcPr>
            <w:tcW w:w="9860" w:type="dxa"/>
            <w:vAlign w:val="bottom"/>
          </w:tcPr>
          <w:p>
            <w:pPr>
              <w:ind w:left="20"/>
              <w:spacing w:after="0"/>
              <w:rPr>
                <w:sz w:val="20"/>
                <w:szCs w:val="20"/>
                <w:color w:val="auto"/>
              </w:rPr>
            </w:pPr>
            <w:r>
              <w:rPr>
                <w:rFonts w:ascii="Arial" w:cs="Arial" w:eastAsia="Arial" w:hAnsi="Arial"/>
                <w:sz w:val="18"/>
                <w:szCs w:val="18"/>
                <w:color w:val="auto"/>
              </w:rPr>
              <w:t>Net charge reversals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w:t>
            </w:r>
          </w:p>
        </w:tc>
      </w:tr>
      <w:tr>
        <w:trPr>
          <w:trHeight w:val="223"/>
        </w:trPr>
        <w:tc>
          <w:tcPr>
            <w:tcW w:w="9860" w:type="dxa"/>
            <w:vAlign w:val="bottom"/>
          </w:tcPr>
          <w:p>
            <w:pPr>
              <w:ind w:left="20"/>
              <w:spacing w:after="0"/>
              <w:rPr>
                <w:sz w:val="20"/>
                <w:szCs w:val="20"/>
                <w:color w:val="auto"/>
              </w:rPr>
            </w:pPr>
            <w:r>
              <w:rPr>
                <w:rFonts w:ascii="Arial" w:cs="Arial" w:eastAsia="Arial" w:hAnsi="Arial"/>
                <w:sz w:val="18"/>
                <w:szCs w:val="18"/>
                <w:color w:val="auto"/>
              </w:rPr>
              <w:t>Liability balance as of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0"/>
        </w:trPr>
        <w:tc>
          <w:tcPr>
            <w:tcW w:w="9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liability at June 30, 2023 is classified as current and is included in Accounts payable and accrued expenses in the Condensed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RESULTS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We evaluate segment performance based on Segment adjusted income from continuing operations before income tax, which we define as Income (loss)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and certain other items.</w:t>
      </w:r>
    </w:p>
    <w:p>
      <w:pPr>
        <w:spacing w:after="0" w:line="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Certain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21" w:lineRule="exact"/>
        <w:rPr>
          <w:sz w:val="20"/>
          <w:szCs w:val="20"/>
          <w:color w:val="auto"/>
        </w:rPr>
      </w:pPr>
    </w:p>
    <w:p>
      <w:pPr>
        <w:ind w:right="240" w:firstLine="486"/>
        <w:spacing w:after="0" w:line="238" w:lineRule="auto"/>
        <w:rPr>
          <w:sz w:val="20"/>
          <w:szCs w:val="20"/>
          <w:color w:val="auto"/>
        </w:rPr>
      </w:pPr>
      <w:r>
        <w:rPr>
          <w:rFonts w:ascii="Arial" w:cs="Arial" w:eastAsia="Arial" w:hAnsi="Arial"/>
          <w:sz w:val="18"/>
          <w:szCs w:val="18"/>
          <w:color w:val="auto"/>
        </w:rPr>
        <w:t>Our Branded Pharmaceuticals segment includes a variety of branded products in the areas of urology, orthopedics, endocrinology and bariatrics, among others.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AVEED</w:t>
      </w:r>
      <w:r>
        <w:rPr>
          <w:rFonts w:ascii="Arial" w:cs="Arial" w:eastAsia="Arial" w:hAnsi="Arial"/>
          <w:sz w:val="23"/>
          <w:szCs w:val="23"/>
          <w:color w:val="auto"/>
          <w:vertAlign w:val="superscript"/>
        </w:rPr>
        <w:t>®</w:t>
      </w:r>
      <w:r>
        <w:rPr>
          <w:rFonts w:ascii="Arial" w:cs="Arial" w:eastAsia="Arial" w:hAnsi="Arial"/>
          <w:sz w:val="18"/>
          <w:szCs w:val="18"/>
          <w:color w:val="auto"/>
        </w:rPr>
        <w:t>,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EDEX</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6" w:lineRule="exact"/>
        <w:rPr>
          <w:sz w:val="20"/>
          <w:szCs w:val="20"/>
          <w:color w:val="auto"/>
        </w:rPr>
      </w:pPr>
    </w:p>
    <w:p>
      <w:pPr>
        <w:ind w:right="200" w:firstLine="486"/>
        <w:spacing w:after="0" w:line="204" w:lineRule="auto"/>
        <w:rPr>
          <w:sz w:val="20"/>
          <w:szCs w:val="20"/>
          <w:color w:val="auto"/>
        </w:rPr>
      </w:pPr>
      <w:r>
        <w:rPr>
          <w:rFonts w:ascii="Arial" w:cs="Arial" w:eastAsia="Arial" w:hAnsi="Arial"/>
          <w:sz w:val="18"/>
          <w:szCs w:val="18"/>
          <w:color w:val="auto"/>
        </w:rPr>
        <w:t>Our Sterile Injectables segment consists primarily of branded sterile injectable products such as ADRENALIN</w:t>
      </w:r>
      <w:r>
        <w:rPr>
          <w:rFonts w:ascii="Arial" w:cs="Arial" w:eastAsia="Arial" w:hAnsi="Arial"/>
          <w:sz w:val="23"/>
          <w:szCs w:val="23"/>
          <w:color w:val="auto"/>
          <w:vertAlign w:val="superscript"/>
        </w:rPr>
        <w:t>®</w:t>
      </w:r>
      <w:r>
        <w:rPr>
          <w:rFonts w:ascii="Arial" w:cs="Arial" w:eastAsia="Arial" w:hAnsi="Arial"/>
          <w:sz w:val="18"/>
          <w:szCs w:val="18"/>
          <w:color w:val="auto"/>
        </w:rPr>
        <w:t>,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21"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Our Generic Pharmaceuticals segment consists of a product portfolio including solid oral extended-release products, solid oral immediate-release products, liquids, semi-solids, patches, powders, ophthalmics and sprays and includes products that treat and manage a wide variety of medical conditions.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International Pharmaceuticals segment includes a variety of specialty pharmaceutical products, including over-the-counter (OTC) products, sold outside the U.S., primarily in Canada through our operating company Paladin Labs Inc. (Paladin).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six months ended June 30, 2023 and 2022 (in thousands):</w:t>
      </w: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212,377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218,952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409,950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423,813</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363,199</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376,759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389,321</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0" w:type="dxa"/>
            <w:vAlign w:val="bottom"/>
          </w:tcPr>
          <w:p>
            <w:pPr>
              <w:spacing w:after="0"/>
              <w:rPr>
                <w:sz w:val="1"/>
                <w:szCs w:val="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546,852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569,114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1,062,119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1,221,373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Segment adjusted income from continuing operations before income tax:</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115,340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88,613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211,605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166,279</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259,651</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149,719</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line="169" w:lineRule="exact"/>
              <w:rPr>
                <w:sz w:val="20"/>
                <w:szCs w:val="20"/>
                <w:color w:val="auto"/>
              </w:rPr>
            </w:pPr>
            <w:r>
              <w:rPr>
                <w:rFonts w:ascii="Arial" w:cs="Arial" w:eastAsia="Arial" w:hAnsi="Arial"/>
                <w:sz w:val="18"/>
                <w:szCs w:val="18"/>
                <w:color w:val="auto"/>
                <w:w w:val="93"/>
              </w:rPr>
              <w:t>Total segment adjusted income from continuing operations before income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270,151</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248,819</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504,540</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588,502</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tax</w:t>
            </w:r>
          </w:p>
        </w:tc>
        <w:tc>
          <w:tcPr>
            <w:tcW w:w="2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table below provides reconciliations of our Total consolidated income (loss) from continuing operations before income tax, which is determined in accordance with U.S. GAAP, to our Total segment adjusted income from continuing operations before income tax for the three and six months ended June 30, 2023 and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55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Total consolidated income (loss) from continuing operations before income</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34,290</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(1,873,732)</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37,240</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(1,940,847)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139,784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274,733</w:t>
            </w:r>
          </w:p>
        </w:tc>
        <w:tc>
          <w:tcPr>
            <w:tcW w:w="0" w:type="dxa"/>
            <w:vAlign w:val="bottom"/>
          </w:tcPr>
          <w:p>
            <w:pPr>
              <w:spacing w:after="0"/>
              <w:rPr>
                <w:sz w:val="1"/>
                <w:szCs w:val="1"/>
                <w:color w:val="auto"/>
              </w:rPr>
            </w:pPr>
          </w:p>
        </w:tc>
      </w:tr>
      <w:tr>
        <w:trPr>
          <w:trHeight w:val="236"/>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81,669</w:t>
            </w:r>
          </w:p>
        </w:tc>
        <w:tc>
          <w:tcPr>
            <w:tcW w:w="0" w:type="dxa"/>
            <w:vAlign w:val="bottom"/>
          </w:tcPr>
          <w:p>
            <w:pPr>
              <w:spacing w:after="0"/>
              <w:rPr>
                <w:sz w:val="1"/>
                <w:szCs w:val="1"/>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177,802</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charges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67,900</w:t>
            </w:r>
          </w:p>
        </w:tc>
        <w:tc>
          <w:tcPr>
            <w:tcW w:w="0" w:type="dxa"/>
            <w:vAlign w:val="bottom"/>
          </w:tcPr>
          <w:p>
            <w:pPr>
              <w:spacing w:after="0"/>
              <w:rPr>
                <w:sz w:val="1"/>
                <w:szCs w:val="1"/>
                <w:color w:val="auto"/>
              </w:rPr>
            </w:pPr>
          </w:p>
        </w:tc>
      </w:tr>
      <w:tr>
        <w:trPr>
          <w:trHeight w:val="175"/>
        </w:trPr>
        <w:tc>
          <w:tcPr>
            <w:tcW w:w="5560" w:type="dxa"/>
            <w:vAlign w:val="bottom"/>
          </w:tcPr>
          <w:p>
            <w:pPr>
              <w:ind w:left="40"/>
              <w:spacing w:after="0" w:line="176" w:lineRule="exact"/>
              <w:rPr>
                <w:sz w:val="20"/>
                <w:szCs w:val="20"/>
                <w:color w:val="auto"/>
              </w:rPr>
            </w:pPr>
            <w:r>
              <w:rPr>
                <w:rFonts w:ascii="Arial" w:cs="Arial" w:eastAsia="Arial" w:hAnsi="Arial"/>
                <w:sz w:val="18"/>
                <w:szCs w:val="18"/>
                <w:color w:val="auto"/>
                <w:w w:val="93"/>
              </w:rPr>
              <w:t>Amounts related to continuity and separation benefits, cost reductions and</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14,281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37,347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94,996</w:t>
            </w: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strategic review initiatives (2)</w:t>
            </w: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litigation-related and other contingencies, net (3)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Certain legal costs (4)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23,270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charges (5)</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1,801,016</w:t>
            </w: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color w:val="auto"/>
              </w:rPr>
              <w:t>Acquisition-related and integration items, net (6)</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0"/>
              </w:rPr>
              <w:t>Foreign currency impact related to the remeasurement of intercompany debt</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color w:val="auto"/>
              </w:rPr>
              <w:t>Reorganization items, net (7)</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 (8)</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0" w:type="dxa"/>
            <w:vAlign w:val="bottom"/>
          </w:tcPr>
          <w:p>
            <w:pPr>
              <w:spacing w:after="0"/>
              <w:rPr>
                <w:sz w:val="1"/>
                <w:szCs w:val="1"/>
                <w:color w:val="auto"/>
              </w:rPr>
            </w:pPr>
          </w:p>
        </w:tc>
      </w:tr>
      <w:tr>
        <w:trPr>
          <w:trHeight w:val="169"/>
        </w:trPr>
        <w:tc>
          <w:tcPr>
            <w:tcW w:w="5560" w:type="dxa"/>
            <w:vAlign w:val="bottom"/>
          </w:tcPr>
          <w:p>
            <w:pPr>
              <w:ind w:left="140"/>
              <w:spacing w:after="0" w:line="169" w:lineRule="exact"/>
              <w:rPr>
                <w:sz w:val="20"/>
                <w:szCs w:val="20"/>
                <w:color w:val="auto"/>
              </w:rPr>
            </w:pPr>
            <w:r>
              <w:rPr>
                <w:rFonts w:ascii="Arial" w:cs="Arial" w:eastAsia="Arial" w:hAnsi="Arial"/>
                <w:sz w:val="18"/>
                <w:szCs w:val="18"/>
                <w:color w:val="auto"/>
                <w:w w:val="92"/>
              </w:rPr>
              <w:t>Total segment adjusted income from continuing operations before income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270,151</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248,819</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504,540</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588,502</w:t>
            </w: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202" w:lineRule="exact"/>
              <w:rPr>
                <w:sz w:val="20"/>
                <w:szCs w:val="20"/>
                <w:color w:val="auto"/>
              </w:rPr>
            </w:pPr>
            <w:r>
              <w:rPr>
                <w:rFonts w:ascii="Arial" w:cs="Arial" w:eastAsia="Arial" w:hAnsi="Arial"/>
                <w:sz w:val="18"/>
                <w:szCs w:val="18"/>
                <w:color w:val="auto"/>
              </w:rPr>
              <w:t>tax</w:t>
            </w:r>
          </w:p>
        </w:tc>
        <w:tc>
          <w:tcPr>
            <w:tcW w:w="2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6" w:lineRule="exact"/>
        <w:rPr>
          <w:rFonts w:ascii="Arial" w:cs="Arial" w:eastAsia="Arial" w:hAnsi="Arial"/>
          <w:sz w:val="14"/>
          <w:szCs w:val="14"/>
          <w:color w:val="auto"/>
        </w:rPr>
      </w:pPr>
    </w:p>
    <w:p>
      <w:pPr>
        <w:ind w:left="580" w:right="20" w:hanging="329"/>
        <w:spacing w:after="0" w:line="258"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for the three months ended June 30, 2023 include net employee separation, continuity and other benefit-related charges of $15.1 million, partially offset by a net reversal of certain inventory charges related to restructurings of $0.9 million. Amounts for the six months ended June 30, 2023 include net employee separation, continuity and other benefit-related charges of $25.9 million and other net charges of $0.6 million, partially offset by a net reversal of certain inventory charges related to restructurings of $0.6 million. Amounts for the three months ended June 30, 2022 include net employee separation, continuity and other benefit-related charges of $11.7 million, accelerated depreciation charges of $0.1 million and other net charges, including those related to strategic review initiatives, of $25.5 million. Amounts for the six months ended June 30, 2022 include net employee separation, continuity and other benefit-related charges of $44.1 million, accelerated depreciation charges of $3.8 million and other net charges, including those related to strategic review initiatives, of $47.1 million. These amounts relate primarily to our restructuring activities as further described in Note 5. Restructuring, certain continuity and transitional compensation arrangements, certain other cost reduction initiatives and certain strategic review initiatives, including costs incurred in connection with our bankruptcy proceedings, which are included in this row until the Petition Date and in the Reorganization items, net row thereafter.</w:t>
      </w:r>
    </w:p>
    <w:p>
      <w:pPr>
        <w:spacing w:after="0" w:line="3" w:lineRule="exact"/>
        <w:rPr>
          <w:rFonts w:ascii="Arial" w:cs="Arial" w:eastAsia="Arial" w:hAnsi="Arial"/>
          <w:sz w:val="14"/>
          <w:szCs w:val="14"/>
          <w:color w:val="auto"/>
        </w:rPr>
      </w:pPr>
    </w:p>
    <w:p>
      <w:pPr>
        <w:ind w:left="580" w:right="140" w:hanging="329"/>
        <w:spacing w:after="0" w:line="25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Our material legal proceedings and other contingent matters are described in more detail in Note 15. Commitments and Contingencies.</w:t>
      </w: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14" w:lineRule="exact"/>
        <w:rPr>
          <w:rFonts w:ascii="Arial" w:cs="Arial" w:eastAsia="Arial" w:hAnsi="Arial"/>
          <w:sz w:val="14"/>
          <w:szCs w:val="14"/>
          <w:color w:val="auto"/>
        </w:rPr>
      </w:pP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For additional information, refer to Note 10. Goodwill and Other Intangibles.</w:t>
      </w:r>
    </w:p>
    <w:p>
      <w:pPr>
        <w:spacing w:after="0" w:line="14" w:lineRule="exact"/>
        <w:rPr>
          <w:rFonts w:ascii="Arial" w:cs="Arial" w:eastAsia="Arial" w:hAnsi="Arial"/>
          <w:sz w:val="14"/>
          <w:szCs w:val="14"/>
          <w:color w:val="auto"/>
        </w:rPr>
      </w:pP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4" w:lineRule="exact"/>
        <w:rPr>
          <w:rFonts w:ascii="Arial" w:cs="Arial" w:eastAsia="Arial" w:hAnsi="Arial"/>
          <w:sz w:val="14"/>
          <w:szCs w:val="14"/>
          <w:color w:val="auto"/>
        </w:rPr>
      </w:pPr>
    </w:p>
    <w:p>
      <w:pPr>
        <w:ind w:left="580" w:right="360" w:hanging="329"/>
        <w:spacing w:after="0" w:line="25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relate to the net expense or income recognized during our bankruptcy proceedings required to be presented as Reorganization items, net under ASC 852. Refer to Note 2. Bankruptcy Proceedings for further details.</w:t>
      </w:r>
    </w:p>
    <w:p>
      <w:pPr>
        <w:ind w:left="580" w:right="120" w:hanging="329"/>
        <w:spacing w:after="0" w:line="323" w:lineRule="auto"/>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 for the six months ended June 30, 2023 primarily relates to a charge of approximately $9.2 million associated with the rejection of certain equity award agreements, which was approved by the Bankruptcy Court in March 2023. Other amounts in this row relate to gains and losses on sales of business and other assets and certain other items.</w:t>
      </w:r>
    </w:p>
    <w:p>
      <w:pPr>
        <w:spacing w:after="0" w:line="54"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During the three and six months ended June 30, 2023 and 2022,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i w:val="1"/>
                <w:iCs w:val="1"/>
                <w:color w:val="auto"/>
              </w:rPr>
              <w:t>Specialty Products: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XIAFLEX®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220,362</w:t>
            </w: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SUPPRELIN® LA</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53,569</w:t>
            </w:r>
          </w:p>
        </w:tc>
      </w:tr>
      <w:tr>
        <w:trPr>
          <w:trHeight w:val="229"/>
        </w:trPr>
        <w:tc>
          <w:tcPr>
            <w:tcW w:w="5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38,990</w:t>
            </w:r>
          </w:p>
        </w:tc>
      </w:tr>
      <w:tr>
        <w:trPr>
          <w:trHeight w:val="237"/>
        </w:trPr>
        <w:tc>
          <w:tcPr>
            <w:tcW w:w="5660" w:type="dxa"/>
            <w:vAlign w:val="bottom"/>
          </w:tcPr>
          <w:p>
            <w:pPr>
              <w:ind w:left="140"/>
              <w:spacing w:after="0"/>
              <w:rPr>
                <w:sz w:val="20"/>
                <w:szCs w:val="20"/>
                <w:color w:val="auto"/>
              </w:rPr>
            </w:pPr>
            <w:r>
              <w:rPr>
                <w:rFonts w:ascii="Arial" w:cs="Arial" w:eastAsia="Arial" w:hAnsi="Arial"/>
                <w:sz w:val="18"/>
                <w:szCs w:val="18"/>
                <w:color w:val="auto"/>
              </w:rPr>
              <w:t>Total Specialty Products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165,353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163,863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307,534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312,921</w:t>
            </w:r>
          </w:p>
        </w:tc>
      </w:tr>
      <w:tr>
        <w:trPr>
          <w:trHeight w:val="223"/>
        </w:trPr>
        <w:tc>
          <w:tcPr>
            <w:tcW w:w="5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Established Products:</w:t>
            </w: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PERCOCET®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26,445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26,256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52,501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52,431</w:t>
            </w:r>
          </w:p>
        </w:tc>
      </w:tr>
      <w:tr>
        <w:trPr>
          <w:trHeight w:val="229"/>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TESTOPEL®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w:t>
            </w:r>
          </w:p>
        </w:tc>
      </w:tr>
      <w:tr>
        <w:trPr>
          <w:trHeight w:val="243"/>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39,560</w:t>
            </w:r>
          </w:p>
        </w:tc>
      </w:tr>
      <w:tr>
        <w:trPr>
          <w:trHeight w:val="223"/>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Established Products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Branded Pharmaceuticals (3)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423,813</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ADRENALIN®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27,133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26,774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52,708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60,597</w:t>
            </w:r>
          </w:p>
        </w:tc>
      </w:tr>
      <w:tr>
        <w:trPr>
          <w:trHeight w:val="243"/>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VASOSTRICT®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191,520</w:t>
            </w: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Other Sterile Injectables (4)</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60,767</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135,205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111,082</w:t>
            </w:r>
          </w:p>
        </w:tc>
      </w:tr>
      <w:tr>
        <w:trPr>
          <w:trHeight w:val="22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238,283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363,199</w:t>
            </w:r>
          </w:p>
        </w:tc>
      </w:tr>
      <w:tr>
        <w:trPr>
          <w:trHeight w:val="236"/>
        </w:trPr>
        <w:tc>
          <w:tcPr>
            <w:tcW w:w="5660" w:type="dxa"/>
            <w:vAlign w:val="bottom"/>
          </w:tcPr>
          <w:p>
            <w:pPr>
              <w:ind w:left="20"/>
              <w:spacing w:after="0"/>
              <w:rPr>
                <w:sz w:val="20"/>
                <w:szCs w:val="20"/>
                <w:color w:val="auto"/>
              </w:rPr>
            </w:pPr>
            <w:r>
              <w:rPr>
                <w:rFonts w:ascii="Arial" w:cs="Arial" w:eastAsia="Arial" w:hAnsi="Arial"/>
                <w:sz w:val="18"/>
                <w:szCs w:val="18"/>
                <w:color w:val="auto"/>
              </w:rPr>
              <w:t>Total Generic Pharmaceuticals (5)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178,579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203,377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376,759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389,321</w:t>
            </w:r>
          </w:p>
        </w:tc>
      </w:tr>
      <w:tr>
        <w:trPr>
          <w:trHeight w:val="223"/>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546,852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569,114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1,062,119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1,221,373</w:t>
            </w: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hanging="329"/>
        <w:spacing w:after="0" w:line="234"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18"/>
          <w:szCs w:val="18"/>
          <w:color w:val="auto"/>
          <w:vertAlign w:val="superscript"/>
        </w:rPr>
        <w:t>®</w:t>
      </w:r>
      <w:r>
        <w:rPr>
          <w:rFonts w:ascii="Arial" w:cs="Arial" w:eastAsia="Arial" w:hAnsi="Arial"/>
          <w:sz w:val="14"/>
          <w:szCs w:val="14"/>
          <w:color w:val="auto"/>
        </w:rPr>
        <w:t>,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and QWO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80" w:hanging="329"/>
        <w:spacing w:after="0" w:line="187"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80" w:right="400" w:hanging="329"/>
        <w:spacing w:after="0" w:line="257"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2023 and/or any product having revenues in excess of $25 million during any completed quarterly period in 2023 or 2022.</w:t>
      </w:r>
    </w:p>
    <w:p>
      <w:pPr>
        <w:jc w:val="both"/>
        <w:ind w:left="580" w:right="220" w:hanging="329"/>
        <w:spacing w:after="0" w:line="261" w:lineRule="auto"/>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Products included within Other Sterile Injectables include, but are not limited to, APLISOL</w:t>
      </w:r>
      <w:r>
        <w:rPr>
          <w:rFonts w:ascii="Arial" w:cs="Arial" w:eastAsia="Arial" w:hAnsi="Arial"/>
          <w:sz w:val="16"/>
          <w:szCs w:val="16"/>
          <w:color w:val="auto"/>
          <w:vertAlign w:val="superscript"/>
        </w:rPr>
        <w:t>®</w:t>
      </w:r>
      <w:r>
        <w:rPr>
          <w:rFonts w:ascii="Arial" w:cs="Arial" w:eastAsia="Arial" w:hAnsi="Arial"/>
          <w:sz w:val="13"/>
          <w:szCs w:val="13"/>
          <w:color w:val="auto"/>
        </w:rPr>
        <w:t>. During the second quarter of 2023, the Company executed a Settlement Agreement and Release of Claims with Novavax, Inc. (the Novavax Settlement Agreement) to resolve a dispute under a previous manufacturing and services agreement. For the three months ended June 30, 2023, the cash and non-cash consideration received in connection with the Novavax Settlement Agreement made up 6% of consolidated total revenues. No other individual product within Other Sterile Injectables has exceeded 5% of consolidated total revenues for the periods presented.</w:t>
      </w:r>
    </w:p>
    <w:p>
      <w:pPr>
        <w:ind w:left="580" w:right="180" w:hanging="329"/>
        <w:spacing w:after="0" w:line="246"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Varenicline tablets (Endo’s generic version of Pfizer Inc.’s Chantix</w:t>
      </w:r>
      <w:r>
        <w:rPr>
          <w:rFonts w:ascii="Arial" w:cs="Arial" w:eastAsia="Arial" w:hAnsi="Arial"/>
          <w:sz w:val="18"/>
          <w:szCs w:val="18"/>
          <w:color w:val="auto"/>
          <w:vertAlign w:val="superscript"/>
        </w:rPr>
        <w:t>®</w:t>
      </w:r>
      <w:r>
        <w:rPr>
          <w:rFonts w:ascii="Arial" w:cs="Arial" w:eastAsia="Arial" w:hAnsi="Arial"/>
          <w:sz w:val="14"/>
          <w:szCs w:val="14"/>
          <w:color w:val="auto"/>
        </w:rPr>
        <w:t>), which launched in September 2021, made up 10% and 13%, for the three and six months ended June 30, 2023, respectively, and 13% and 12% for the three and six months ended June 30, 2022, respectively, of consolidated total revenues. During the six months ended June 30, 2023, dexlansoprazole delayed release capsules (Endo’s generic version of Takeda Pharmaceuticals USA, Inc.’s Dexilant</w:t>
      </w:r>
      <w:r>
        <w:rPr>
          <w:rFonts w:ascii="Arial" w:cs="Arial" w:eastAsia="Arial" w:hAnsi="Arial"/>
          <w:sz w:val="9"/>
          <w:szCs w:val="9"/>
          <w:color w:val="auto"/>
        </w:rPr>
        <w:t>®</w:t>
      </w:r>
      <w:r>
        <w:rPr>
          <w:rFonts w:ascii="Arial" w:cs="Arial" w:eastAsia="Arial" w:hAnsi="Arial"/>
          <w:sz w:val="14"/>
          <w:szCs w:val="14"/>
          <w:color w:val="auto"/>
        </w:rPr>
        <w:t>), which launched in November 2022, made up 5% of consolidated total revenues. No other individual product within this segment has exceeded 5% of consolidated total revenues for the periods presented.</w:t>
      </w:r>
    </w:p>
    <w:p>
      <w:pPr>
        <w:spacing w:after="0" w:line="2" w:lineRule="exact"/>
        <w:rPr>
          <w:rFonts w:ascii="Arial" w:cs="Arial" w:eastAsia="Arial" w:hAnsi="Arial"/>
          <w:sz w:val="14"/>
          <w:szCs w:val="14"/>
          <w:color w:val="auto"/>
        </w:rPr>
      </w:pPr>
    </w:p>
    <w:p>
      <w:pPr>
        <w:ind w:left="580" w:right="700" w:hanging="329"/>
        <w:spacing w:after="0" w:line="283"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hanging="244"/>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117" w:lineRule="exact"/>
        <w:rPr>
          <w:sz w:val="20"/>
          <w:szCs w:val="20"/>
          <w:color w:val="auto"/>
        </w:rPr>
      </w:pPr>
    </w:p>
    <w:p>
      <w:pPr>
        <w:ind w:right="560" w:firstLine="486"/>
        <w:spacing w:after="0" w:line="269"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June 30, 2023 and December 31, 2022 (in thousands):</w:t>
      </w: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Balance Sheet Line Items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June 30, 2023</w:t>
            </w:r>
          </w:p>
        </w:tc>
        <w:tc>
          <w:tcPr>
            <w:tcW w:w="12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452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equivalents—current (1)</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145,358</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Restricted cash and cash equivalents—noncurrent (2)</w:t>
            </w:r>
          </w:p>
        </w:tc>
        <w:tc>
          <w:tcPr>
            <w:tcW w:w="38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r>
      <w:tr>
        <w:trPr>
          <w:trHeight w:val="25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restricted cash and cash equivalents</w:t>
            </w:r>
          </w:p>
        </w:tc>
        <w:tc>
          <w:tcPr>
            <w:tcW w:w="38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244,707</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230,358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line="277"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Amounts at June 30, 2023 and December 31, 2022 include: (i) restricted cash and cash equivalents associated with litigation-related matters, including $51.2 million and $50.7 million, respectively, held in Qualified Settlement Funds (QSFs) for mesh- and/or opioid-related matters, and (ii) approximately $86.0 million of restricted cash and cash equivalents at both June 30, 2023 and December 31, 2022 related to certain insurance-related matters. See Note 15. Commitments and Contingencies for further information about litigation-related matters.</w:t>
      </w:r>
    </w:p>
    <w:p>
      <w:pPr>
        <w:ind w:left="580" w:hanging="329"/>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amounts at June 30, 2023 and December 31, 2022 relate to the TLC Agreement. See Note 11. License, Collaboration and Asset Acquisition Agreements for further information.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June 30, 2023 and December 31, 2022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Fair Value Measurements at June 30, 2023 using:</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58"/>
              <w:spacing w:after="0"/>
              <w:rPr>
                <w:sz w:val="20"/>
                <w:szCs w:val="20"/>
                <w:color w:val="auto"/>
              </w:rPr>
            </w:pPr>
            <w:r>
              <w:rPr>
                <w:rFonts w:ascii="Arial" w:cs="Arial" w:eastAsia="Arial" w:hAnsi="Arial"/>
                <w:sz w:val="14"/>
                <w:szCs w:val="14"/>
                <w:b w:val="1"/>
                <w:bCs w:val="1"/>
                <w:color w:val="auto"/>
                <w:w w:val="98"/>
              </w:rPr>
              <w:t>Level 1 Inputs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4"/>
                <w:szCs w:val="14"/>
                <w:b w:val="1"/>
                <w:bCs w:val="1"/>
                <w:color w:val="auto"/>
              </w:rPr>
              <w:t>Level 2 Inputs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7,108</w:t>
            </w: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7,108</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14,653</w:t>
            </w:r>
          </w:p>
        </w:tc>
      </w:tr>
      <w:tr>
        <w:trPr>
          <w:trHeight w:val="304"/>
        </w:trPr>
        <w:tc>
          <w:tcPr>
            <w:tcW w:w="5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11"/>
          </w:tcPr>
          <w:p>
            <w:pPr>
              <w:jc w:val="center"/>
              <w:ind w:left="778"/>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020" w:type="dxa"/>
            <w:vAlign w:val="bottom"/>
            <w:tcBorders>
              <w:bottom w:val="single" w:sz="8" w:color="auto"/>
            </w:tcBorders>
          </w:tcPr>
          <w:p>
            <w:pPr>
              <w:spacing w:after="0"/>
              <w:rPr>
                <w:sz w:val="24"/>
                <w:szCs w:val="24"/>
                <w:color w:val="auto"/>
              </w:rPr>
            </w:pPr>
          </w:p>
        </w:tc>
      </w:tr>
      <w:tr>
        <w:trPr>
          <w:trHeight w:val="195"/>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58"/>
              <w:spacing w:after="0"/>
              <w:rPr>
                <w:sz w:val="20"/>
                <w:szCs w:val="20"/>
                <w:color w:val="auto"/>
              </w:rPr>
            </w:pPr>
            <w:r>
              <w:rPr>
                <w:rFonts w:ascii="Arial" w:cs="Arial" w:eastAsia="Arial" w:hAnsi="Arial"/>
                <w:sz w:val="14"/>
                <w:szCs w:val="14"/>
                <w:b w:val="1"/>
                <w:bCs w:val="1"/>
                <w:color w:val="auto"/>
                <w:w w:val="98"/>
              </w:rPr>
              <w:t>Level 1 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ind w:left="80"/>
              <w:spacing w:after="0"/>
              <w:rPr>
                <w:sz w:val="20"/>
                <w:szCs w:val="20"/>
                <w:color w:val="auto"/>
              </w:rPr>
            </w:pPr>
            <w:r>
              <w:rPr>
                <w:rFonts w:ascii="Arial" w:cs="Arial" w:eastAsia="Arial" w:hAnsi="Arial"/>
                <w:sz w:val="14"/>
                <w:szCs w:val="14"/>
                <w:b w:val="1"/>
                <w:bCs w:val="1"/>
                <w:color w:val="auto"/>
              </w:rPr>
              <w:t>Level 2 Inputs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7"/>
                <w:szCs w:val="17"/>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12,226</w:t>
            </w: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12,226</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16,571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16,571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60" w:hanging="329"/>
        <w:spacing w:after="0" w:line="259"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 June 30, 2023 and December 31, 2022, money market funds include $7.1 million and $12.2 million, respectively, in QSFs. Amounts in QSFs are considered restricted cash equivalents. See Note 15. Commitments and Contingencies for further discussion of our litigation. At June 30, 2023 and December 31, 2022, the differences between the amortized cost and the fair value of our money market funds were not material, individually or in the aggregate.</w:t>
      </w:r>
    </w:p>
    <w:p>
      <w:pPr>
        <w:ind w:left="580" w:right="540" w:hanging="329"/>
        <w:spacing w:after="0" w:line="301" w:lineRule="auto"/>
        <w:tabs>
          <w:tab w:leader="none" w:pos="5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At June 30, 2023 and December 31, 2022, the balance of the Company’s liability for acquisition-related contingent consideration, which is governed by executory contracts and recorded at the expected amount of the total allowed claim, is classified within Liabilities subject to compromise in the Condensed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Measurements Using Significant Unobservable Inputs</w:t>
      </w:r>
    </w:p>
    <w:p>
      <w:pPr>
        <w:spacing w:after="0" w:line="117" w:lineRule="exact"/>
        <w:rPr>
          <w:sz w:val="20"/>
          <w:szCs w:val="20"/>
          <w:color w:val="auto"/>
        </w:rPr>
      </w:pPr>
    </w:p>
    <w:p>
      <w:pPr>
        <w:ind w:firstLine="486"/>
        <w:spacing w:after="0" w:line="284"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three and six months ended June 30,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17,976</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20,076</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4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At June 30, 2023, the fair value measurements of the contingent consideration obligations were determined using risk-adjusted discount rates ranging from 10.0% to 15.0% (weighted average rate of approximately 10.5%, weighted based on relative fair value). Changes in fair value recorded in earnings related to acquisition-related contingent consideration are included in our Condensed Consolidated Statements of Operations as Acquisition-related and integration items, net.</w:t>
      </w:r>
    </w:p>
    <w:p>
      <w:pPr>
        <w:spacing w:after="0" w:line="79" w:lineRule="exact"/>
        <w:rPr>
          <w:sz w:val="20"/>
          <w:szCs w:val="20"/>
          <w:color w:val="auto"/>
        </w:rPr>
      </w:pPr>
    </w:p>
    <w:p>
      <w:pPr>
        <w:ind w:right="240" w:firstLine="486"/>
        <w:spacing w:after="0" w:line="269"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six months ended June 30, 2023 by acquisition (in thousands):</w:t>
      </w:r>
    </w:p>
    <w:tbl>
      <w:tblPr>
        <w:tblLayout w:type="fixed"/>
        <w:tblInd w:w="0" w:type="dxa"/>
        <w:tblCellMar>
          <w:top w:w="0" w:type="dxa"/>
          <w:left w:w="0" w:type="dxa"/>
          <w:bottom w:w="0" w:type="dxa"/>
          <w:right w:w="0" w:type="dxa"/>
        </w:tblCellMar>
      </w:tblPr>
      <w:tr>
        <w:trPr>
          <w:trHeight w:val="144"/>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5"/>
              </w:rPr>
              <w:t>Balance as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3"/>
              </w:rPr>
              <w:t>Changes in Fair</w:t>
            </w:r>
          </w:p>
        </w:tc>
        <w:tc>
          <w:tcPr>
            <w:tcW w:w="10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Amounts Settled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8"/>
              </w:rPr>
              <w:t>Balance as of June</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w w:val="93"/>
              </w:rPr>
              <w:t>Value Recorded in</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December 31, 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30, 2023</w:t>
            </w:r>
          </w:p>
        </w:tc>
        <w:tc>
          <w:tcPr>
            <w:tcW w:w="0" w:type="dxa"/>
            <w:vAlign w:val="bottom"/>
          </w:tcPr>
          <w:p>
            <w:pPr>
              <w:spacing w:after="0"/>
              <w:rPr>
                <w:sz w:val="1"/>
                <w:szCs w:val="1"/>
                <w:color w:val="auto"/>
              </w:rPr>
            </w:pP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Auxilium acquisition</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ind w:left="92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460" w:firstLine="486"/>
        <w:spacing w:after="0" w:line="263" w:lineRule="auto"/>
        <w:rPr>
          <w:sz w:val="20"/>
          <w:szCs w:val="20"/>
          <w:color w:val="auto"/>
        </w:rPr>
      </w:pPr>
      <w:r>
        <w:rPr>
          <w:rFonts w:ascii="Arial" w:cs="Arial" w:eastAsia="Arial" w:hAnsi="Arial"/>
          <w:sz w:val="18"/>
          <w:szCs w:val="18"/>
          <w:color w:val="auto"/>
        </w:rPr>
        <w:t>Long-lived assets, goodwill and other intangible assets may be subject to nonrecurring fair value measurement for the evaluation of potential impairment. During the six months ended June 30, 2023, nonrecurring fair value measurements, which related primarily to certain property, plant and equipment, were not material.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at June 30, 2023 and December 31, 2022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107,110</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105,975</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43,057</w:t>
            </w: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125,467</w:t>
            </w: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274,535</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274,499</w:t>
            </w:r>
          </w:p>
        </w:tc>
      </w:tr>
      <w:tr>
        <w:trPr>
          <w:trHeight w:val="20"/>
        </w:trPr>
        <w:tc>
          <w:tcPr>
            <w:tcW w:w="8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allowances.</w:t>
      </w:r>
    </w:p>
    <w:p>
      <w:pPr>
        <w:spacing w:after="0" w:line="120"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Inventory in excess of the amount expected to be sold within one year is classified as noncurrent inventory and is not included in the table above. At June 30, 2023 and December 31, 2022, $22.5 million and $23.0 million, respectively, of noncurrent inventory was included in Other assets in the Condensed Consolidated Balance Sheets. As of June 30, 2023 and December 31, 2022, the Company’s Condensed Consolidated Balance Sheets included approximately $11.1 million and $5.8 million, respectively, of capitalized pre-launch inventories related to products that were not yet available to be sold.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June 30, 2023 and December 31, 2022 (in thousands):</w:t>
      </w:r>
    </w:p>
    <w:tbl>
      <w:tblPr>
        <w:tblLayout w:type="fixed"/>
        <w:tblInd w:w="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Balance Sheet Line Items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December 31, 2022</w:t>
            </w:r>
          </w:p>
        </w:tc>
      </w:tr>
      <w:tr>
        <w:trPr>
          <w:trHeight w:val="26"/>
        </w:trPr>
        <w:tc>
          <w:tcPr>
            <w:tcW w:w="384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38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44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25,787</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28,070</w:t>
            </w:r>
          </w:p>
        </w:tc>
      </w:tr>
      <w:tr>
        <w:trPr>
          <w:trHeight w:val="236"/>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26,761</w:t>
            </w: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44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48,503</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54,831</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(1):</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446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848</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2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237"/>
        </w:trPr>
        <w:tc>
          <w:tcPr>
            <w:tcW w:w="384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4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5,575</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6,032</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Noncurrent finance lease liabilities</w:t>
            </w:r>
          </w:p>
        </w:tc>
        <w:tc>
          <w:tcPr>
            <w:tcW w:w="44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57"/>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44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160" w:hanging="329"/>
        <w:spacing w:after="0" w:line="272"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at June 30, 2023 exclude operating lease liabilities of $24.9 million and finance lease liabilities of $13.6 million that are classified as Liabilities subject to compromise in the Condensed Consolidated Balance Sheets. Amounts at December 31, 2022 exclude operating lease liabilities of $28.4 million and finance lease liabilities of $17.1 million that are classified as Liabilities subject to compromise in the Condensed Consolidated Balance Sheets.</w:t>
      </w:r>
    </w:p>
    <w:p>
      <w:pPr>
        <w:spacing w:after="0" w:line="85" w:lineRule="exact"/>
        <w:rPr>
          <w:sz w:val="20"/>
          <w:szCs w:val="20"/>
          <w:color w:val="auto"/>
        </w:rPr>
      </w:pPr>
    </w:p>
    <w:p>
      <w:pPr>
        <w:ind w:right="120" w:firstLine="486"/>
        <w:spacing w:after="0" w:line="269"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and six months ended June 30, 2023 and 2022 (in thousands):</w:t>
      </w: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3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Statement of Operations Line</w:t>
            </w:r>
          </w:p>
        </w:tc>
        <w:tc>
          <w:tcPr>
            <w:tcW w:w="300" w:type="dxa"/>
            <w:vAlign w:val="bottom"/>
          </w:tcPr>
          <w:p>
            <w:pPr>
              <w:spacing w:after="0"/>
              <w:rPr>
                <w:sz w:val="11"/>
                <w:szCs w:val="11"/>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Items</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9"/>
        </w:trPr>
        <w:tc>
          <w:tcPr>
            <w:tcW w:w="322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2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5,201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Finance lease right-of-use asset</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30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40" w:type="dxa"/>
            <w:vAlign w:val="bottom"/>
            <w:gridSpan w:val="2"/>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440" w:type="dxa"/>
            <w:vAlign w:val="bottom"/>
            <w:gridSpan w:val="2"/>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Sublease income</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520" w:hanging="329"/>
        <w:spacing w:after="0" w:line="275"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six months ended June 30, 2023 and 2022 (in thousands):</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7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4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100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1,523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3,129</w:t>
            </w:r>
          </w:p>
        </w:tc>
      </w:tr>
      <w:tr>
        <w:trPr>
          <w:trHeight w:val="182"/>
        </w:trPr>
        <w:tc>
          <w:tcPr>
            <w:tcW w:w="45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3,020</w:t>
            </w:r>
          </w:p>
        </w:tc>
        <w:tc>
          <w:tcPr>
            <w:tcW w:w="10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3,632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7,032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7,676</w:t>
            </w: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0" w:type="dxa"/>
            <w:vAlign w:val="bottom"/>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bl>
    <w:p>
      <w:pPr>
        <w:spacing w:after="0" w:line="76" w:lineRule="exact"/>
        <w:rPr>
          <w:sz w:val="20"/>
          <w:szCs w:val="20"/>
          <w:color w:val="auto"/>
        </w:rPr>
      </w:pPr>
    </w:p>
    <w:p>
      <w:pPr>
        <w:ind w:left="580" w:right="200" w:hanging="329"/>
        <w:spacing w:after="0" w:line="293" w:lineRule="auto"/>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certain additional information related to our leases for the six months ended June 30, 2023 and 2022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3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3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3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3,299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60" w:type="dxa"/>
            <w:vAlign w:val="bottom"/>
          </w:tcPr>
          <w:p>
            <w:pPr>
              <w:jc w:val="right"/>
              <w:ind w:right="259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our goodwill at June 30, 2023 and December 31, 2022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339"/>
              <w:spacing w:after="0"/>
              <w:rPr>
                <w:sz w:val="20"/>
                <w:szCs w:val="20"/>
                <w:color w:val="auto"/>
              </w:rPr>
            </w:pPr>
            <w:r>
              <w:rPr>
                <w:rFonts w:ascii="Arial" w:cs="Arial" w:eastAsia="Arial" w:hAnsi="Arial"/>
                <w:sz w:val="14"/>
                <w:szCs w:val="14"/>
                <w:b w:val="1"/>
                <w:bCs w:val="1"/>
                <w:color w:val="auto"/>
              </w:rPr>
              <w:t>Branded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Sterile Injectables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Generic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w w:val="97"/>
              </w:rPr>
              <w:t>International</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Pharmaceuticals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1,352,011</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Goodwill as of June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1,352,011</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amounts of goodwill at June 30, 2023 and December 31, 2022 are net of the following accumulated impairments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39"/>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Sterile Injectables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59"/>
              <w:spacing w:after="0"/>
              <w:rPr>
                <w:sz w:val="20"/>
                <w:szCs w:val="20"/>
                <w:color w:val="auto"/>
              </w:rPr>
            </w:pPr>
            <w:r>
              <w:rPr>
                <w:rFonts w:ascii="Arial" w:cs="Arial" w:eastAsia="Arial" w:hAnsi="Arial"/>
                <w:sz w:val="14"/>
                <w:szCs w:val="14"/>
                <w:b w:val="1"/>
                <w:bCs w:val="1"/>
                <w:color w:val="auto"/>
              </w:rPr>
              <w:t>Generic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513,211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6,719,678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w w:val="94"/>
              </w:rPr>
              <w:t>Accumulated impairment losses as of June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855,810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2,208,000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3,142,657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525,314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6,731,781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amounts of other intangible assets for the six months ended June 30, 2023 are set forth in the table below (in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180" w:type="dxa"/>
            <w:vAlign w:val="bottom"/>
          </w:tcPr>
          <w:p>
            <w:pPr>
              <w:spacing w:after="0"/>
              <w:rPr>
                <w:sz w:val="14"/>
                <w:szCs w:val="14"/>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 of Currency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98"/>
        </w:trPr>
        <w:tc>
          <w:tcPr>
            <w:tcW w:w="402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30, 2023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 (weighted average life of 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432,107</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82"/>
        </w:trPr>
        <w:tc>
          <w:tcPr>
            <w:tcW w:w="4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Developed technology (weighted average life of 12</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5,920,021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5,925,695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20"/>
              <w:spacing w:after="0" w:line="168" w:lineRule="exact"/>
              <w:rPr>
                <w:sz w:val="20"/>
                <w:szCs w:val="20"/>
                <w:color w:val="auto"/>
              </w:rPr>
            </w:pPr>
            <w:r>
              <w:rPr>
                <w:rFonts w:ascii="Arial" w:cs="Arial" w:eastAsia="Arial" w:hAnsi="Arial"/>
                <w:sz w:val="18"/>
                <w:szCs w:val="18"/>
                <w:color w:val="auto"/>
                <w:w w:val="96"/>
              </w:rPr>
              <w:t>Total other intangibles (weighted average life of 12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6,368,537</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gridSpan w:val="2"/>
            <w:vMerge w:val="restart"/>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5,674</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6,364,211</w:t>
            </w:r>
          </w:p>
        </w:tc>
        <w:tc>
          <w:tcPr>
            <w:tcW w:w="0" w:type="dxa"/>
            <w:vAlign w:val="bottom"/>
          </w:tcPr>
          <w:p>
            <w:pPr>
              <w:spacing w:after="0"/>
              <w:rPr>
                <w:sz w:val="1"/>
                <w:szCs w:val="1"/>
                <w:color w:val="auto"/>
              </w:rPr>
            </w:pPr>
          </w:p>
        </w:tc>
      </w:tr>
      <w:tr>
        <w:trPr>
          <w:trHeight w:val="217"/>
        </w:trPr>
        <w:tc>
          <w:tcPr>
            <w:tcW w:w="4020" w:type="dxa"/>
            <w:vAlign w:val="bottom"/>
          </w:tcPr>
          <w:p>
            <w:pPr>
              <w:ind w:left="120"/>
              <w:spacing w:after="0"/>
              <w:rPr>
                <w:sz w:val="20"/>
                <w:szCs w:val="20"/>
                <w:color w:val="auto"/>
              </w:rPr>
            </w:pPr>
            <w:r>
              <w:rPr>
                <w:rFonts w:ascii="Arial" w:cs="Arial" w:eastAsia="Arial" w:hAnsi="Arial"/>
                <w:sz w:val="18"/>
                <w:szCs w:val="18"/>
                <w:color w:val="auto"/>
              </w:rPr>
              <w:t>years)</w:t>
            </w:r>
          </w:p>
        </w:tc>
        <w:tc>
          <w:tcPr>
            <w:tcW w:w="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Effect of Currency</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98"/>
        </w:trPr>
        <w:tc>
          <w:tcPr>
            <w:tcW w:w="402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30, 2023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(416,796)</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(4,204,685)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(4,336,735)</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(4,635,602)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(4,759,940)</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other intangibles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1,604,271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adjustments relate to the removal of certain fully amortized intangible assets.</w:t>
      </w:r>
    </w:p>
    <w:p>
      <w:pPr>
        <w:spacing w:after="0" w:line="12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Amortization expense for the three and six months ended June 30, 2023 totaled $64.4 million and $129.7 million, respectively. Amortization expense for the three and six months ended June 30, 2022 totaled $87.6 million and $177.8 million, respectively. Amortization expense is included in Cost of revenues in the Condensed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These assumptions are based on significant inputs and judgments not observable in the market, and thus represent Level 3 measurements within the fair value hierarchy. The discount rates used in the determination of fair value reflect our judgments regarding the risks and uncertainties inherent in the estimated future cash flows and may differ over time depending on the risk profile of the particular assets and other market factors. We believe the discount rates and other inputs and assumptions are consistent with those a market participant would use. Any impairment charges resulting from annual or interim goodwill and intangible asset impairment assessments are recorded to Asset impairment charges in our Condensed Consolidated Statements of Operations.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Second-Quarter 2022 Interim Goodwill Impairment Tests</w:t>
      </w:r>
    </w:p>
    <w:p>
      <w:pPr>
        <w:spacing w:after="0" w:line="117"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Beginning in May 2022, our share price and the aggregate estimated fair value of our debt experienced significant declines. We believe these declines, which persisted through the end of the second quarter of 2022, were predominantly attributable to continuing and increasing investor and analyst uncertainty with respect to: (i) ongoing opioid and other litigation matters for which we had been unable to reach a broad-based resolution of outstanding claims and (ii) speculation surrounding the possibility of a bankruptcy filing.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50 basis points in May 2022 and by an additional 75 basis points in June 2022. Taken together, we determined that these factors represented triggering events that required the performance of interim goodwill impairments tests for both our Sterile Injectables and Branded Pharmaceuticals reporting units as of June 30, 2022.</w:t>
      </w:r>
    </w:p>
    <w:p>
      <w:pPr>
        <w:spacing w:after="0" w:line="70"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When performing these goodwill impairment tests, we estimated the fair values of our reporting units taking into consideration management’s continued commitment to Endo’s strategic plans and the corresponding projected cash flows, as well as the fact that management’s views on litigation risk had not materially changed since our annual goodwill impairment tests performed on October 1, 2021. However, when analyzing our aggregated estimated internal valuation of our reporting units as of June 30, 2022 compared to our market capitalization and the aggregate estimated fair value of our debt, we also considered the increased level of investor and analyst uncertainty described above, coupled with our belief that investors and analysts were unlikely to modify their projections or valuation models unless or until we could demonstrate significant progression on the resolution of outstanding litigation matters and/or demonstrate that the risks of potential future strategic alternatives, including the possibility of a future bankruptcy filing, were no longer applicable. After performing this analysis, we made certain adjustments to incorporate these factors into the valuations of our reporting units, primarily through adjustments to the discount rate resulting from an increase in the company-specific risk premium (CSRP), and determined that: (i) the estimated fair value of our Sterile Injectables reporting unit was less than its carrying amount, resulting in a pre-tax non-cash goodwill impairment charge of $1,748.0 million, and (ii) while the estimated fair value declined, there was no goodwill impairment for our Branded Pharmaceuticals reporting unit, for which the estimated fair value exceeded the carrying amount by more than 10%. The discount rates used in the June 30, 2022 goodwill tests were 13.5% and 18.5% for the Branded Pharmaceuticals and Sterile Injectables reporting units, respectively.</w:t>
      </w:r>
    </w:p>
    <w:p>
      <w:pPr>
        <w:spacing w:after="0" w:line="6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During the three and six months ended June 30, 2023, we did not record any impairment charges associated with intangible assets or goodwill. During the three and six months ended June 30, 2022, we recorded impairment charges of $30.0 million and $50.0 million, respectively, associated with other intangible assets. These pre-tax non-cash asset impairment charges related primarily to certain developed technology intangible assets that were tested for impairment following changes in market conditions and certain other factors impacting recoverability.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LICENSE, COLLABORATION AND ASSET ACQUISITION AGREEMENTS</w:t>
      </w:r>
    </w:p>
    <w:p>
      <w:pPr>
        <w:spacing w:after="0" w:line="12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have entered into certain license, collaboration and asset acquisition agreements with third parties. Generally, these agreements require us to share in the costs of developing, manufacturing, commercializing and/or selling product candidates and/or products with third parties, who in turn grant us marketing rights for such product candidates and/or products. Under these agreements we are generally required to: (i) make upfront payments and/or other payments upon successful completion of regulatory, sales and/or other milestones and/or (ii) pay royalties on sales and/or other costs arising from these agreements. We have also, from time to time, entered into agreements to directly acquire certain assets from third parties.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Nevakar Agreements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May 2022, we announced that our EVU subsidiary had entered into an agreement to acquire six development-stage ready-to-use (RTU) injectable product candidates from Nevakar Injectables, Inc., a subsidiary of Nevakar, Inc., for an upfront cash payment of $35.0 million (the 2022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57"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In August 2022, within the ongoing bankruptcy proceedings, EVU filed an adversary proceeding (the Nevakar Litigation) against Nevakar, Inc. and Nevakar Injectables Inc. (collectively, Nevakar) to enforce: (i) a 2018 development, license and commercialization agreement (the 2018 Nevakar Agreement) and (ii) the 2022 Nevakar Agreement. In September 2022, Nevakar filed counterclaims against EVU. In December 2022, EVU and Nevakar reached a settlement with respect to the Nevakar Litigation (the Nevakar Settlement) subject to Bankruptcy Court approval. The Nevakar Settlement provided for the amendment (the Nevakar Amendment) of the 2018 Nevakar Agreement to revoke EVU’s license of two products covered by the 2018 Nevakar Agreement, modify EVU’s license to the remaining three products covered by the 2018 Nevakar Agreement to reduce the royalty owed to Nevakar, terminate any obligations of EVU to make payments to Nevakar upon achievement of contingent milestones and eliminate Nevakar’s ability to terminate the remaining licenses for EVU’s breach or material breach. The Nevakar Settlement also provided that EVU and Nevakar would agree to a mutual release of certain claims under both the 2018 Nevakar Agreement and the 2022 Nevakar Agreement. The Nevakar Settlement was approved by the Bankruptcy Court in January 2023. The Nevakar Settlement had no effect on our Condensed Consolidated Financial Statements in 2022.</w:t>
      </w:r>
    </w:p>
    <w:p>
      <w:pPr>
        <w:spacing w:after="0" w:line="6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the first quarter of 2023, the Company concluded that the Nevakar Amendment met the definition of a nonmonetary exchange. The Nevakar Amendment did not result in the sale or acquisition of additional rights by the Company. The Company determined that the estimated value of the product rights revoked is approximately equal to the estimated reduction in the future royalty costs associated with the three products retained. There was no carrying value associated with the revoked product rights as the associated payments to Nevakar were previously expensed as Acquired in-process research and development. Based on these factors, the Nevakar Amendment had no effect on our Condensed Consolidated Financial Statements for the six months ended June 30,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TLC Agreement</w:t>
      </w:r>
    </w:p>
    <w:p>
      <w:pPr>
        <w:spacing w:after="0" w:line="12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In June 2022, we announced that our EVU subsidiary had entered into an agreement with Taiwan Liposome Company, Ltd. (TLC) to commercialize TLC599 (the TLC Agreement). We are accounting for the agreement as an asset acquisition. During the second quarter of 2022, we made an upfront payment of $30.0 million to TLC and recorded a corresponding charge to Acquired in-process research and development in the Condensed Consolidated Statements of Operations. For additional discussion of the agreement terms and development status, see Note 12. License, Collaboration and Asset Acquisition Agreements in the Consolidated Financial Statements included in Part IV, Item 15 of the Annual Report.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CONTRACT ASSETS AND LIABILITIES</w:t>
      </w:r>
    </w:p>
    <w:p>
      <w:pPr>
        <w:spacing w:after="0" w:line="12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June 30, 2023,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500" w:firstLine="486"/>
        <w:spacing w:after="0" w:line="263" w:lineRule="auto"/>
        <w:rPr>
          <w:sz w:val="20"/>
          <w:szCs w:val="20"/>
          <w:color w:val="auto"/>
        </w:rPr>
      </w:pPr>
      <w:r>
        <w:rPr>
          <w:rFonts w:ascii="Arial" w:cs="Arial" w:eastAsia="Arial" w:hAnsi="Arial"/>
          <w:sz w:val="18"/>
          <w:szCs w:val="18"/>
          <w:color w:val="auto"/>
        </w:rPr>
        <w:t>Certain of our other income-generating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6" w:lineRule="exact"/>
        <w:rPr>
          <w:sz w:val="20"/>
          <w:szCs w:val="20"/>
          <w:color w:val="auto"/>
        </w:rPr>
      </w:pPr>
    </w:p>
    <w:p>
      <w:pPr>
        <w:ind w:right="480" w:firstLine="486"/>
        <w:spacing w:after="0" w:line="269"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5"/>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Contract liabilities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3,816</w:t>
            </w:r>
          </w:p>
        </w:tc>
        <w:tc>
          <w:tcPr>
            <w:tcW w:w="60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20" w:hanging="329"/>
        <w:spacing w:after="0" w:line="275" w:lineRule="auto"/>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June 30, 2023 and December 31, 2022, approximately $0.8 million and $1.5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ind w:left="580" w:right="40" w:hanging="329"/>
        <w:spacing w:after="0" w:line="298" w:lineRule="auto"/>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both June 30, 2023 and December 31, 2022, approximately $0.6 million of these contract liability amounts are classified as current and are included in Accounts payable and accrued expenses in the Company’s Condensed Consolidated Balance Sheets. The remaining amounts are classified as noncurrent and are included in Other liabilities. During the six months ended June 30, 2023, approximately $0.3 million of revenue was recognized that was included in the contract liability balance at December 31, 2022.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During the six months ended June 30, 2023, we recognized revenue of $7.7 million relating to performance obligations satisfied, or partially satisfied, in prior periods. Such revenue generally relates to changes in estimates with respect to our variable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included the following at June 30, 2023 and December 31, 2022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109,033</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141,824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160,619</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deductions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related benefits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24,072</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109,688</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563,425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687,183</w:t>
            </w:r>
          </w:p>
        </w:tc>
      </w:tr>
      <w:tr>
        <w:trPr>
          <w:trHeight w:val="21"/>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hanging="329"/>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include a wide variety of accrued expenses, the most significant of which relate to accrued legal and other professional fees.</w:t>
      </w:r>
    </w:p>
    <w:p>
      <w:pPr>
        <w:spacing w:after="0" w:line="115"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The amounts in the table above do not include amounts classified as Liabilities subject to compromise in our Condensed Consolidated Balance Sheets. Refer to Note 2. Bankruptcy Proceedings for additional information about Liabilities subject to compromise.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total indebtedness at June 30, 2023 and December 31, 2022 (dollars in thousands):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3"/>
        </w:trPr>
        <w:tc>
          <w:tcPr>
            <w:tcW w:w="5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1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Effective Interest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3"/>
              </w:rPr>
              <w:t>Principal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w w:val="94"/>
              </w:rPr>
              <w:t>Carrying Amount</w:t>
            </w:r>
          </w:p>
        </w:tc>
        <w:tc>
          <w:tcPr>
            <w:tcW w:w="120" w:type="dxa"/>
            <w:vAlign w:val="bottom"/>
          </w:tcPr>
          <w:p>
            <w:pPr>
              <w:spacing w:after="0"/>
              <w:rPr>
                <w:sz w:val="11"/>
                <w:szCs w:val="11"/>
                <w:color w:val="auto"/>
              </w:rPr>
            </w:pPr>
          </w:p>
        </w:tc>
        <w:tc>
          <w:tcPr>
            <w:tcW w:w="1320" w:type="dxa"/>
            <w:vAlign w:val="bottom"/>
            <w:gridSpan w:val="3"/>
          </w:tcPr>
          <w:p>
            <w:pPr>
              <w:jc w:val="right"/>
              <w:ind w:right="150"/>
              <w:spacing w:after="0" w:line="133" w:lineRule="exact"/>
              <w:rPr>
                <w:sz w:val="20"/>
                <w:szCs w:val="20"/>
                <w:color w:val="auto"/>
              </w:rPr>
            </w:pPr>
            <w:r>
              <w:rPr>
                <w:rFonts w:ascii="Arial" w:cs="Arial" w:eastAsia="Arial" w:hAnsi="Arial"/>
                <w:sz w:val="14"/>
                <w:szCs w:val="14"/>
                <w:b w:val="1"/>
                <w:bCs w:val="1"/>
                <w:color w:val="auto"/>
                <w:w w:val="93"/>
              </w:rPr>
              <w:t>Effective Interest</w:t>
            </w:r>
          </w:p>
        </w:tc>
        <w:tc>
          <w:tcPr>
            <w:tcW w:w="13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w w:val="94"/>
              </w:rPr>
              <w:t>Carrying Amount</w:t>
            </w:r>
          </w:p>
        </w:tc>
      </w:tr>
      <w:tr>
        <w:trPr>
          <w:trHeight w:val="192"/>
        </w:trPr>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tcPr>
          <w:p>
            <w:pPr>
              <w:jc w:val="right"/>
              <w:ind w:right="213"/>
              <w:spacing w:after="0"/>
              <w:rPr>
                <w:sz w:val="20"/>
                <w:szCs w:val="20"/>
                <w:color w:val="auto"/>
              </w:rPr>
            </w:pPr>
            <w:r>
              <w:rPr>
                <w:rFonts w:ascii="Arial" w:cs="Arial" w:eastAsia="Arial" w:hAnsi="Arial"/>
                <w:sz w:val="14"/>
                <w:szCs w:val="14"/>
                <w:b w:val="1"/>
                <w:bCs w:val="1"/>
                <w:color w:val="auto"/>
              </w:rPr>
              <w:t>Rate (1)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3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Rate (1)</w:t>
            </w: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w:t>
            </w:r>
          </w:p>
        </w:tc>
      </w:tr>
      <w:tr>
        <w:trPr>
          <w:trHeight w:val="229"/>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266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100" w:type="dxa"/>
            <w:vAlign w:val="bottom"/>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56,436</w:t>
            </w:r>
          </w:p>
        </w:tc>
      </w:tr>
      <w:tr>
        <w:trPr>
          <w:trHeight w:val="24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5.875% Senior Secured Notes due 2024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286,375</w:t>
            </w: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2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100" w:type="dxa"/>
            <w:vAlign w:val="bottom"/>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21,578</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7.50%</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1,894,774</w:t>
            </w:r>
          </w:p>
        </w:tc>
      </w:tr>
      <w:tr>
        <w:trPr>
          <w:trHeight w:val="188"/>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w w:val="90"/>
              </w:rPr>
              <w:t>9.50%</w:t>
            </w:r>
          </w:p>
        </w:tc>
        <w:tc>
          <w:tcPr>
            <w:tcW w:w="2660" w:type="dxa"/>
            <w:vAlign w:val="bottom"/>
          </w:tcPr>
          <w:p>
            <w:pPr>
              <w:ind w:left="20"/>
              <w:spacing w:after="0" w:line="189" w:lineRule="exact"/>
              <w:rPr>
                <w:sz w:val="20"/>
                <w:szCs w:val="20"/>
                <w:color w:val="auto"/>
              </w:rPr>
            </w:pPr>
            <w:r>
              <w:rPr>
                <w:rFonts w:ascii="Arial" w:cs="Arial" w:eastAsia="Arial" w:hAnsi="Arial"/>
                <w:sz w:val="18"/>
                <w:szCs w:val="18"/>
                <w:color w:val="auto"/>
                <w:w w:val="93"/>
              </w:rPr>
              <w:t>Senior Secured Second Lien Notes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due 2027</w:t>
            </w:r>
          </w:p>
        </w:tc>
        <w:tc>
          <w:tcPr>
            <w:tcW w:w="1100" w:type="dxa"/>
            <w:vAlign w:val="bottom"/>
          </w:tcPr>
          <w:p>
            <w:pPr>
              <w:jc w:val="right"/>
              <w:spacing w:after="0"/>
              <w:rPr>
                <w:sz w:val="20"/>
                <w:szCs w:val="20"/>
                <w:color w:val="auto"/>
              </w:rPr>
            </w:pPr>
            <w:r>
              <w:rPr>
                <w:rFonts w:ascii="Arial" w:cs="Arial" w:eastAsia="Arial" w:hAnsi="Arial"/>
                <w:sz w:val="18"/>
                <w:szCs w:val="18"/>
                <w:color w:val="auto"/>
              </w:rPr>
              <w:t>9.50 %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940,590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940,590</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color w:val="auto"/>
                <w:w w:val="96"/>
              </w:rPr>
              <w:t>6.125% Senior Secured Notes due 2029</w:t>
            </w:r>
          </w:p>
        </w:tc>
        <w:tc>
          <w:tcPr>
            <w:tcW w:w="1100" w:type="dxa"/>
            <w:vAlign w:val="bottom"/>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1,184,665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1,230,799</w:t>
            </w:r>
          </w:p>
        </w:tc>
      </w:tr>
      <w:tr>
        <w:trPr>
          <w:trHeight w:val="23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1,871,894</w:t>
            </w: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11.75 %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250,281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11.00 %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265,728</w:t>
            </w:r>
          </w:p>
        </w:tc>
      </w:tr>
      <w:tr>
        <w:trPr>
          <w:trHeight w:val="248"/>
        </w:trPr>
        <w:tc>
          <w:tcPr>
            <w:tcW w:w="3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(3)</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7,543,028</w:t>
            </w:r>
          </w:p>
        </w:tc>
        <w:tc>
          <w:tcPr>
            <w:tcW w:w="134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7,834,717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80" w:hanging="329"/>
        <w:spacing w:after="0" w:line="261"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Beginning on the Petition Date, we ceased recognition of interest expense related to all of our debt instruments and began to incur “adequate protection payments” related to our First Lien Debt Instruments (representing all of our debt instruments except for our senior unsecured notes and the 9.50% Senior Secured Second Lien Notes due 2027). The June 30, 2023 and December 31, 2022 “effective interest rates” included in the table above represent the rates in effect on such dates used to calculate: (i) future adequate protection payments related to our First Lien Debt Instruments and (ii) future contractual interest related to our other debt instruments, notwithstanding the fact that such interest is not currently being recognized. These rates are expressed as a percentage of the contractual principal amounts outstanding as of such date and, with respect to our First Lien Debt Instruments, without consideration of any reductions related to adequate protection payments made through such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ind w:left="580" w:hanging="329"/>
        <w:spacing w:after="0" w:line="259"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June 30, 2023 and December 31, 2022 principal amounts represent the amount of unpaid contractual principal owed on the respective instruments. During the third quarter of 2022, in accordance with ASC 852, we adjusted the carrying amounts of all unsecured and potentially undersecured debt instruments to equal the expected amount of the allowed claim by expensing (within Reorganization items, net in the Condensed Consolidated Statements of Operations) $89.2 million of previously deferred and unamortized costs associated with these instruments. The June 30, 2023 and December 31, 2022 carrying amounts of our First Lien Debt Instruments also reflect reductions for certain adequate protection payments made since the Petition Date.</w:t>
      </w:r>
    </w:p>
    <w:p>
      <w:pPr>
        <w:spacing w:after="0" w:line="2" w:lineRule="exact"/>
        <w:rPr>
          <w:rFonts w:ascii="Arial" w:cs="Arial" w:eastAsia="Arial" w:hAnsi="Arial"/>
          <w:sz w:val="14"/>
          <w:szCs w:val="14"/>
          <w:color w:val="auto"/>
        </w:rPr>
      </w:pPr>
    </w:p>
    <w:p>
      <w:pPr>
        <w:ind w:left="580" w:right="260" w:hanging="329"/>
        <w:spacing w:after="0" w:line="283"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June 30, 2023 and December 31, 2022, the entire carrying amount our debt, as well as any related remaining accrued and unpaid interest that existed as of the Petition Date, is included in the Liabilities subject to compromise line in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$4.6 billion and $4.9 billion at June 30, 2023 and December 31, 2022, respectively. Based on this valuation methodology, we determined these debt instruments represent Level 2 measurements within the fair value hierarchy.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certain of its subsidiaries are party to the Credit Agreement, which, immediately following certain refinancing transactions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occurred in March 2021, provided for: (i) a $1,000.0 million senior secured revolving credit facility (the Revolving Credit Facility) and (ii)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$2,000.0 million senior secured term loan facility (the Term Loan Facility and, together with the Revolving Credit Facility, the Credit Facilities).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outstanding as of June 30, 2023 under the Credit Facilities are set forth in the table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Events of Default and Bankruptcy-Related Matters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agreements relating to our outstanding indebtedness contain certain covenants and events of default.</w:t>
      </w:r>
    </w:p>
    <w:p>
      <w:pPr>
        <w:spacing w:after="0" w:line="11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79"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As a result of the Chapter 11 Cases, since the Petition Date, we have not made, and we are not currently making, any scheduled principal or interest payments on the Credit Facilities or our various senior notes and senior secured notes. We are however making certain adequate protection payments. Additionally, as a result of the Chapter 11 Cases, all remaining commitments under the Revolving Credit Facility have been terminated.</w:t>
      </w:r>
    </w:p>
    <w:p>
      <w:pPr>
        <w:spacing w:after="0" w:line="4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transactions contemplated by the RSA are subject to approval by the Bankruptcy Court, among other conditions. Accordingly, no assurance can be given that the transactions described therein will be consummated. Because the Company has not yet obtained approval by the Bankruptcy Court regarding such transactions, there remains uncertainty with respect to the ability of our creditors, including our secured and unsecured debt holders, to recover the full amount of their claims against us. As a result, all secured and unsecured debt instruments have been classified as Liabilities subject to compromise in our Condensed Consolidated Balance Sheets as of June 30, 2023 and December 31, 2022, and we ceased the recognition of interest expense related to these instruments as of the Petition Date. During the three and six months ended June 30, 2023, we did not recognize approximately $160 million and $315 million, respectively, of contractual interest expense that would have been recognized if not for the Chapter 11 Cases.</w:t>
      </w:r>
    </w:p>
    <w:p>
      <w:pPr>
        <w:spacing w:after="0" w:line="58" w:lineRule="exact"/>
        <w:rPr>
          <w:sz w:val="20"/>
          <w:szCs w:val="20"/>
          <w:color w:val="auto"/>
        </w:rPr>
      </w:pPr>
    </w:p>
    <w:p>
      <w:pPr>
        <w:ind w:right="280" w:firstLine="486"/>
        <w:spacing w:after="0" w:line="271" w:lineRule="auto"/>
        <w:rPr>
          <w:sz w:val="20"/>
          <w:szCs w:val="20"/>
          <w:color w:val="auto"/>
        </w:rPr>
      </w:pPr>
      <w:r>
        <w:rPr>
          <w:rFonts w:ascii="Arial" w:cs="Arial" w:eastAsia="Arial" w:hAnsi="Arial"/>
          <w:sz w:val="17"/>
          <w:szCs w:val="17"/>
          <w:color w:val="auto"/>
        </w:rPr>
        <w:t>Pursuant to the Cash Collateral Order that is further discussed in Note 2. Bankruptcy Proceedings, we are, among other things, obligated to make certain adequate protection payments during our bankruptcy proceedings on each of our First Lien Debt Instruments. On a cumulative basis through June 30, 2023, we made the following adequate protection payments pursuant to the Cash Collateral Order:</w:t>
      </w: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$26.9 million with respect to the Revolving Credit Facility;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$237.2 million with respect to the Term Loan Facility;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$340.6 million with respect to the applicable senior secured notes.</w:t>
      </w:r>
    </w:p>
    <w:p>
      <w:pPr>
        <w:spacing w:after="0" w:line="103"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As required by ASC 852, these adequate protection payments are recorded as a reduction of the carrying amount of the respective First Lien Debt Instruments, which are classified as Liabilities subject to compromise. This accounting treatment is due to the aforementioned uncertainties with respect to the ultimate outcome of the bankruptcy proceedings, including the proposed Sale transaction, which in turn creates uncertainties surrounding the first lien debt holders’ ability to recover in full the amount of outstanding principal associated with those instruments. Some or all of the adequate protection payments may later be recharacterized as interest expense depending upon certain developments in the Chapter 11 Cases.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21"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Set forth below are certain disclosures relating to debt financing transactions that occurred during the six months ended June 30, 2023 or the year ended December 31, 2022. For additional disclosures relating to debt financing transactions that occurred during the year ended December 31, 2022, refer to Note 15. Debt in the Consolidated Financial Statements included in Part IV, Item 15 of the Annual Report.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January 2022 Senior Notes Repayments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7.25% Senior Notes due 2022 and the 5.75% Senior Notes due 2022 were repaid in January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An adverse outcome in certain proceedings described herein could have a material adverse effect on our business, financial condition, results of operations and cash flows. We are also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8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As further discussed in Note 2. Bankruptcy Proceedings, on the Petition Date, certain of the Debtors filed voluntary petitions for relief under the Bankruptcy Code. Certain additional Debtors filed voluntary petitions for relief under the Bankruptcy Code on May 25, 2023 and May 31, 2023.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Where no stay is in place or expected, and in the event the stays in place were to be lifted, we intend to vigorously prosecute or defend our position as appropriate. We cannot predict the outcome of any proceeding, and there can be no assurance that we will be successful or obtain any requested relief.</w:t>
      </w:r>
    </w:p>
    <w:p>
      <w:pPr>
        <w:spacing w:after="0" w:line="7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Accordingly, we will record receivables with respect to amounts due under these policies only when the realization of the potential claim for recovery is considered probable.</w:t>
      </w:r>
    </w:p>
    <w:p>
      <w:pPr>
        <w:spacing w:after="0" w:line="7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 Finally, as set forth in the stipulation filed with the Bankruptcy Court on March 24, 2023 (see Note 2. Bankruptcy Proceedings), our ability to access certain insurance proceeds may be impacted by the resolution reached between the Ad Hoc First Lien Group and the UCC.</w:t>
      </w:r>
    </w:p>
    <w:p>
      <w:pPr>
        <w:spacing w:after="0" w:line="7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of June 30, 2023, our accrual for loss contingencies totaled $865.0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June 30, 2023, our entire accrual for loss contingencies is classified as Liabilities subject to compromise in the Condensed Consolidated Balance Sheets.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As part of the Chapter 11 Cases, persons and entities believing that they have claims or causes of action against the Debtors, including litigants, may file proofs of claim evidencing such claims. On April 3, 2023, the Bankruptcy Court entered the Bar Date Order, as subsequently amended on June 23, 2023 and July 14, 2023, setting July 7, 2023 as the general bar date (deadline) for persons and non-governmental entities to file proofs of claim against the Debtors. The Bankruptcy Court also set May 31, 2023 as the bar date for governmental entities to file claims other than certain claims relating to opioids against the Debtors. Certain claims, including most governmental claims relating to opioids, are subject to separate bar date procedures as set forth in more detail in the Bar Date Order.</w:t>
      </w:r>
    </w:p>
    <w:p>
      <w:pPr>
        <w:spacing w:after="0" w:line="8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At the Debtors’ request, the Bankruptcy Court has appointed the FCR in the Chapter 11 Cases. As further described in the applicable Bankruptcy Court filings, the FCR represents the rights of individuals who may in the future assert one or more personal injury claims against the Debtors or a successor of the Debtors’ businesses relating to the Debtors’ opioid or transvaginal mesh, but who could not assert such claims in the Chapter 11 Cases because, among other reasons, such individuals were unaware of the alleged injury, had a latent manifestation of the alleged injury or were otherwise unable to assert or incapable of asserting claims based on the alleged injury. Although the FCR was initially appointed to represent the rights of individuals who may in the future assert one or more personal injury claims against the Debtors or a successor of the Debtors’ businesses relating to the Debtors’ ranitidine products, in August 2023 the Bankruptcy Court entered an order terminating the FCR’s appointment with respect to claims relating to the Debtors’ ranitidine products.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Since 2008, we and certain of our subsidiaries, including American Medical Systems Holdings, Inc. (AMS) (which subsequently converted to Astora Women’s Health Holdings, LLC and merged into Astora Women’s Health LLC (Astora)), have been named as defendants in multiple lawsuits in various state and federal courts in the U.S., and in the United Kingdom,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At various times from June 2013 through the Petition Date, the Company and/or certain of its subsidiaries entered into various Master Settlement Agreements (MSAs) and other agreements intended to resolve approximately 71,000 filed and unfiled U.S. mesh claims. These MSAs and other agreements were solely by way of compromise and settlement and were not an admission of liability or fault by us or any of our subsidiaries. All MSAs were subject to a process that included guidelines and procedures for administering the settlements and the release of funds. In certain cases, the MSAs provided for the creation of QSFs into which settlement funds were deposited, established participation requirements and allowed for a reduction of the total settlement payment in the event participation thresholds were not met. In certain circumstances, participation requirements or other conditions for payment were not satisfied prior to the Petition Date. Funds deposited in QSFs are considered restricted cash and/or restricted cash equivalents. Distribution of funds to any individual claimant was conditioned upon the receipt of documentation substantiating product use, the dismissal of any lawsuit and the release of the claim as to us and all affiliates. Prior to receiving funds, an individual claimant was required to represent and warrant that liens, assignment rights or other claims identified in the claims administration process have been or will be satisfied by the individual claimant. Confidentiality provisions applied to the settlement funds, amounts allocated to individual claimants and other terms of the agreements.</w:t>
      </w:r>
    </w:p>
    <w:p>
      <w:pPr>
        <w:spacing w:after="0" w:line="64" w:lineRule="exact"/>
        <w:rPr>
          <w:sz w:val="20"/>
          <w:szCs w:val="20"/>
          <w:color w:val="auto"/>
        </w:rPr>
      </w:pPr>
    </w:p>
    <w:p>
      <w:pPr>
        <w:ind w:right="420" w:firstLine="486"/>
        <w:spacing w:after="0" w:line="269" w:lineRule="auto"/>
        <w:rPr>
          <w:sz w:val="20"/>
          <w:szCs w:val="20"/>
          <w:color w:val="auto"/>
        </w:rPr>
      </w:pPr>
      <w:r>
        <w:rPr>
          <w:rFonts w:ascii="Arial" w:cs="Arial" w:eastAsia="Arial" w:hAnsi="Arial"/>
          <w:sz w:val="18"/>
          <w:szCs w:val="18"/>
          <w:color w:val="auto"/>
        </w:rPr>
        <w:t>The following table presents the changes in the mesh-related QSFs and liability accrual balances during the six months ended June 30, 2023 (in thousands):</w:t>
      </w:r>
    </w:p>
    <w:p>
      <w:pPr>
        <w:sectPr>
          <w:pgSz w:w="11900" w:h="16838" w:orient="portrait"/>
          <w:cols w:equalWidth="0" w:num="1">
            <w:col w:w="11240"/>
          </w:cols>
          <w:pgMar w:left="320" w:top="118" w:right="339" w:bottom="1440" w:gutter="0" w:footer="0" w:header="0"/>
        </w:sect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right="2680"/>
        <w:spacing w:after="0" w:line="296" w:lineRule="auto"/>
        <w:rPr>
          <w:sz w:val="20"/>
          <w:szCs w:val="20"/>
          <w:color w:val="auto"/>
        </w:rPr>
      </w:pPr>
      <w:r>
        <w:rPr>
          <w:rFonts w:ascii="Arial" w:cs="Arial" w:eastAsia="Arial" w:hAnsi="Arial"/>
          <w:sz w:val="18"/>
          <w:szCs w:val="18"/>
          <w:color w:val="auto"/>
        </w:rPr>
        <w:t>Cash distributions to settle disputes from Qualified Settlement Funds Other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Balance as of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24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Mesh Qualified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Mesh Liability</w:t>
            </w:r>
          </w:p>
        </w:tc>
      </w:tr>
      <w:tr>
        <w:trPr>
          <w:trHeight w:val="192"/>
        </w:trPr>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Settlement Funds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Accrual (1)</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222,972</w:t>
            </w:r>
          </w:p>
        </w:tc>
      </w:tr>
      <w:tr>
        <w:trPr>
          <w:trHeight w:val="241"/>
        </w:trPr>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7"/>
        </w:trPr>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223,961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7680" w:space="720"/>
            <w:col w:w="2840"/>
          </w:cols>
          <w:pgMar w:left="320" w:top="118"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hanging="329"/>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June 30, 2023 and December 31, 2022, the entire accrual is classified as Liabilities subject to compromise in the Condensed Consolidated Balance Sheets.</w:t>
      </w:r>
    </w:p>
    <w:p>
      <w:pPr>
        <w:spacing w:after="0" w:line="9" w:lineRule="exact"/>
        <w:rPr>
          <w:rFonts w:ascii="Arial" w:cs="Arial" w:eastAsia="Arial" w:hAnsi="Arial"/>
          <w:sz w:val="14"/>
          <w:szCs w:val="14"/>
          <w:color w:val="auto"/>
        </w:rPr>
      </w:pPr>
    </w:p>
    <w:p>
      <w:pPr>
        <w:ind w:left="580" w:right="220" w:hanging="329"/>
        <w:spacing w:after="0" w:line="268"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deposited in the QSFs earn interest from time to time that is reflected in the table above as an increase to the QSF and Mesh Liability Accrual balances. Subject to any restrictions on making payments as a result of the Chapter 11 Cases, such interest is generally used to pay administrative costs of the funds and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75"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As of June 30, 2023, the Company has made total cumulative mesh liability payments of approximately $3.6 billion, $50.8 million of which remains in the QSFs as of June 30, 2023. In light of the filing of petitions for relief under the Bankruptcy Code, we do not expect to make new payments under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63"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On June 29, 2023, the Company filed a motion in the Bankruptcy Court seeking: (i) confirmation that the automatic stay does not apply to certain distributions to mesh claimants under the QSFs and (ii) authorization to request the return of the QSF funds to relevant parties (the QSF Motion). On July 25, 2023, the Bankruptcy Court entered an order confirming that the automatic stay does not apply to certain distributions from QSFs for mesh claimants for whom the Company does not have a reversionary interest, as scheduled in the QSF Motion, and authorizing the Company to request the return of the QSF funds for the mesh claimants who did not object to the QSF Motion. Objecting mesh claimants will have until August 17, 2023 to file a formal objection to the QSF Motion unless otherwise agreed by the Company and such claimants.</w:t>
      </w:r>
    </w:p>
    <w:p>
      <w:pPr>
        <w:spacing w:after="0" w:line="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the Petition Date, mesh personal injury claims against AMS and Astora, in the U.S., became subject to the automatic stay applicable under the Bankruptcy Code, and stays of mesh litigation have been obtained in the United Kingdom and Australia. In certain other countries where no stay is in place, and in the event the stays in place were to be lifted, we will continue to vigorously defend any unresolved claims and to explore other options as appropriate in our best interests.</w:t>
      </w:r>
    </w:p>
    <w:p>
      <w:pPr>
        <w:spacing w:after="0" w:line="79"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4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resolution reached between the Stalking Horse Bidder and the UCC contemplates the creation and funding of a trust by the Purchaser for the benefit of certain unsecured creditors and sub-trusts established thereunder, one of which shall be established for the benefit of certain mesh claimants. Additionally, on April 13, 2023, the Stalking Horse Bidder and the FCR filed a resolution with the Bankruptcy Court that contemplates that, after the Sale, the Purchaser will establish and fund, with an aggregate amount of $0.5 million, a trust for certain future mesh claimants in exchange for certain releases to be provided to (among others) the Purchaser and Endo International plc, its subsidiaries and affiliated entities and persons. As previously noted, the Stalking Horse Bid is subject to the approval of the Bankruptcy Court and therefore there is no guarantee that the proposed sale transaction to the Purchaser, and the funding of the voluntary mesh claims-related sub-trusts (including the trusts for certain future mesh claimants) by the Purchaser, will actually occur. Additionally, similar matters to the foregoing may be brought by others or the foregoing matters may be expanded. We are unable to predict the outcome of these matters or to estimate the possible range of any additional losses that could be incurred.</w:t>
      </w:r>
    </w:p>
    <w:p>
      <w:pPr>
        <w:spacing w:after="0" w:line="5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Although the Company believes it has appropriately estimated the allowed claim amount associated with all mesh-related matters as of the date of this report, it is reasonably possible that adjustments to our overall liability accrual may be required. This could have a material adverse effect on our business, financial condition, results of operations and cash flows.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EVU, as well as various other manufacturers, distributors, pharmacies and/or others, asserting claims relating to the defendants’ alleged sales, marketing and/or distribution practices with respect to prescription opioid medications, including certain of our products. As of August 1, 2023,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are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in Alberta on behalf of a proposed class of all local or municipal governments in Canada; an action filed in Saskatchewan on behalf of a proposed class of all First Nations communities and local or municipal governments in Canada; and three additional putative class actions, filed in British Columbia, Ontario and Quebec, seeking relief on behalf of Canadian residents who were prescribed and/or consumed opioid medications.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Following the Petition Date, litigation activity against the Company and its subsidiaries ceased in nearly all pending cases as a result of the automatic stay and a November 2022 preliminary injunction order issued by the Bankruptcy Court. In June 2023, the Company requested that the Bankruptcy Court extend the preliminary injunction by a further 180 days. The Bankruptcy Court is expected to rule on the Company’s request in August 2023. A similar cessation of litigation activity is in place in Canada.</w:t>
      </w:r>
    </w:p>
    <w:p>
      <w:pPr>
        <w:spacing w:after="0" w:line="8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June 2020, the New York State Department of Financial Services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 Both the appeal and the DFS administrative matter were stayed following commencement of the Chapter 11 Cases.</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Between 2019 and the Petition Date, the Company and/or certain of its subsidiaries executed a number of settlement agreements to resolve governmental opioid claims brought by certain states, counties, cities and/or other governmental entities. Certain related developments include but are not limited to the following:</w:t>
      </w:r>
    </w:p>
    <w:p>
      <w:pPr>
        <w:spacing w:after="0" w:line="3"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September 2019, EPI, EHSI, PPI and PPCI executed a settlement agreement with two Ohio counties providing for payments totaling</w:t>
      </w:r>
    </w:p>
    <w:p>
      <w:pPr>
        <w:spacing w:after="0" w:line="20" w:lineRule="exact"/>
        <w:rPr>
          <w:rFonts w:ascii="Arial" w:cs="Arial" w:eastAsia="Arial" w:hAnsi="Arial"/>
          <w:sz w:val="17"/>
          <w:szCs w:val="17"/>
          <w:color w:val="auto"/>
        </w:rPr>
      </w:pPr>
    </w:p>
    <w:p>
      <w:pPr>
        <w:ind w:left="900"/>
        <w:spacing w:after="0" w:line="227" w:lineRule="auto"/>
        <w:rPr>
          <w:rFonts w:ascii="Arial" w:cs="Arial" w:eastAsia="Arial" w:hAnsi="Arial"/>
          <w:sz w:val="17"/>
          <w:szCs w:val="17"/>
          <w:color w:val="auto"/>
        </w:rPr>
      </w:pPr>
      <w:r>
        <w:rPr>
          <w:rFonts w:ascii="Arial" w:cs="Arial" w:eastAsia="Arial" w:hAnsi="Arial"/>
          <w:sz w:val="16"/>
          <w:szCs w:val="16"/>
          <w:color w:val="auto"/>
        </w:rPr>
        <w:t>$10 million and up to $1 million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0"/>
          <w:szCs w:val="20"/>
          <w:color w:val="auto"/>
          <w:vertAlign w:val="superscript"/>
        </w:rPr>
        <w:t>®</w:t>
      </w:r>
      <w:r>
        <w:rPr>
          <w:rFonts w:ascii="Arial" w:cs="Arial" w:eastAsia="Arial" w:hAnsi="Arial"/>
          <w:sz w:val="16"/>
          <w:szCs w:val="16"/>
          <w:color w:val="auto"/>
        </w:rPr>
        <w:t>. The settlement amount was paid during the third quarter of 2019.</w:t>
      </w:r>
    </w:p>
    <w:p>
      <w:pPr>
        <w:ind w:left="900" w:right="440" w:hanging="244"/>
        <w:spacing w:after="0" w:line="24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2020, EPI and PPI executed a settlement agreement with the state of Oklahoma providing for a payment of $8.75 million. The settlement amount was paid during the first quarter of 2020.</w:t>
      </w:r>
    </w:p>
    <w:p>
      <w:pPr>
        <w:ind w:left="900" w:right="100" w:hanging="244"/>
        <w:spacing w:after="0" w:line="28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w:t>
      </w:r>
    </w:p>
    <w:p>
      <w:pPr>
        <w:spacing w:after="0" w:line="1" w:lineRule="exact"/>
        <w:rPr>
          <w:rFonts w:ascii="Arial" w:cs="Arial" w:eastAsia="Arial" w:hAnsi="Arial"/>
          <w:sz w:val="16"/>
          <w:szCs w:val="16"/>
          <w:color w:val="auto"/>
        </w:rPr>
      </w:pPr>
    </w:p>
    <w:p>
      <w:pPr>
        <w:ind w:left="900" w:right="140" w:hanging="244"/>
        <w:spacing w:after="0" w:line="265"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September 2021, Endo International plc, EPI, EHSI, PPI and PPCI executed a settlement agreement with the state of New York and two of its counties providing for a payment of $50 million. The settlement amount was paid during the third quarter of 2021.</w:t>
      </w:r>
    </w:p>
    <w:p>
      <w:pPr>
        <w:ind w:left="900" w:hanging="244"/>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ind w:left="900" w:hanging="244"/>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w:t>
      </w:r>
    </w:p>
    <w:p>
      <w:pPr>
        <w:spacing w:after="0" w:line="1" w:lineRule="exact"/>
        <w:rPr>
          <w:rFonts w:ascii="Arial" w:cs="Arial" w:eastAsia="Arial" w:hAnsi="Arial"/>
          <w:sz w:val="18"/>
          <w:szCs w:val="18"/>
          <w:color w:val="auto"/>
        </w:rPr>
      </w:pPr>
    </w:p>
    <w:p>
      <w:pPr>
        <w:jc w:val="both"/>
        <w:ind w:left="900" w:right="100" w:hanging="244"/>
        <w:spacing w:after="0" w:line="265"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w:t>
      </w:r>
    </w:p>
    <w:p>
      <w:pPr>
        <w:ind w:left="900" w:right="100" w:hanging="244"/>
        <w:spacing w:after="0" w:line="25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was not paid as of the Petition Date and, as a result of the Chapter 11 Cases, it is not known when or if such amount will be paid.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left="900" w:right="440" w:hanging="244"/>
        <w:spacing w:after="0" w:line="25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was not paid as of the Petition Date and, as a result of the Chapter 11 Cases, it is not known when or if such amount will be paid.</w:t>
      </w:r>
    </w:p>
    <w:p>
      <w:pPr>
        <w:spacing w:after="0" w:line="2" w:lineRule="exact"/>
        <w:rPr>
          <w:rFonts w:ascii="Arial" w:cs="Arial" w:eastAsia="Arial" w:hAnsi="Arial"/>
          <w:sz w:val="18"/>
          <w:szCs w:val="18"/>
          <w:color w:val="auto"/>
        </w:rPr>
      </w:pPr>
    </w:p>
    <w:p>
      <w:pPr>
        <w:ind w:left="900" w:hanging="244"/>
        <w:spacing w:after="0" w:line="265"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an MDL common benefit fund order, the settlement amount was paid during the third quarter of 2022.</w:t>
      </w:r>
    </w:p>
    <w:p>
      <w:pPr>
        <w:ind w:left="900" w:right="80" w:hanging="244"/>
        <w:spacing w:after="0" w:line="25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ind w:left="900" w:right="40" w:hanging="244"/>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was not paid as of the Petition Date and, as a result of the Chapter 11 Cases, it is not known when or if such amount will be paid.</w:t>
      </w:r>
    </w:p>
    <w:p>
      <w:pPr>
        <w:spacing w:after="0" w:line="82"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settlement agreements provided for the creation of QSFs, the repayment of some or all of the settlement amount under certain conditions and/or additional payments in the event certain conditions were met.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Certain of the settlement agreements described above provide for injunctive relief. The RSA also provides for certain voluntary injunctive terms that bind the Debtors during the course of the bankruptcy proceedings and would apply to any purchaser of our opioid business in conjunction with the bankruptcy proceedings. The Bankruptcy Court also approved certain injunctive terms in connection with its November 2022 preliminary injunction against the continued litigation of opioid actions brought by public plaintiffs.</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Stalking Horse Bid provides for the establishment by the Purchaser of voluntary opioid trusts for the benefit of certain public, tribal and private present and future opioid claimants in exchange for certain releases to be provided to (among others) the Purchaser and Endo International plc, its subsidiaries and affiliated entities and persons. In particular, under the RSA (as amended), the opioid trusts would distribute up to a total of $611 million over ten years to eligible claimants that opt into the trusts by specified participation deadlines. Under the proposed public claimant opioid trust, states which previously entered into settlement agreements and received payments from us may elect to participate in the trust. In doing so, those states would agree to return the amounts previously received under the prior settlement agreement(s), net of the amounts allocated to them by the trust, and would receive in return a release from any claim for the return of settlement funds under the applicable section of the Bankruptcy Code. The Debtors would have no obligation or liability with respect to the voluntary trusts, which would be funded exclusively by the Purchaser following the consummation of the Sale. As previously noted, the Sale to the Stalking Horse Bidder is subject to the approval of the Bankruptcy Court and therefore there is no guarantee that the proposed sale transaction to the Purchaser, and the funding of the voluntary opioid trusts by the Purchaser (including the trusts for certain future opioid claimants), will actually occur.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Although the proposed voluntary opioid trusts would be funded by the Purchaser, and not by the Company or any of its subsidiaries, we previously concluded that the proposed funding amount in the Stalking Horse Bid represented the best estimate of the allowed claims related to the contingencies associated with various opioid claims against the Company and its subsidiaries. As such, during the third quarter of 2022, we recorded charges of approximately $419 million to adjust our aggregate opioid liability accrual to approximately $550 million based on the terms set forth in the public opioid trust term sheet attached to the original RSA. In March 2023, the Ad Hoc First Lien Group (and Stalking Horse Bidder) reached certain resolutions in principle with both the UCC and OCC appointed in the Chapter 11 Cases and certain ad hoc groups of debtholders. These resolutions, documented in the stipulation filed with the Bankruptcy Court on March 24, 2023 (and discussed in additional detail under “Resolutions in the Chapter 11 Cases” in Note 2. Bankruptcy Proceedings), are supported by the Debtors. The resolutions include, among other things, a $34 million increase to the funding amount for the proposed voluntary private opioid trust. In addition, the Ad Hoc First Lien Group agreed to a $15 million increase to the funding amount for the proposed voluntary public opioid trust. The agreement to increase the funding amount for the proposed voluntary private opioid trust was announced prior to the filing of the Annual Report; accordingly, we recorded an additional charge of $34 million in the fourth quarter of 2022 to increase our aggregate opioid liability accrual to approximately $584 million. The agreement to increase the funding amount for the proposed voluntary public opioid trust was not announced until after the filing of the Annual Report. Therefore, we recorded an additional charge of $15 million in the first quarter of 2023 to increase our aggregate opioid liability accrual to approximately $599 million. On July 13, 2023, the Stalking Horse Bidder and the FCR filed with the Bankruptcy Court both a term sheet for a proposed resolution among such parties (the FCR Term Sheet) and an amended term sheet for the proposed voluntary private opioid trust. The resolution with the FCR provides that, in exchange for certain releases to be provided to (among others) the Purchaser and the Company and its affiliates, the Purchaser will agree to fund a trust of $11.5 million to be established for the benefit of certain future opioid claimants. The amended term sheet for the proposed voluntary private opioid trust provides for a $0.5 million increase to the funding amount for the proposed voluntary private opioid trust. Accordingly, we recorded an additional charge of $12 million in the second quarter of 2023 to increase our aggregate opioid liability to approximately $611 million. The Company believes this modified proposed funding amount represents the best estimate of the allowed claims related to the contingencies associated with various opioid claims against the Company and its subsidiaries. Certain interested parties, including the U.S. Department of Justice (DOJ), continue to engage in the mediation in an effort to resolve their claims and/or objections relating to the sale process. The ongoing mediation, which is currently extended to August 14, 2023, could result in additional valuations or estimates in the future that may result in further adjustments to our estimated aggregate opioid liability accrual, which could be material.</w:t>
      </w:r>
    </w:p>
    <w:p>
      <w:pPr>
        <w:spacing w:after="0" w:line="6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To the extent unresolved, and in the event stays in place were to be lifted, we will continue to vigorously defend the foregoing matters and to explore other options as appropriate in our best interests, which may include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3" w:lineRule="exact"/>
        <w:rPr>
          <w:sz w:val="20"/>
          <w:szCs w:val="20"/>
          <w:color w:val="auto"/>
        </w:rPr>
      </w:pPr>
    </w:p>
    <w:p>
      <w:pPr>
        <w:ind w:left="900" w:right="260" w:hanging="244"/>
        <w:spacing w:after="0" w:line="265"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Various state attorneys general have served subpoenas and/or CIDs on EHSI and/or EPI. Some of these state attorneys general subsequently filed lawsuits against the Company and/or its subsidiaries and/or have indicated their support for the opioid trusts described above. To the extent any state attorney general investigations are continuing, we are cooperating with them.</w:t>
      </w:r>
    </w:p>
    <w:p>
      <w:pPr>
        <w:ind w:left="900" w:right="260" w:hanging="244"/>
        <w:spacing w:after="0" w:line="22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January 2018, EPI received a federal grand jury subpoena from the U.S. District Court for the Southern District of Florida seeking documents and information related to OPANA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ER, other oxymorphone products and marketing of opioid medications. We are cooperating with the investigation.</w:t>
      </w:r>
    </w:p>
    <w:p>
      <w:pPr>
        <w:ind w:left="900" w:right="480" w:hanging="244"/>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82"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Similar investigations may be brought by others or the foregoing matters may be expanded or result in litigation. We are unable to predict the outcome of these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June 2020, an MDL pending in the U.S. District Court for the Southern District of Florida, </w:t>
      </w:r>
      <w:r>
        <w:rPr>
          <w:rFonts w:ascii="Arial" w:cs="Arial" w:eastAsia="Arial" w:hAnsi="Arial"/>
          <w:sz w:val="17"/>
          <w:szCs w:val="17"/>
          <w:i w:val="1"/>
          <w:iCs w:val="1"/>
          <w:color w:val="auto"/>
        </w:rPr>
        <w:t>In re Zantac (Ranitidine) Products Liability Litigation</w:t>
      </w:r>
      <w:r>
        <w:rPr>
          <w:rFonts w:ascii="Arial" w:cs="Arial" w:eastAsia="Arial" w:hAnsi="Arial"/>
          <w:sz w:val="17"/>
          <w:szCs w:val="17"/>
          <w:color w:val="auto"/>
        </w:rPr>
        <w:t>, was expanded to add PPI and numerous other manufacturers and distributors of generic ranitidine as defendants. The claims are generally based on allegations that under certain conditions the active ingredient in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a third-party payer pursuing class action claims, appealed the dismissal orders. PPI was dismissed from the third-party payer appeal in September 2022. In November 2022, the U.S. Court of Appeals for the Eleventh Circuit affirmed the dismissal of the third-party payer complaint and dismissed the other appeals on procedural grounds.</w:t>
      </w:r>
    </w:p>
    <w:p>
      <w:pPr>
        <w:spacing w:after="0" w:line="53"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At various times thereafter, certain MDL plaintiffs appealed the July 2021 dismissal order and/or the November 2021 judgment. These appeals generally remain pending, although PPI has been dismissed from certain of them.</w:t>
      </w:r>
    </w:p>
    <w:p>
      <w:pPr>
        <w:spacing w:after="0" w:line="70" w:lineRule="exact"/>
        <w:rPr>
          <w:sz w:val="20"/>
          <w:szCs w:val="20"/>
          <w:color w:val="auto"/>
        </w:rPr>
      </w:pPr>
    </w:p>
    <w:p>
      <w:pPr>
        <w:jc w:val="both"/>
        <w:ind w:right="280" w:firstLine="486"/>
        <w:spacing w:after="0" w:line="286" w:lineRule="auto"/>
        <w:rPr>
          <w:sz w:val="20"/>
          <w:szCs w:val="20"/>
          <w:color w:val="auto"/>
        </w:rPr>
      </w:pPr>
      <w:r>
        <w:rPr>
          <w:rFonts w:ascii="Arial" w:cs="Arial" w:eastAsia="Arial" w:hAnsi="Arial"/>
          <w:sz w:val="17"/>
          <w:szCs w:val="17"/>
          <w:color w:val="auto"/>
        </w:rPr>
        <w:t>In December 2022, the MDL court granted summary judgment in favor of certain remaining defendants with respect to five “designated cancers” (bladder, esophageal, gastric, liver and pancreatic), holding that plaintiffs had failed to provide sufficient evidence of causation. Various MDL plaintiffs subsequently appealed this order. Voluntary motions to dismiss PPI are pending in certain of those appeals.</w:t>
      </w:r>
    </w:p>
    <w:p>
      <w:pPr>
        <w:spacing w:after="0" w:line="5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On May 15, 2023, the MDL court issued orders extending its December 2022 summary judgment ruling to all MDL defendants. In July 2023, the MDL court entered an order dismissing plaintiffs’ non-designated cancer claims for failure to produce expert reports, as well as a tentative order that would enter final judgments in all cases asserting designated-cancer claims in which judgment had not previously been entered.</w:t>
      </w:r>
    </w:p>
    <w:p>
      <w:pPr>
        <w:spacing w:after="0" w:line="57"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In July 2022, claimants alleging non-designated cancer claims were “exited” from the MDL census registry. Some of these claimants subsequently filed lawsuits in various courts. Following the MDL court’s December 2022 summary judgment order, the MDL court closed the census registry, and the registry-related tolling of the statute of limitations for registry participants remaining in the census registry at the time of its closure expired in April 2023.</w:t>
      </w:r>
    </w:p>
    <w:p>
      <w:pPr>
        <w:spacing w:after="0" w:line="4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of the Petition Date, the claims against PPI (including new complaints and related appeals) became subject to the automatic stay; PPI was subsequently voluntarily dismissed from several pending matters, including the appeal from the MDL court’s dismissal of the third-party payer class action complaint.</w:t>
      </w:r>
    </w:p>
    <w:p>
      <w:pPr>
        <w:spacing w:after="0" w:line="76"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In the event the stays in place were to be lifted, we will continue to vigorously defend the foregoing matters and to explore other options as appropriate in our best interests.</w:t>
      </w:r>
    </w:p>
    <w:p>
      <w:pPr>
        <w:spacing w:after="0" w:line="6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resolution reached between the Stalking Horse Bidder and the UCC contemplates the creation and funding by the Purchaser of a trust for the benefit of certain unsecured creditors and sub-trusts established thereunder, one of which shall be established for the benefit of certain ranitidine claimants. As previously noted, the Stalking Horse Bid is subject to the approval of the Bankruptcy Court and therefore there is no guarantee that the proposed sale transaction to the Purchaser, and the funding of the voluntary ranitidine claims-related sub-trust by the Purchaser, will actually occur. Additionally, similar matters to the foregoing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58"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various complaints and amended complaints generally assert claims under federal and/or state antitrust law, state consumer protection statutes and/or state common law, and generally seek damages, treble damages, civil penalties, disgorgement, declaratory and injunctive relief, costs and attorneys’ fees. Some claims are based on alleged product-specific conspiracies; other claims allege broader, multiple-product conspiracies. Under their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5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in whole or in part, and discovery is ongoing.</w:t>
      </w:r>
    </w:p>
    <w:p>
      <w:pPr>
        <w:spacing w:after="0" w:line="6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 of the Petition Date, the claims against the Company and its subsidiaries in the U.S. became subject to the automatic stay. A similar cessation of litigation activity is in place in Canada.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8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7"/>
          <w:szCs w:val="17"/>
          <w:color w:val="auto"/>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(digoxin) oral tablets and generic doxycycline products, and on communications with competitors and others regarding those products. We are cooperating with the investigation.</w:t>
      </w:r>
    </w:p>
    <w:p>
      <w:pPr>
        <w:spacing w:after="0" w:line="8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U.S.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resolution reached between the Stalking Horse Bidder and the UCC contemplates the creation and funding by the Purchaser of a trust for the benefit of certain unsecured creditors and sub-trusts established thereunder, one of which shall be established for the benefit of certain holders of generic drug pricing claims. As previously noted, the Stalking Horse Bid is subject to the approval of the Bankruptcy Court and therefore there is no guarantee that the proposed sale transaction to the Purchaser, and the funding of the voluntary generic drug pricing claims-related sub-trust by the Purchaser, will actually occur. Additionally, similar investigations to the foregoing may be brought by others or the foregoing matters may be expanded or result in litigation.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2" w:lineRule="exact"/>
        <w:rPr>
          <w:sz w:val="20"/>
          <w:szCs w:val="20"/>
          <w:color w:val="auto"/>
        </w:rPr>
      </w:pPr>
    </w:p>
    <w:p>
      <w:pPr>
        <w:ind w:right="40" w:firstLine="486"/>
        <w:spacing w:after="0" w:line="281"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sued our subsidiaries EHSI and EPI; Penwest Pharmaceuticals Co. (Penwest), which our subsidiary EPI had acquired; and Impax Laboratories, LLC (formerly Impax Laboratories, Inc. and referred to herein as Impax), alleging among other things violations of antitrust law arising out of an agreement between EPI and Impax to settle certain patent infringement litigation. Some cases were filed on behalf of putative classes of direct and indirect purchasers; others were non-class action suits. The cases were consolidated and/or coordinated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the district court amended its class certification order to certify a narrower end-payer class. Trial on all plaintiffs’ claims began in June 2022. In July 2022, the jury returned a verdict in favor of EHSI, EPI and Penwest (Impax settled during trial). Later that month, plaintiffs filed a motion for judgment as a matter of law or in the alternative for a new trial. As of the Petition Date, the matter became subject to the automatic stay.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1.62%. In July 2018, the court denied certain plaintiffs’ motion for certification of a direct purchaser class. Between November 2019 and April 2021, PPI and PPCI entered into settlement agreements with all of the plaintiffs remaining in the MDL. The settlement agreements were solely by way of compromise and settlement and were not in any way an admission of wrongdoing, fault or liability of any kind. Separately, in August 2019, several alleged direct purchasers filed suit against PPI and other pharmaceutical companies in the U.S. District Court for the Eastern District of Pennsylvania asserting claims substantially similar to those asserted in the MDL, as well as additional claims against other defendants relating to other alleged conduct. As of the Petition Date, the claims against PPI became subject to the automatic stay.</w:t>
      </w:r>
    </w:p>
    <w:p>
      <w:pPr>
        <w:spacing w:after="0" w:line="70" w:lineRule="exact"/>
        <w:rPr>
          <w:sz w:val="20"/>
          <w:szCs w:val="20"/>
          <w:color w:val="auto"/>
        </w:rPr>
      </w:pPr>
    </w:p>
    <w:p>
      <w:pPr>
        <w:ind w:right="80" w:firstLine="486"/>
        <w:spacing w:after="0" w:line="280"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As of the Petition Date, the claims against PPI became subject to the automatic stay. In January 2023, certain direct purchaser plaintiffs dismissed their claims against PPI, EPI and us with prejudice and, in February 2023, certain indirect purchaser plaintiffs agreed to do the same. In July 2023, the court dismissed the remaining claims filed against PPI, EPI and us.</w:t>
      </w:r>
    </w:p>
    <w:p>
      <w:pPr>
        <w:spacing w:after="0" w:line="68" w:lineRule="exact"/>
        <w:rPr>
          <w:sz w:val="20"/>
          <w:szCs w:val="20"/>
          <w:color w:val="auto"/>
        </w:rPr>
      </w:pPr>
    </w:p>
    <w:p>
      <w:pPr>
        <w:ind w:right="60" w:firstLine="486"/>
        <w:spacing w:after="0" w:line="280"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August 2020, the litigation was transferred to the U.S. District Court for the District of Delaware. In July 2022, the court dismissed certain claims asserted under state law but otherwise denied defendants’ motions to dismiss. As of the Petition Date, the claims against PPI became subject to the automatic stay.</w:t>
      </w:r>
    </w:p>
    <w:p>
      <w:pPr>
        <w:spacing w:after="0" w:line="66"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Beginning in June 2020, multiple complaints were filed against Jazz Pharmaceuticals (Jazz) and other pharmaceutical companies, including PPI, alleging violations of state and/or federal antitrust laws in connection with the settlement of certain patent litigation concerning generic versions of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Aetna Inc. (Aetna) filed a similar case in May 2022 in California state court. The various complaints allege that Jazz entered into a series of “reverse-payment” settlements, including with PPI, to delay generic competition for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In July 2022, PPI, among others, filed a motion to quash the Aetna action for lack of personal jurisdiction; the defendants also filed a demurrer, motion to strike and motion to stay Aetna’s action. As of the Petition Date, the claims against PPI became subject to the automatic stay. In December 2022, the California state court overseeing the Aetna action granted the motion to quash for lack of personal jurisdiction and, in January 2023, Aetna filed an amended complaint that did not name PPI as a defendant.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0" w:lineRule="auto"/>
        <w:rPr>
          <w:sz w:val="20"/>
          <w:szCs w:val="20"/>
          <w:color w:val="auto"/>
        </w:rPr>
      </w:pPr>
      <w:r>
        <w:rPr>
          <w:rFonts w:ascii="Arial" w:cs="Arial" w:eastAsia="Arial" w:hAnsi="Arial"/>
          <w:sz w:val="16"/>
          <w:szCs w:val="16"/>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(colchicine). In particular, the complaint alleged, among other things, that a distribution agreement between Takeda and PPI, with respect to an authorized generic, was in effect an output restriction conspiracy; the plaintiffs asserted claims under Section 1 and Section 2 of the Sherman Act and sought damages, treble damages and attorneys’ fees and costs. In November 2021, the plaintiffs dismissed all claims against EPI and in December 2021, the court dismissed the complaint for failure to state a claim. In January 2022, the plaintiffs filed an amended complaint. In February 2022, the defendants filed a motion to dismiss the amended complaint, which the court granted in part and denied in part in March 2022. As of the Petition Date, the claims against PPI became subject to the automatic stay. In September 2022, the plaintiffs voluntarily dismissed all claims against PPI with prejudice, and PPI agreed to provide certain limited discovery as a non-party. In March 2023, the court denied the plaintiffs’ motion for class certification. In April 2023, the court authorized the filing of an amended complaint adding certain additional plaintiffs and combining the litigation with the proceedings from which PPI was dismissed. The amended complaint names PPI as a defendant. Such claims against PPI are subject to the automatic stay.</w:t>
      </w:r>
    </w:p>
    <w:p>
      <w:pPr>
        <w:spacing w:after="0" w:line="69"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 Briefing on the appeal has concluded and oral argument took place in May 2023. The appeal is pending.</w:t>
      </w:r>
    </w:p>
    <w:p>
      <w:pPr>
        <w:spacing w:after="0" w:line="8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To the extent unresolved, and in the event the stays in place were to be lifted, we will continue to vigorously defend the foregoing matters and to explore other options as appropriate in our best interests. The resolution reached between the Stalking Horse Bidder and the UCC contemplates the creation and funding by the Purchaser of a trust for the benefit of certain unsecured creditors and sub-trusts established thereunder, one of which shall be established for the benefit of certain antitrust claimants. As previously noted, the Stalking Horse Bid is subject to the approval of the Bankruptcy Court and therefore there is no guarantee that the proposed sale transaction to the Purchaser, and the funding of the voluntary antitrust claims-related sub-trust by the Purchaser, will actually occur. Additionally, similar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In June 2020, a putative class action entitled </w:t>
      </w:r>
      <w:r>
        <w:rPr>
          <w:rFonts w:ascii="Arial" w:cs="Arial" w:eastAsia="Arial" w:hAnsi="Arial"/>
          <w:sz w:val="18"/>
          <w:szCs w:val="18"/>
          <w:i w:val="1"/>
          <w:iCs w:val="1"/>
          <w:color w:val="auto"/>
        </w:rPr>
        <w:t>Benoit Albiges v. Endo International plc, Paul V. Campanelli, Blaise Coleman, and Mark T. Bradley</w:t>
      </w:r>
      <w:r>
        <w:rPr>
          <w:rFonts w:ascii="Arial" w:cs="Arial" w:eastAsia="Arial" w:hAnsi="Arial"/>
          <w:sz w:val="18"/>
          <w:szCs w:val="18"/>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DFS’s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 As of the Petition Date, the claims against the Company became subject to the automatic stay. In August 2022, the court granted the motion and dismissed the case with prejudice. Due to the automatic stay, the plaintiffs’ time to appeal the dismissal as to the Company is tolled. The automatic stay does not apply to the individual defendants, and the plaintiffs’ time to appeal the ruling as to those defendants has run.</w:t>
      </w:r>
    </w:p>
    <w:p>
      <w:pPr>
        <w:spacing w:after="0" w:line="84"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Similar matters may be brought by others. We are unable to predict the outcome of any such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Miscellaneous Government Investigations</w:t>
      </w:r>
    </w:p>
    <w:p>
      <w:pPr>
        <w:spacing w:after="0" w:line="117" w:lineRule="exact"/>
        <w:rPr>
          <w:sz w:val="20"/>
          <w:szCs w:val="20"/>
          <w:color w:val="auto"/>
        </w:rPr>
      </w:pPr>
    </w:p>
    <w:p>
      <w:pPr>
        <w:ind w:right="120" w:firstLine="486"/>
        <w:spacing w:after="0" w:line="281" w:lineRule="auto"/>
        <w:rPr>
          <w:sz w:val="20"/>
          <w:szCs w:val="20"/>
          <w:color w:val="auto"/>
        </w:rPr>
      </w:pPr>
      <w:r>
        <w:rPr>
          <w:rFonts w:ascii="Arial" w:cs="Arial" w:eastAsia="Arial" w:hAnsi="Arial"/>
          <w:sz w:val="17"/>
          <w:szCs w:val="17"/>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VANTAS</w:t>
      </w:r>
      <w:r>
        <w:rPr>
          <w:rFonts w:ascii="Arial" w:cs="Arial" w:eastAsia="Arial" w:hAnsi="Arial"/>
          <w:sz w:val="22"/>
          <w:szCs w:val="22"/>
          <w:color w:val="auto"/>
          <w:vertAlign w:val="superscript"/>
        </w:rPr>
        <w:t>®</w:t>
      </w:r>
      <w:r>
        <w:rPr>
          <w:rFonts w:ascii="Arial" w:cs="Arial" w:eastAsia="Arial" w:hAnsi="Arial"/>
          <w:sz w:val="17"/>
          <w:szCs w:val="17"/>
          <w:color w:val="auto"/>
        </w:rPr>
        <w:t>, for unapproved uses. We are cooperating with the investigation.</w:t>
      </w:r>
    </w:p>
    <w:p>
      <w:pPr>
        <w:spacing w:after="0" w:line="2"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Similar investigations may be brought by others or the foregoing matter may be expanded or result in litigation. We are unable to predict the outcome of this matter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Patent Matters</w:t>
      </w:r>
    </w:p>
    <w:p>
      <w:pPr>
        <w:spacing w:after="0" w:line="117" w:lineRule="exact"/>
        <w:rPr>
          <w:sz w:val="20"/>
          <w:szCs w:val="20"/>
          <w:color w:val="auto"/>
        </w:rPr>
      </w:pPr>
    </w:p>
    <w:p>
      <w:pPr>
        <w:ind w:right="60" w:firstLine="486"/>
        <w:spacing w:after="0" w:line="236" w:lineRule="auto"/>
        <w:rPr>
          <w:sz w:val="20"/>
          <w:szCs w:val="20"/>
          <w:color w:val="auto"/>
        </w:rPr>
      </w:pPr>
      <w:r>
        <w:rPr>
          <w:rFonts w:ascii="Arial" w:cs="Arial" w:eastAsia="Arial" w:hAnsi="Arial"/>
          <w:sz w:val="18"/>
          <w:szCs w:val="18"/>
          <w:color w:val="auto"/>
        </w:rPr>
        <w:t>In March 2022, PSP LLC, PPI and Endo Par Innovation Company, LLC (EPIC) received a notice letter from Cipla Limited (Cipla) advising of its filing of an Abbreviated New Drug Application (ANDA)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injection) for IV use 40 units/100 ml and 60 units/100 ml. In May 2022, PSP LLC, PPI and EPIC filed a complaint against Cipla in the U.S. District Court for the District of New Jersey, which triggered a 30-month stay of U.S. Food and Drug Administration (FDA) approval of Cipla’s ANDA; that stay expires in September 2024. In January 2023, PSP LLC, PPI and EPIC received another notice letter from Cipla advising of its ANDA filing for a generic version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injection) for IV use 20 units/100 ml. In February 2023, PSP LLC, PPI and EPIC filed a complaint against Cipla concerning this ANDA in the U.S. District Court for the District of New Jersey. The 30-month stay on FDA approval of Cipla’s 20 units/100 ml ANDA expires in July 2025. Both lawsuits against Cipla have been consolidated to the same schedule.</w:t>
      </w:r>
    </w:p>
    <w:p>
      <w:pPr>
        <w:spacing w:after="0" w:line="95"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In January 2023, PSP LLC, PPI and EPIC received a notice letter from Baxter Healthcare Corporation (Baxter) pursuant to 505(b)(3)(B)-(D) of the U.S. Federal Food, Drug, and Cosmetic Act of its New Drug Application (NDA) submitted under 21 U.S.C. §355(b)(2) seeking FDA approval for vasopressin injection products in 20 units/100 ml and 40 units/100 ml strengths. In March 2023, PSP LLC, PPI and EPIC filed a complaint against Baxter in the U.S. District Court for the District of Delaware asserting infringement of three patents. These patents are not listed in the Approved Drug Products with Therapeutic Equivalence Evaluations (Orange Book); therefore, the patent infringement suit does not trigger a 30-month stay on FDA approval of Baxter’s NDA. Baxter’s answer to the complaint is due in August 2023.</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6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in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COMPREHENSIVE INCOME (LOSS)</w:t>
      </w:r>
    </w:p>
    <w:p>
      <w:pPr>
        <w:spacing w:after="0" w:line="121"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During the three months ended June 30, 2023 and 2022, there were no tax effects allocated to any component of Other comprehensive income (loss) and there were no reclassifications out of Accumulated other comprehensive loss. Substantially all of the Company’s Accumulated other comprehensive loss balances at June 30, 2023 and December 31, 2022 consist of Foreign currency translation loss.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33"/>
              <w:spacing w:after="0"/>
              <w:rPr>
                <w:sz w:val="20"/>
                <w:szCs w:val="20"/>
                <w:color w:val="auto"/>
              </w:rPr>
            </w:pPr>
            <w:r>
              <w:rPr>
                <w:rFonts w:ascii="Arial" w:cs="Arial" w:eastAsia="Arial" w:hAnsi="Arial"/>
                <w:sz w:val="14"/>
                <w:szCs w:val="14"/>
                <w:b w:val="1"/>
                <w:bCs w:val="1"/>
                <w:color w:val="auto"/>
              </w:rPr>
              <w:t>Euro Deferred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Ordinary Shares</w:t>
            </w:r>
          </w:p>
        </w:tc>
        <w:tc>
          <w:tcPr>
            <w:tcW w:w="120" w:type="dxa"/>
            <w:vAlign w:val="bottom"/>
          </w:tcPr>
          <w:p>
            <w:pPr>
              <w:spacing w:after="0"/>
              <w:rPr>
                <w:sz w:val="14"/>
                <w:szCs w:val="14"/>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Deficit</w:t>
            </w:r>
          </w:p>
        </w:tc>
        <w:tc>
          <w:tcPr>
            <w:tcW w:w="1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 Other</w:t>
            </w:r>
          </w:p>
        </w:tc>
        <w:tc>
          <w:tcPr>
            <w:tcW w:w="1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BALANCE, DECEMBER 31,</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8,969,322</w:t>
            </w:r>
          </w:p>
        </w:tc>
        <w:tc>
          <w:tcPr>
            <w:tcW w:w="36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(12,904,620)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(226,941)</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(4,162,172)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MARCH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(12,907,899)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(4,153,605)</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8,980,561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(12,884,461)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(4,127,275)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Euro Deferred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5"/>
              </w:rPr>
              <w:t>Ordinary Shares</w:t>
            </w:r>
          </w:p>
        </w:tc>
        <w:tc>
          <w:tcPr>
            <w:tcW w:w="120" w:type="dxa"/>
            <w:vAlign w:val="bottom"/>
          </w:tcPr>
          <w:p>
            <w:pPr>
              <w:spacing w:after="0"/>
              <w:rPr>
                <w:sz w:val="14"/>
                <w:szCs w:val="14"/>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Additional Paid-in</w:t>
            </w:r>
          </w:p>
        </w:tc>
        <w:tc>
          <w:tcPr>
            <w:tcW w:w="10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Accumulated Deficit</w:t>
            </w:r>
          </w:p>
        </w:tc>
        <w:tc>
          <w:tcPr>
            <w:tcW w:w="1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 Other</w:t>
            </w:r>
          </w:p>
        </w:tc>
        <w:tc>
          <w:tcPr>
            <w:tcW w:w="1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BALANCE, DECEMBER 31,</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8,953,906</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(9,981,515)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(216,445)</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(1,243,986)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(71,974)</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5"/>
                <w:szCs w:val="15"/>
                <w:color w:val="auto"/>
              </w:rPr>
            </w:pPr>
          </w:p>
        </w:tc>
        <w:tc>
          <w:tcPr>
            <w:tcW w:w="1180" w:type="dxa"/>
            <w:vAlign w:val="bottom"/>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Tax withholding for restricted</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8,956,973</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(10,053,489)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(214,550)</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(1,310,998)</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(1,885,427)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(1,885,427)</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line="189"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(11,938,916)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(3,198,072)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On March 3, 2023, in connection with the Company’s ongoing bankruptcy proceedings, the Company took action to reject all outstanding award agreements associated with stock options and stock awards. In connection with the rejection of these agreements, the Company recorded a charge of approximately $9.2 million during the first quarter of 2023 to recognize all remaining unrecognized compensation cost associated with these agreements. The Company recognized share-based compensation expense, inclusive of the charge described above, of $11.2 million during the six months ended June 30, 2023, and $2.7 million and $7.7 million during the three and six months ended June 30, 2022,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EXPENSE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expense (income), net for the three and six months ended June 30, 2023 and 2022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loss (gain), net (2)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(gain) loss from our investments in the equity of other companies (3)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primarily relate to the sales of certain intellectual property rights and certain other assets.</w:t>
      </w:r>
    </w:p>
    <w:p>
      <w:pPr>
        <w:spacing w:after="0" w:line="14" w:lineRule="exact"/>
        <w:rPr>
          <w:rFonts w:ascii="Arial" w:cs="Arial" w:eastAsia="Arial" w:hAnsi="Arial"/>
          <w:sz w:val="14"/>
          <w:szCs w:val="14"/>
          <w:color w:val="auto"/>
        </w:rPr>
      </w:pPr>
    </w:p>
    <w:p>
      <w:pPr>
        <w:ind w:left="580" w:hanging="329"/>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4" w:lineRule="exact"/>
        <w:rPr>
          <w:rFonts w:ascii="Arial" w:cs="Arial" w:eastAsia="Arial" w:hAnsi="Arial"/>
          <w:sz w:val="14"/>
          <w:szCs w:val="14"/>
          <w:color w:val="auto"/>
        </w:rPr>
      </w:pPr>
    </w:p>
    <w:p>
      <w:pPr>
        <w:ind w:left="580" w:hanging="329"/>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 displays our Income (loss) from continuing operations before income tax, Income tax expense and Effective tax rate for the three and six months ended June 30, 2023 and 2022 (dollars in thousands):</w:t>
      </w: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34,290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(1,873,732)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37,240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(1,940,847)</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10,279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7,151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16,052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5,336</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r>
    </w:tbl>
    <w:p>
      <w:pPr>
        <w:spacing w:after="0" w:line="18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change in Income tax expense for the three and six months ended June 30, 2023 compared to the prior year periods primarily relate to an increase in accrued interest on uncertain tax positions, 2022 discrete tax benefit related to Canadian uncertain tax positions and changes in the geographic mix of pre-tax earnings.</w:t>
      </w:r>
    </w:p>
    <w:p>
      <w:pPr>
        <w:spacing w:after="0" w:line="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4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Ireland and certain other foreign tax jurisdictions as of June 30, 2023.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8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connection with the IRS’s examination of our 2015 Return, on December 31, 2020, the IRS issued a Technical Advice Memorandum (TAM) regarding the portion of our 2015 net operating loss (NOL) that we believe qualifies as a specified product liability loss (SLL). The TAM concurred in part with our positions on the 2015 Return but disagreed with our position that the AMS worthless stock loss qualifies as an SLL. In April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Bankruptcy-Related Developments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connection with our ongoing bankruptcy proceedings, the IRS has filed multiple proofs of claim against several of the Debtors. The total amount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initial claims filed by the IRS, which relate to tax years ended 2006 through 2014, 2016 through 2018 and 2020 through 2021, is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$18.7 billion. The IRS amended its proof of claims on May 30, 2023 and increased the total amount to approximately $20 billion. A number of the amended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claims are in respect of the same proposed tax liability but are filed against multiple subsidiary members of our U.S. consolidated tax groups.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excluding the repetitive claims filed to different members of our U.S. consolidated tax groups, the amended net claims total approximately $4 billion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IRS’s initial net claim amount was approximately $2.6 billion). In general, the claims primarily relate to the IRS’s challenges of our historic tax positions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certain intercompany arrangements, including the level of profit earned by our U.S. subsidiaries pursuant to such arrangements, and a product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carryback claim. We disagree with the IRS’s amended claims and, if necessary, intend to contest any additional tax determined to be owed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NET INCOME (LOSS) PER SHARE</w:t>
      </w:r>
    </w:p>
    <w:p>
      <w:pPr>
        <w:spacing w:after="0" w:line="121" w:lineRule="exact"/>
        <w:rPr>
          <w:sz w:val="20"/>
          <w:szCs w:val="20"/>
          <w:color w:val="auto"/>
        </w:rPr>
      </w:pPr>
    </w:p>
    <w:p>
      <w:pPr>
        <w:ind w:right="400" w:firstLine="486"/>
        <w:spacing w:after="0" w:line="269" w:lineRule="auto"/>
        <w:rPr>
          <w:sz w:val="20"/>
          <w:szCs w:val="20"/>
          <w:color w:val="auto"/>
        </w:rPr>
      </w:pPr>
      <w:r>
        <w:rPr>
          <w:rFonts w:ascii="Arial" w:cs="Arial" w:eastAsia="Arial" w:hAnsi="Arial"/>
          <w:sz w:val="18"/>
          <w:szCs w:val="18"/>
          <w:color w:val="auto"/>
        </w:rPr>
        <w:t>The following is a reconciliation of the numerator and denominator of basic and diluted net income (loss) per share for the three and six months ended June 30, 2023 and 2022 (in thousands):</w:t>
      </w: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5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24,011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(1,880,883)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21,188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(1,946,183)</w:t>
            </w: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(1,885,427)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(1,957,401)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7"/>
        </w:trPr>
        <w:tc>
          <w:tcPr>
            <w:tcW w:w="5480" w:type="dxa"/>
            <w:vAlign w:val="bottom"/>
          </w:tcPr>
          <w:p>
            <w:pPr>
              <w:ind w:left="140"/>
              <w:spacing w:after="0"/>
              <w:rPr>
                <w:sz w:val="20"/>
                <w:szCs w:val="20"/>
                <w:color w:val="auto"/>
              </w:rPr>
            </w:pPr>
            <w:r>
              <w:rPr>
                <w:rFonts w:ascii="Arial" w:cs="Arial" w:eastAsia="Arial" w:hAnsi="Arial"/>
                <w:sz w:val="18"/>
                <w:szCs w:val="18"/>
                <w:color w:val="auto"/>
              </w:rPr>
              <w:t>For basic per share data—weighted average shares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235,220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234,498</w:t>
            </w:r>
          </w:p>
        </w:tc>
      </w:tr>
      <w:tr>
        <w:trPr>
          <w:trHeight w:val="236"/>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ordinary share equivalents</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For diluted per share data—weighted average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235,662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234,498</w:t>
            </w: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dilutive effect of ordinary share equivalents, if any, is measured using the treasury stock method.</w:t>
      </w:r>
    </w:p>
    <w:p>
      <w:pPr>
        <w:spacing w:after="0" w:line="11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presents, for the three and six months ended June 30, 2022, outstanding stock options and stock awards that could potentially dilute per share amounts in the future that were not included in the computation of diluted per share amounts because to do so would have been antidilutive (in thousands):</w:t>
      </w:r>
    </w:p>
    <w:tbl>
      <w:tblPr>
        <w:tblLayout w:type="fixed"/>
        <w:tblInd w:w="20" w:type="dxa"/>
        <w:tblCellMar>
          <w:top w:w="0" w:type="dxa"/>
          <w:left w:w="0" w:type="dxa"/>
          <w:bottom w:w="0" w:type="dxa"/>
          <w:right w:w="0" w:type="dxa"/>
        </w:tblCellMar>
      </w:tblPr>
      <w:tr>
        <w:trPr>
          <w:trHeight w:val="146"/>
        </w:trPr>
        <w:tc>
          <w:tcPr>
            <w:tcW w:w="838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8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r>
      <w:tr>
        <w:trPr>
          <w:trHeight w:val="193"/>
        </w:trPr>
        <w:tc>
          <w:tcPr>
            <w:tcW w:w="8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4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6"/>
              </w:rPr>
              <w:t>2022</w:t>
            </w:r>
          </w:p>
        </w:tc>
      </w:tr>
      <w:tr>
        <w:trPr>
          <w:trHeight w:val="25"/>
        </w:trPr>
        <w:tc>
          <w:tcPr>
            <w:tcW w:w="83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360" w:type="dxa"/>
            <w:vAlign w:val="bottom"/>
          </w:tcPr>
          <w:p>
            <w:pPr>
              <w:jc w:val="right"/>
              <w:ind w:right="1"/>
              <w:spacing w:after="0"/>
              <w:rPr>
                <w:sz w:val="20"/>
                <w:szCs w:val="20"/>
                <w:color w:val="auto"/>
              </w:rPr>
            </w:pPr>
            <w:r>
              <w:rPr>
                <w:rFonts w:ascii="Arial" w:cs="Arial" w:eastAsia="Arial" w:hAnsi="Arial"/>
                <w:sz w:val="18"/>
                <w:szCs w:val="18"/>
                <w:color w:val="auto"/>
              </w:rPr>
              <w:t>5,493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6,523</w:t>
            </w:r>
          </w:p>
        </w:tc>
      </w:tr>
    </w:tbl>
    <w:p>
      <w:pPr>
        <w:spacing w:after="0" w:line="18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On March 3, 2023, in connection with the Company’s ongoing bankruptcy proceedings, the Company took action to reject all outstanding award agreements associated with stock options and stock awards.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CONDENSED COMBINED DEBTOR-IN-POSSESSION FINANCIAL INFORMATION</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financial statements included in this Note represent the unaudited Condensed Combined Financial Statements of the Debtors only, which include Endo International plc and most of its wholly-owned subsidiaries, except for its Indian subsidiaries and certain subsidiaries associated with the Company’s former Astora business. These statements reflect the results of operations, financial position and cash flows of the combined Debtors, including certain amounts and activities between Debtors and Non-Debtor Affiliates of the Company that are eliminated in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1"/>
              </w:rPr>
              <w:t>December 31, 2022</w:t>
            </w:r>
          </w:p>
        </w:tc>
      </w:tr>
      <w:tr>
        <w:trPr>
          <w:trHeight w:val="188"/>
        </w:trPr>
        <w:tc>
          <w:tcPr>
            <w:tcW w:w="8400" w:type="dxa"/>
            <w:vAlign w:val="bottom"/>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835,388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991,901</w:t>
            </w:r>
          </w:p>
        </w:tc>
      </w:tr>
      <w:tr>
        <w:trPr>
          <w:trHeight w:val="186"/>
        </w:trPr>
        <w:tc>
          <w:tcPr>
            <w:tcW w:w="8400" w:type="dxa"/>
            <w:vAlign w:val="bottom"/>
          </w:tcPr>
          <w:p>
            <w:pPr>
              <w:ind w:left="140"/>
              <w:spacing w:after="0"/>
              <w:rPr>
                <w:sz w:val="20"/>
                <w:szCs w:val="20"/>
                <w:color w:val="auto"/>
              </w:rPr>
            </w:pPr>
            <w:r>
              <w:rPr>
                <w:rFonts w:ascii="Arial" w:cs="Arial" w:eastAsia="Arial" w:hAnsi="Arial"/>
                <w:sz w:val="14"/>
                <w:szCs w:val="14"/>
                <w:color w:val="auto"/>
              </w:rPr>
              <w:t>Restricted cash and cash equivalents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73,707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59,358</w:t>
            </w:r>
          </w:p>
        </w:tc>
      </w:tr>
      <w:tr>
        <w:trPr>
          <w:trHeight w:val="18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437,649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478,889</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238,855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241,349</w:t>
            </w: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87,241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111,807</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6,784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7,038</w:t>
            </w: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3"/>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from Non-Debtor Affiliates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95,051</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94,608</w:t>
            </w:r>
          </w:p>
        </w:tc>
      </w:tr>
      <w:tr>
        <w:trPr>
          <w:trHeight w:val="179"/>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1,774,675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1,984,950</w:t>
            </w:r>
          </w:p>
        </w:tc>
      </w:tr>
      <w:tr>
        <w:trPr>
          <w:trHeight w:val="17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229,542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233,114</w:t>
            </w: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21,375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23,200</w:t>
            </w:r>
          </w:p>
        </w:tc>
      </w:tr>
      <w:tr>
        <w:trPr>
          <w:trHeight w:val="18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1,352,011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1,352,011</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1,604,271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1,732,935</w:t>
            </w: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NON-DEBTOR AFFILIATES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48,783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50,001</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RECEIVABLES FROM NON-DEBTOR AFFILIATES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254,194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240,002</w:t>
            </w: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122,262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126,494</w:t>
            </w:r>
          </w:p>
        </w:tc>
      </w:tr>
      <w:tr>
        <w:trPr>
          <w:trHeight w:val="199"/>
        </w:trPr>
        <w:tc>
          <w:tcPr>
            <w:tcW w:w="84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5,407,113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5,742,707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8400" w:type="dxa"/>
            <w:vAlign w:val="bottom"/>
            <w:shd w:val="clear" w:color="auto" w:fill="CCEEFF"/>
          </w:tcPr>
          <w:p>
            <w:pPr>
              <w:ind w:left="3280"/>
              <w:spacing w:after="0"/>
              <w:rPr>
                <w:sz w:val="20"/>
                <w:szCs w:val="20"/>
                <w:color w:val="auto"/>
              </w:rPr>
            </w:pPr>
            <w:r>
              <w:rPr>
                <w:rFonts w:ascii="Arial" w:cs="Arial" w:eastAsia="Arial" w:hAnsi="Arial"/>
                <w:sz w:val="14"/>
                <w:szCs w:val="14"/>
                <w:b w:val="1"/>
                <w:bCs w:val="1"/>
                <w:color w:val="auto"/>
              </w:rPr>
              <w:t>LIABILITIES AND DEFICIT</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539,541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654,414</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8400" w:type="dxa"/>
            <w:vAlign w:val="bottom"/>
          </w:tcPr>
          <w:p>
            <w:pPr>
              <w:ind w:left="140"/>
              <w:spacing w:after="0"/>
              <w:rPr>
                <w:sz w:val="20"/>
                <w:szCs w:val="20"/>
                <w:color w:val="auto"/>
              </w:rPr>
            </w:pPr>
            <w:r>
              <w:rPr>
                <w:rFonts w:ascii="Arial" w:cs="Arial" w:eastAsia="Arial" w:hAnsi="Arial"/>
                <w:sz w:val="14"/>
                <w:szCs w:val="14"/>
                <w:color w:val="auto"/>
              </w:rPr>
              <w:t>Payables to Non-Debtor Affiliates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13,666</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20,162</w:t>
            </w:r>
          </w:p>
        </w:tc>
      </w:tr>
      <w:tr>
        <w:trPr>
          <w:trHeight w:val="202"/>
        </w:trPr>
        <w:tc>
          <w:tcPr>
            <w:tcW w:w="8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553,446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674,816</w:t>
            </w:r>
          </w:p>
        </w:tc>
      </w:tr>
      <w:tr>
        <w:trPr>
          <w:trHeight w:val="179"/>
        </w:trPr>
        <w:tc>
          <w:tcPr>
            <w:tcW w:w="840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11,286</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13,479</w:t>
            </w:r>
          </w:p>
        </w:tc>
      </w:tr>
      <w:tr>
        <w:trPr>
          <w:trHeight w:val="18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34,851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37,367</w:t>
            </w:r>
          </w:p>
        </w:tc>
      </w:tr>
      <w:tr>
        <w:trPr>
          <w:trHeight w:val="20"/>
        </w:trPr>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SUBJECT TO COMPROMISE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8,924,870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9,168,782</w:t>
            </w: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DEFICIT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(4,118,217)</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(4,152,731)</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DEFICIT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5,742,707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June 30,</w:t>
            </w:r>
          </w:p>
        </w:tc>
      </w:tr>
      <w:tr>
        <w:trPr>
          <w:trHeight w:val="193"/>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2023</w:t>
            </w:r>
          </w:p>
        </w:tc>
      </w:tr>
      <w:tr>
        <w:trPr>
          <w:trHeight w:val="26"/>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546,942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1,062,172</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revenues</w:t>
            </w: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237,476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471,366</w:t>
            </w:r>
          </w:p>
        </w:tc>
      </w:tr>
      <w:tr>
        <w:trPr>
          <w:trHeight w:val="186"/>
        </w:trPr>
        <w:tc>
          <w:tcPr>
            <w:tcW w:w="840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135,554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284,680</w:t>
            </w:r>
          </w:p>
        </w:tc>
      </w:tr>
      <w:tr>
        <w:trPr>
          <w:trHeight w:val="18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61,061</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Litigation-related and other contingencies, net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43,213</w:t>
            </w: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impairment charges</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Acquisition-related and integration items, net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762</w:t>
            </w:r>
          </w:p>
        </w:tc>
      </w:tr>
      <w:tr>
        <w:trPr>
          <w:trHeight w:val="20"/>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 net</w:t>
            </w: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(5,592)</w:t>
            </w:r>
          </w:p>
        </w:tc>
      </w:tr>
      <w:tr>
        <w:trPr>
          <w:trHeight w:val="186"/>
        </w:trPr>
        <w:tc>
          <w:tcPr>
            <w:tcW w:w="8400" w:type="dxa"/>
            <w:vAlign w:val="bottom"/>
          </w:tcPr>
          <w:p>
            <w:pPr>
              <w:ind w:left="140"/>
              <w:spacing w:after="0"/>
              <w:rPr>
                <w:sz w:val="20"/>
                <w:szCs w:val="20"/>
                <w:color w:val="auto"/>
              </w:rPr>
            </w:pPr>
            <w:r>
              <w:rPr>
                <w:rFonts w:ascii="Arial" w:cs="Arial" w:eastAsia="Arial" w:hAnsi="Arial"/>
                <w:sz w:val="14"/>
                <w:szCs w:val="14"/>
                <w:color w:val="auto"/>
              </w:rPr>
              <w:t>Reorganization items, net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84,267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169,619</w:t>
            </w:r>
          </w:p>
        </w:tc>
      </w:tr>
      <w:tr>
        <w:trPr>
          <w:trHeight w:val="206"/>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w:t>
            </w:r>
          </w:p>
        </w:tc>
      </w:tr>
      <w:tr>
        <w:trPr>
          <w:trHeight w:val="176"/>
        </w:trPr>
        <w:tc>
          <w:tcPr>
            <w:tcW w:w="840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INCOME TAX</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32,917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37,728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15,814</w:t>
            </w:r>
          </w:p>
        </w:tc>
      </w:tr>
      <w:tr>
        <w:trPr>
          <w:trHeight w:val="19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21,914</w:t>
            </w:r>
          </w:p>
        </w:tc>
      </w:tr>
      <w:tr>
        <w:trPr>
          <w:trHeight w:val="18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 NET OF TAX</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193"/>
        </w:trPr>
        <w:tc>
          <w:tcPr>
            <w:tcW w:w="8400" w:type="dxa"/>
            <w:vAlign w:val="bottom"/>
          </w:tcPr>
          <w:p>
            <w:pPr>
              <w:ind w:left="20"/>
              <w:spacing w:after="0"/>
              <w:rPr>
                <w:sz w:val="20"/>
                <w:szCs w:val="20"/>
                <w:color w:val="auto"/>
              </w:rPr>
            </w:pPr>
            <w:r>
              <w:rPr>
                <w:rFonts w:ascii="Arial" w:cs="Arial" w:eastAsia="Arial" w:hAnsi="Arial"/>
                <w:sz w:val="14"/>
                <w:szCs w:val="14"/>
                <w:color w:val="auto"/>
              </w:rPr>
              <w:t>NET INCOME ATTRIBUTABLE TO DEBTOR ENTITIES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20,885</w:t>
            </w:r>
          </w:p>
        </w:tc>
      </w:tr>
      <w:tr>
        <w:trPr>
          <w:trHeight w:val="196"/>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 OF NON-DEBTOR AFFILIATES, NET OF TAX</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189"/>
        </w:trPr>
        <w:tc>
          <w:tcPr>
            <w:tcW w:w="8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19,776</w:t>
            </w: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COMPREHENSIVE INCOME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June 30,</w:t>
            </w:r>
          </w:p>
        </w:tc>
      </w:tr>
      <w:tr>
        <w:trPr>
          <w:trHeight w:val="193"/>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2023</w:t>
            </w:r>
          </w:p>
        </w:tc>
      </w:tr>
      <w:tr>
        <w:trPr>
          <w:trHeight w:val="25"/>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19,776</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unrealized gain on foreign currency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w:t>
            </w:r>
          </w:p>
        </w:tc>
      </w:tr>
      <w:tr>
        <w:trPr>
          <w:trHeight w:val="179"/>
        </w:trPr>
        <w:tc>
          <w:tcPr>
            <w:tcW w:w="8400" w:type="dxa"/>
            <w:vAlign w:val="bottom"/>
          </w:tcPr>
          <w:p>
            <w:pPr>
              <w:ind w:left="220"/>
              <w:spacing w:after="0"/>
              <w:rPr>
                <w:sz w:val="20"/>
                <w:szCs w:val="20"/>
                <w:color w:val="auto"/>
              </w:rPr>
            </w:pPr>
            <w:r>
              <w:rPr>
                <w:rFonts w:ascii="Arial" w:cs="Arial" w:eastAsia="Arial" w:hAnsi="Arial"/>
                <w:sz w:val="14"/>
                <w:szCs w:val="14"/>
                <w:color w:val="auto"/>
              </w:rPr>
              <w:t>Total other comprehensive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3,498</w:t>
            </w:r>
          </w:p>
        </w:tc>
      </w:tr>
      <w:tr>
        <w:trPr>
          <w:trHeight w:val="22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23,274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 (1)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183,576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40" w:type="dxa"/>
            <w:vAlign w:val="bottom"/>
          </w:tcPr>
          <w:p>
            <w:pPr>
              <w:ind w:left="140"/>
              <w:spacing w:after="0"/>
              <w:rPr>
                <w:sz w:val="20"/>
                <w:szCs w:val="20"/>
                <w:color w:val="auto"/>
              </w:rPr>
            </w:pPr>
            <w:r>
              <w:rPr>
                <w:rFonts w:ascii="Arial" w:cs="Arial" w:eastAsia="Arial" w:hAnsi="Arial"/>
                <w:sz w:val="14"/>
                <w:szCs w:val="14"/>
                <w:color w:val="auto"/>
              </w:rPr>
              <w:t>Capital expenditures, excluding capitalized interest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U.S. Government Agreement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40" w:type="dxa"/>
            <w:vAlign w:val="bottom"/>
          </w:tcPr>
          <w:p>
            <w:pPr>
              <w:ind w:left="140"/>
              <w:spacing w:after="0"/>
              <w:rPr>
                <w:sz w:val="20"/>
                <w:szCs w:val="20"/>
                <w:color w:val="auto"/>
              </w:rPr>
            </w:pPr>
            <w:r>
              <w:rPr>
                <w:rFonts w:ascii="Arial" w:cs="Arial" w:eastAsia="Arial" w:hAnsi="Arial"/>
                <w:sz w:val="14"/>
                <w:szCs w:val="14"/>
                <w:color w:val="auto"/>
              </w:rPr>
              <w:t>Proceeds from sale of business and other assets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Disbursements for loans made to Non-Debtor Affiliates</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40" w:type="dxa"/>
            <w:vAlign w:val="bottom"/>
          </w:tcPr>
          <w:p>
            <w:pPr>
              <w:ind w:left="140"/>
              <w:spacing w:after="0"/>
              <w:rPr>
                <w:sz w:val="20"/>
                <w:szCs w:val="20"/>
                <w:color w:val="auto"/>
              </w:rPr>
            </w:pPr>
            <w:r>
              <w:rPr>
                <w:rFonts w:ascii="Arial" w:cs="Arial" w:eastAsia="Arial" w:hAnsi="Arial"/>
                <w:sz w:val="14"/>
                <w:szCs w:val="14"/>
                <w:color w:val="auto"/>
              </w:rPr>
              <w:t>Adequate protection payments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(291,689)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other indebtedness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40" w:type="dxa"/>
            <w:vAlign w:val="bottom"/>
          </w:tcPr>
          <w:p>
            <w:pPr>
              <w:ind w:left="140"/>
              <w:spacing w:after="0"/>
              <w:rPr>
                <w:sz w:val="20"/>
                <w:szCs w:val="20"/>
                <w:color w:val="auto"/>
              </w:rPr>
            </w:pPr>
            <w:r>
              <w:rPr>
                <w:rFonts w:ascii="Arial" w:cs="Arial" w:eastAsia="Arial" w:hAnsi="Arial"/>
                <w:sz w:val="14"/>
                <w:szCs w:val="14"/>
                <w:color w:val="auto"/>
              </w:rPr>
              <w:t>Payments for contingent consideration</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(297,071)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40" w:type="dxa"/>
            <w:vAlign w:val="bottom"/>
          </w:tcPr>
          <w:p>
            <w:pPr>
              <w:ind w:left="20"/>
              <w:spacing w:after="0"/>
              <w:rPr>
                <w:sz w:val="20"/>
                <w:szCs w:val="20"/>
                <w:color w:val="auto"/>
              </w:rPr>
            </w:pPr>
            <w:r>
              <w:rPr>
                <w:rFonts w:ascii="Arial" w:cs="Arial" w:eastAsia="Arial" w:hAnsi="Arial"/>
                <w:sz w:val="14"/>
                <w:szCs w:val="14"/>
                <w:color w:val="auto"/>
              </w:rPr>
              <w:t>Effect of foreign exchange rate</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RESTRICTED CASH AND RESTRICTED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40" w:type="dxa"/>
            <w:vAlign w:val="bottom"/>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BEGINNING OF PERIOD</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860" w:type="dxa"/>
            <w:vAlign w:val="bottom"/>
            <w:gridSpan w:val="2"/>
            <w:vMerge w:val="restart"/>
          </w:tcPr>
          <w:p>
            <w:pPr>
              <w:jc w:val="right"/>
              <w:ind w:right="9068"/>
              <w:spacing w:after="0"/>
              <w:rPr>
                <w:sz w:val="20"/>
                <w:szCs w:val="20"/>
                <w:color w:val="auto"/>
              </w:rPr>
            </w:pPr>
            <w:r>
              <w:rPr>
                <w:rFonts w:ascii="Arial" w:cs="Arial" w:eastAsia="Arial" w:hAnsi="Arial"/>
                <w:sz w:val="14"/>
                <w:szCs w:val="14"/>
                <w:color w:val="auto"/>
                <w:w w:val="89"/>
              </w:rPr>
              <w:t>__________</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right="120" w:hanging="329"/>
        <w:spacing w:after="0" w:line="262"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difference between the amount of Net cash provided by operating activities included in the table above and the amount of Net cash provided by operating activities included in the Condensed Consolidated Statements of Cash Flows for the same period primarily relates to the fact that the table above: (i) excludes the operating cash flows of our Non-Debtor Affiliates, which are included in the Condensed Consolidated Statements of Cash Flows, and (ii) includes the effects of the operating cash flows of the Debtors with the Non-Debtor Affiliates, which are eliminated in the Condensed Consolidated Statements of Cash Flows.</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the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69"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bankruptcy proceedings and strategic review initiatives; financing activities; acquired in-process research and development charges;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2" w:lineRule="exact"/>
        <w:rPr>
          <w:sz w:val="20"/>
          <w:szCs w:val="20"/>
          <w:color w:val="auto"/>
        </w:rPr>
      </w:pPr>
    </w:p>
    <w:p>
      <w:pPr>
        <w:ind w:left="900" w:right="40" w:hanging="244"/>
        <w:spacing w:after="0" w:line="277"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From 2019 until the end of the public health emergency in May 2023, the effects of COVID-19 have had direct and indirect impacts on our consolidated results. These impacts on our consolidated results and the results of our business segments to date may not be directly comparable to any historical period and are not necessarily indicative of its impact on our results for any future periods.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20" w:hanging="244"/>
        <w:spacing w:after="0" w:line="269"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November 2020, we announced the initiation of several strategic actions, collectively referred to herein as the 2020 Restructuring Initiative, to optimize operations and increase overall efficiency. We recorded certain charges to complete these activities in anticipation of realizing annualized cost savings. For further discussion of these actions, including a discussion of amounts recognized, refer to Note 5. Restructuring of the Condensed Consolidated Financial Statements included in Part I, Item 1.</w:t>
      </w:r>
    </w:p>
    <w:p>
      <w:pPr>
        <w:spacing w:after="0" w:line="1" w:lineRule="exact"/>
        <w:rPr>
          <w:rFonts w:ascii="Arial" w:cs="Arial" w:eastAsia="Arial" w:hAnsi="Arial"/>
          <w:sz w:val="17"/>
          <w:szCs w:val="17"/>
          <w:color w:val="auto"/>
        </w:rPr>
      </w:pPr>
    </w:p>
    <w:p>
      <w:pPr>
        <w:ind w:left="900" w:right="160" w:hanging="244"/>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Agreement). Refer to Note 16. Commitments and Contingencies in the Consolidated Financial Statements included in Part IV, Item 15 of the Annual Report for additional discussion of this agreement.</w:t>
      </w:r>
    </w:p>
    <w:p>
      <w:pPr>
        <w:spacing w:after="0" w:line="1" w:lineRule="exact"/>
        <w:rPr>
          <w:rFonts w:ascii="Arial" w:cs="Arial" w:eastAsia="Arial" w:hAnsi="Arial"/>
          <w:sz w:val="18"/>
          <w:szCs w:val="18"/>
          <w:color w:val="auto"/>
        </w:rPr>
      </w:pPr>
    </w:p>
    <w:p>
      <w:pPr>
        <w:ind w:left="900" w:right="40" w:hanging="244"/>
        <w:spacing w:after="0" w:line="22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first quarter of 2022, multiple competitive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900" w:right="120" w:hanging="24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February 2022, we launched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an RTU bottle, representing the first and only RTU formulation of the drug. The bottle formulation now represents a meaningful portion of the overall vasopressin market. Nevertheless, the factors described in the preceding bullet point could have a material adverse effect on our business, financial condition, results of operations and cash flows.</w:t>
      </w:r>
    </w:p>
    <w:p>
      <w:pPr>
        <w:spacing w:after="0" w:line="2" w:lineRule="exact"/>
        <w:rPr>
          <w:rFonts w:ascii="Arial" w:cs="Arial" w:eastAsia="Arial" w:hAnsi="Arial"/>
          <w:sz w:val="17"/>
          <w:szCs w:val="17"/>
          <w:color w:val="auto"/>
        </w:rPr>
      </w:pPr>
    </w:p>
    <w:p>
      <w:pPr>
        <w:ind w:left="900" w:right="20" w:hanging="244"/>
        <w:spacing w:after="0" w:line="255"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April 2022, we communicated the initiation of certain actions to streamline and simplify certain functions, including our commercial organization, to increase our overall organizational effectiveness and better align with current and future needs. In December 2022, we announced we would be taking certain additional actions to cease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For further discussion of this initiative, including a discussion of amounts recognized, refer to Note 5. Restructuring of the Condensed Consolidated Financial Statements included in Part I, Item 1.</w:t>
      </w:r>
    </w:p>
    <w:p>
      <w:pPr>
        <w:spacing w:after="0" w:line="5" w:lineRule="exact"/>
        <w:rPr>
          <w:rFonts w:ascii="Arial" w:cs="Arial" w:eastAsia="Arial" w:hAnsi="Arial"/>
          <w:sz w:val="17"/>
          <w:szCs w:val="17"/>
          <w:color w:val="auto"/>
        </w:rPr>
      </w:pPr>
    </w:p>
    <w:p>
      <w:pPr>
        <w:ind w:left="900" w:right="80" w:hanging="244"/>
        <w:spacing w:after="0" w:line="265"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May 2022, we announced that our EVU subsidiary had entered into an agreement to acquire six development-stage RTU injectable product candidates from Nevakar Injectables, Inc., a subsidiary of Nevakar, Inc., for an upfront cash payment of $35.0 million, which was recorded as an Acquired in-process research and development charge in the Condensed Consolidated Statements of Operations in the second quarter of 2022. For further discussion of this agreement, as well as a discussion of subsequent legal proceedings with Nevakar that affected both this agreement and a prior 2018 agreement with Nevakar, see Note 11. License, Collaboration and Asset Acquisition Agreements of the Condensed Consolidated Financial Statements included in Part I, Item 1.</w:t>
      </w:r>
    </w:p>
    <w:p>
      <w:pPr>
        <w:ind w:left="900" w:right="180" w:hanging="244"/>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June 2022, we announced that our EVU subsidiary had entered into an agreement with TLC to commercialize TLC599. During the second quarter of 2022, we made an upfront cash payment of $30.0 million to TLC, which was recorded as an Acquired in-process research and development charge in the Condensed Consolidated Statements of Operations in the second quarter of 2022. For further discussion of this agreement, see Note 11. License, Collaboration and Asset Acquisition Agreements of the Condensed Consolidated Financial Statements included in Part I, Item 1.</w:t>
      </w:r>
    </w:p>
    <w:p>
      <w:pPr>
        <w:spacing w:after="0" w:line="1" w:lineRule="exact"/>
        <w:rPr>
          <w:rFonts w:ascii="Arial" w:cs="Arial" w:eastAsia="Arial" w:hAnsi="Arial"/>
          <w:sz w:val="18"/>
          <w:szCs w:val="18"/>
          <w:color w:val="auto"/>
        </w:rPr>
      </w:pPr>
    </w:p>
    <w:p>
      <w:pPr>
        <w:ind w:left="900" w:right="120" w:hanging="244"/>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Beginning in June 2022, we elected to enter certain 30-day grace periods related to senior notes interest payments that were originally due to be paid between June 30, 2022 and August 1, 2022. Certain of these payments were subsequently paid prior to the expiration of the applicable grace periods; others were not. Refer to Note 15. Debt in the Consolidated Financial Statements included in Part IV, Item 15 of the Annual Report for further discussion.</w:t>
      </w:r>
    </w:p>
    <w:p>
      <w:pPr>
        <w:spacing w:after="0" w:line="1" w:lineRule="exact"/>
        <w:rPr>
          <w:rFonts w:ascii="Arial" w:cs="Arial" w:eastAsia="Arial" w:hAnsi="Arial"/>
          <w:sz w:val="18"/>
          <w:szCs w:val="18"/>
          <w:color w:val="auto"/>
        </w:rPr>
      </w:pPr>
    </w:p>
    <w:p>
      <w:pPr>
        <w:ind w:left="900" w:right="20" w:hanging="244"/>
        <w:spacing w:after="0" w:line="265"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the Petition Date, certain of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We are subject to risks and uncertainties associated with our ongoing bankruptcy proceedings, which could have a material adverse effect on our business, financial condition, results of operations and cash flows. Refer to Note 1. Basis of Presentation, Note 2. Bankruptcy Proceedings and Note 14. Debt of the Condensed Consolidated Financial Statements included in Part I, Item 1 for further discussion.</w:t>
      </w:r>
    </w:p>
    <w:p>
      <w:pPr>
        <w:spacing w:after="0" w:line="1" w:lineRule="exact"/>
        <w:rPr>
          <w:rFonts w:ascii="Arial" w:cs="Arial" w:eastAsia="Arial" w:hAnsi="Arial"/>
          <w:sz w:val="17"/>
          <w:szCs w:val="17"/>
          <w:color w:val="auto"/>
        </w:rPr>
      </w:pPr>
    </w:p>
    <w:p>
      <w:pPr>
        <w:ind w:left="900" w:hanging="244"/>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six months ended June 30, 2023, multiple competitors launched alternative generic versions of varenicline tablets. These launches began to impact both Endo’s market share and product price toward the middle of the first quarter of 2023. The effects of competition are likely to increase in future periods, impacting our Generic Pharmaceuticals segment.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20" w:hanging="244"/>
        <w:spacing w:after="0" w:line="26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September 2020, PSP LLC entered into a manufacturing and services agreement with Novavax, Inc. (Novavax), pursuant to which PSP LLC would provide fill-finish manufacturing services at its plant in Rochester, Michigan for Novavax's COVID-19 vaccine candidate. In April 2023, PSP LLC executed, and the Bankruptcy Court approved the Novavax Settlement Agreement to resolve a dispute under the manufacturing and services agreement. In connection with the effective date of the Novavax Settlement Agreement, Novavax paid cash and transferred certain other non-cash consideration, with a total value of $33 million, which was recorded as revenue in the Condensed Consolidated Statements of Operations in the second quarter of 2023 and is reflected in our Sterile Injectables segment.</w:t>
      </w:r>
    </w:p>
    <w:p>
      <w:pPr>
        <w:ind w:left="900" w:right="20" w:hanging="244"/>
        <w:spacing w:after="0" w:line="270"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addition to our other legal proceedings, we, along with others, are the subject of various legal proceedings regarding the sale, marketing and/or distribution of prescription opioid medications, which are further discussed herein.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 as well as Part II, Item 1A.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six months ended June 30, 2023 and 2022 (dollars in thousands):</w:t>
      </w: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38"/>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546,852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569,114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1,062,119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1,221,373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233,852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263,786</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466,594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537,001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313,000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305,328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595,525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684,372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57.2 %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53.6 %</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56.1 %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56.0 %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137,729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180,830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288,522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407,991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28,037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29,788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55,740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65,918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Acquired in-process research and</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67,900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Litigation-related and other</w:t>
            </w:r>
          </w:p>
        </w:tc>
        <w:tc>
          <w:tcPr>
            <w:tcW w:w="300" w:type="dxa"/>
            <w:vAlign w:val="bottom"/>
          </w:tcPr>
          <w:p>
            <w:pPr>
              <w:spacing w:after="0"/>
              <w:rPr>
                <w:sz w:val="15"/>
                <w:szCs w:val="15"/>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28,013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131"/>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color w:val="auto"/>
              </w:rPr>
              <w:t>43,213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111"/>
              <w:spacing w:after="0"/>
              <w:rPr>
                <w:sz w:val="20"/>
                <w:szCs w:val="20"/>
                <w:color w:val="auto"/>
              </w:rPr>
            </w:pPr>
            <w:r>
              <w:rPr>
                <w:rFonts w:ascii="Arial" w:cs="Arial" w:eastAsia="Arial" w:hAnsi="Arial"/>
                <w:sz w:val="18"/>
                <w:szCs w:val="18"/>
                <w:color w:val="auto"/>
              </w:rPr>
              <w:t>25,362</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contingencies, net</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1,781,063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1,801,016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Acquisition-related and integration</w:t>
            </w:r>
          </w:p>
        </w:tc>
        <w:tc>
          <w:tcPr>
            <w:tcW w:w="300" w:type="dxa"/>
            <w:vAlign w:val="bottom"/>
          </w:tcPr>
          <w:p>
            <w:pPr>
              <w:spacing w:after="0"/>
              <w:rPr>
                <w:sz w:val="15"/>
                <w:szCs w:val="15"/>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131"/>
              <w:spacing w:after="0"/>
              <w:rPr>
                <w:sz w:val="20"/>
                <w:szCs w:val="20"/>
                <w:color w:val="auto"/>
              </w:rPr>
            </w:pPr>
            <w:r>
              <w:rPr>
                <w:rFonts w:ascii="Arial" w:cs="Arial" w:eastAsia="Arial" w:hAnsi="Arial"/>
                <w:sz w:val="18"/>
                <w:szCs w:val="18"/>
                <w:color w:val="auto"/>
              </w:rPr>
              <w:t>1,825</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111"/>
              <w:spacing w:after="0"/>
              <w:rPr>
                <w:sz w:val="20"/>
                <w:szCs w:val="20"/>
                <w:color w:val="auto"/>
              </w:rPr>
            </w:pPr>
            <w:r>
              <w:rPr>
                <w:rFonts w:ascii="Arial" w:cs="Arial" w:eastAsia="Arial" w:hAnsi="Arial"/>
                <w:sz w:val="18"/>
                <w:szCs w:val="18"/>
                <w:color w:val="auto"/>
              </w:rPr>
              <w:t>448</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items, net</w:t>
            </w:r>
          </w:p>
        </w:tc>
        <w:tc>
          <w:tcPr>
            <w:tcW w:w="3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139,784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274,733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84,267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169,619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(19,438)</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(18,149)</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2780" w:type="dxa"/>
            <w:vAlign w:val="bottom"/>
          </w:tcPr>
          <w:p>
            <w:pPr>
              <w:ind w:left="140"/>
              <w:spacing w:after="0" w:line="169" w:lineRule="exact"/>
              <w:rPr>
                <w:sz w:val="20"/>
                <w:szCs w:val="20"/>
                <w:color w:val="auto"/>
              </w:rPr>
            </w:pPr>
            <w:r>
              <w:rPr>
                <w:rFonts w:ascii="Arial" w:cs="Arial" w:eastAsia="Arial" w:hAnsi="Arial"/>
                <w:sz w:val="18"/>
                <w:szCs w:val="18"/>
                <w:color w:val="auto"/>
              </w:rPr>
              <w:t>Income (loss) from continuing</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34,290</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(1,873,732)</w:t>
            </w:r>
          </w:p>
        </w:tc>
        <w:tc>
          <w:tcPr>
            <w:tcW w:w="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4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color w:val="auto"/>
              </w:rPr>
              <w:t>37,240</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71"/>
              <w:spacing w:after="0"/>
              <w:rPr>
                <w:sz w:val="20"/>
                <w:szCs w:val="20"/>
                <w:color w:val="auto"/>
              </w:rPr>
            </w:pPr>
            <w:r>
              <w:rPr>
                <w:rFonts w:ascii="Arial" w:cs="Arial" w:eastAsia="Arial" w:hAnsi="Arial"/>
                <w:sz w:val="18"/>
                <w:szCs w:val="18"/>
                <w:color w:val="auto"/>
              </w:rPr>
              <w:t>(1,940,847)</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780" w:type="dxa"/>
            <w:vAlign w:val="bottom"/>
          </w:tcPr>
          <w:p>
            <w:pPr>
              <w:ind w:left="140"/>
              <w:spacing w:after="0" w:line="202" w:lineRule="exact"/>
              <w:rPr>
                <w:sz w:val="20"/>
                <w:szCs w:val="20"/>
                <w:color w:val="auto"/>
              </w:rPr>
            </w:pPr>
            <w:r>
              <w:rPr>
                <w:rFonts w:ascii="Arial" w:cs="Arial" w:eastAsia="Arial" w:hAnsi="Arial"/>
                <w:sz w:val="18"/>
                <w:szCs w:val="18"/>
                <w:color w:val="auto"/>
              </w:rPr>
              <w:t>operations before income tax</w:t>
            </w:r>
          </w:p>
        </w:tc>
        <w:tc>
          <w:tcPr>
            <w:tcW w:w="3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7" w:lineRule="exact"/>
        <w:rPr>
          <w:sz w:val="20"/>
          <w:szCs w:val="20"/>
          <w:color w:val="auto"/>
        </w:rPr>
      </w:pPr>
    </w:p>
    <w:p>
      <w:pPr>
        <w:ind w:right="80" w:firstLine="486"/>
        <w:spacing w:after="0" w:line="250" w:lineRule="auto"/>
        <w:rPr>
          <w:sz w:val="20"/>
          <w:szCs w:val="20"/>
          <w:color w:val="auto"/>
        </w:rPr>
      </w:pPr>
      <w:r>
        <w:rPr>
          <w:rFonts w:ascii="Arial" w:cs="Arial" w:eastAsia="Arial" w:hAnsi="Arial"/>
          <w:sz w:val="16"/>
          <w:szCs w:val="16"/>
          <w:b w:val="1"/>
          <w:bCs w:val="1"/>
          <w:i w:val="1"/>
          <w:iCs w:val="1"/>
          <w:color w:val="auto"/>
        </w:rPr>
        <w:t xml:space="preserve">Total revenues, net. </w:t>
      </w:r>
      <w:r>
        <w:rPr>
          <w:rFonts w:ascii="Arial" w:cs="Arial" w:eastAsia="Arial" w:hAnsi="Arial"/>
          <w:sz w:val="16"/>
          <w:szCs w:val="16"/>
          <w:color w:val="auto"/>
        </w:rPr>
        <w:t>The decrease in revenues for the three months ended June 30, 2023 was primarily due to revenue decreases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lubiprostone capsules (the authorized generic of Mallinckrodt’s Amitiza</w:t>
      </w:r>
      <w:r>
        <w:rPr>
          <w:rFonts w:ascii="Arial" w:cs="Arial" w:eastAsia="Arial" w:hAnsi="Arial"/>
          <w:sz w:val="20"/>
          <w:szCs w:val="20"/>
          <w:color w:val="auto"/>
          <w:vertAlign w:val="superscript"/>
        </w:rPr>
        <w:t>®</w:t>
      </w:r>
      <w:r>
        <w:rPr>
          <w:rFonts w:ascii="Arial" w:cs="Arial" w:eastAsia="Arial" w:hAnsi="Arial"/>
          <w:sz w:val="16"/>
          <w:szCs w:val="16"/>
          <w:color w:val="auto"/>
        </w:rPr>
        <w:t>), varenicline tablets (Endo’s generic version of Pfizer Inc.’s Chantix</w:t>
      </w:r>
      <w:r>
        <w:rPr>
          <w:rFonts w:ascii="Arial" w:cs="Arial" w:eastAsia="Arial" w:hAnsi="Arial"/>
          <w:sz w:val="20"/>
          <w:szCs w:val="20"/>
          <w:color w:val="auto"/>
          <w:vertAlign w:val="superscript"/>
        </w:rPr>
        <w:t>®)</w:t>
      </w:r>
      <w:r>
        <w:rPr>
          <w:rFonts w:ascii="Arial" w:cs="Arial" w:eastAsia="Arial" w:hAnsi="Arial"/>
          <w:sz w:val="16"/>
          <w:szCs w:val="16"/>
          <w:color w:val="auto"/>
        </w:rPr>
        <w:t>,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certain other products in our Sterile Injectables segment, partially offset by the impact of the Novavax Settlement Agreement and revenues from dexlansoprazole delayed release capsules (Endo’s generic version of Takeda Pharmaceuticals USA, Inc.’s Dexilant</w:t>
      </w:r>
      <w:r>
        <w:rPr>
          <w:rFonts w:ascii="Arial" w:cs="Arial" w:eastAsia="Arial" w:hAnsi="Arial"/>
          <w:sz w:val="20"/>
          <w:szCs w:val="20"/>
          <w:color w:val="auto"/>
          <w:vertAlign w:val="superscript"/>
        </w:rPr>
        <w:t>®</w:t>
      </w:r>
      <w:r>
        <w:rPr>
          <w:rFonts w:ascii="Arial" w:cs="Arial" w:eastAsia="Arial" w:hAnsi="Arial"/>
          <w:sz w:val="16"/>
          <w:szCs w:val="16"/>
          <w:color w:val="auto"/>
        </w:rPr>
        <w:t>), which launched in November 2022. The decrease in revenues for the six months ended June 30, 2023 was primarily due to revenue decreases related VASOSTRICT</w:t>
      </w:r>
      <w:r>
        <w:rPr>
          <w:rFonts w:ascii="Arial" w:cs="Arial" w:eastAsia="Arial" w:hAnsi="Arial"/>
          <w:sz w:val="20"/>
          <w:szCs w:val="20"/>
          <w:color w:val="auto"/>
          <w:vertAlign w:val="superscript"/>
        </w:rPr>
        <w:t>®</w:t>
      </w:r>
      <w:r>
        <w:rPr>
          <w:rFonts w:ascii="Arial" w:cs="Arial" w:eastAsia="Arial" w:hAnsi="Arial"/>
          <w:sz w:val="16"/>
          <w:szCs w:val="16"/>
          <w:color w:val="auto"/>
        </w:rPr>
        <w:t>, as well as decreased revenue in our Generic Pharmaceuticals segment and Branded Pharmaceuticals segment, partially offset by the impact of the Novavax Settlement Agreement. Our revenues are further disaggregated and described below under the heading “Business Segment Results Review.”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95" w:lineRule="auto"/>
        <w:rPr>
          <w:sz w:val="20"/>
          <w:szCs w:val="20"/>
          <w:color w:val="auto"/>
        </w:rPr>
      </w:pPr>
      <w:r>
        <w:rPr>
          <w:rFonts w:ascii="Arial" w:cs="Arial" w:eastAsia="Arial" w:hAnsi="Arial"/>
          <w:sz w:val="16"/>
          <w:szCs w:val="16"/>
          <w:b w:val="1"/>
          <w:bCs w:val="1"/>
          <w:i w:val="1"/>
          <w:iCs w:val="1"/>
          <w:color w:val="auto"/>
        </w:rPr>
        <w:t xml:space="preserve">Cost of revenues and gross margin percentage. </w:t>
      </w:r>
      <w:r>
        <w:rPr>
          <w:rFonts w:ascii="Arial" w:cs="Arial" w:eastAsia="Arial" w:hAnsi="Arial"/>
          <w:sz w:val="16"/>
          <w:szCs w:val="16"/>
          <w:color w:val="auto"/>
        </w:rPr>
        <w:t>During the three and six months ended June 30, 2023 and 2022, Cost of revenues includes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177,802</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line="176" w:lineRule="exact"/>
              <w:rPr>
                <w:sz w:val="20"/>
                <w:szCs w:val="20"/>
                <w:color w:val="auto"/>
              </w:rPr>
            </w:pPr>
            <w:r>
              <w:rPr>
                <w:rFonts w:ascii="Arial" w:cs="Arial" w:eastAsia="Arial" w:hAnsi="Arial"/>
                <w:sz w:val="18"/>
                <w:szCs w:val="18"/>
                <w:color w:val="auto"/>
                <w:w w:val="92"/>
              </w:rPr>
              <w:t>Amounts related to continuity and separation benefits, cost reductions and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488</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5,107</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2,470</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strategic review initiatives (2)</w:t>
            </w:r>
          </w:p>
        </w:tc>
        <w:tc>
          <w:tcPr>
            <w:tcW w:w="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00" w:right="120" w:hanging="330"/>
        <w:spacing w:after="0" w:line="256"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six months ended June 30, 2023 were primarily driven by prior asset impairment charges.</w:t>
      </w:r>
    </w:p>
    <w:p>
      <w:pPr>
        <w:spacing w:after="0" w:line="1" w:lineRule="exact"/>
        <w:rPr>
          <w:rFonts w:ascii="Arial" w:cs="Arial" w:eastAsia="Arial" w:hAnsi="Arial"/>
          <w:sz w:val="14"/>
          <w:szCs w:val="14"/>
          <w:color w:val="auto"/>
        </w:rPr>
      </w:pPr>
    </w:p>
    <w:p>
      <w:pPr>
        <w:ind w:left="500" w:hanging="330"/>
        <w:spacing w:after="0" w:line="272"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 2022 include, among other things, certain accelerated depreciation charges, inventory adjustments and net employee separation, continuity and other benefit-related costs, including amounts related to restructurings. For further discussion of our restructuring initiatives, including a discussion of amounts recognized and information about any expected future charges, refer to Note 5. Restructuring of the Condensed Consolidated Financial Statements included in Part I, Item 1.</w:t>
      </w:r>
    </w:p>
    <w:p>
      <w:pPr>
        <w:spacing w:after="0" w:line="71"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The decreases in Cost of revenues for the three and six months ended June 30, 2023 were primarily due to decreased revenues, decreased costs associated with amortization expense and decreased amounts related to continuity and separation benefits, cost reductions and strategic review initiatives.</w:t>
      </w:r>
    </w:p>
    <w:p>
      <w:pPr>
        <w:spacing w:after="0" w:line="1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increase in gross margin percentage for the three months ended June 30, 2023 was primarily due to decreased costs associated with amortization expense and amounts related to continuity and separation benefits, cost reductions and strategic review initiatives, as well as favorable changes in product mix resulting primarily from the Novavax Settlement Agreement. The increase in gross margin percentage for the six months ended June 30, 2023 was primarily due to decreased costs associated with amortization expense and amounts related to continuity and separation benefits, cost reductions and strategic review initiatives, partially offset by unfavorable changes in product mix. The unfavorable changes in product mix for the six months ended June 30, 2023 primarily resulted from decreased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partially offset by the Novavax Settlement Agreement.</w:t>
      </w:r>
    </w:p>
    <w:p>
      <w:pPr>
        <w:ind w:right="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The decreases for the three and six months ended June 30, 2023 were primarily due to decreased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certain litigation matters as a result of the automatic stay and restructuring and/or other cost reduction initiatives. In addition, costs associated with certain strategic review initiatives, including costs incurred in connection with our bankruptcy proceedings, are included in Selling, general and administrative expenses until the Petition Date. Following the Petition Date, such costs are required to be presented separately within Reorganization items, net to the extent such costs are incurred directly as a result of the Company’s ongoing bankruptcy proceedings. Refer to Note 2. Bankruptcy Proceedings and Note 5. Restructuring of the Condensed Consolidated Financial Statements included in Part I, Item 1 for further discussion of these items.</w:t>
      </w:r>
    </w:p>
    <w:p>
      <w:pPr>
        <w:spacing w:after="0" w:line="56"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(R&amp;D) efforts are focused on the development of a diversified portfolio of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clinically differentiated product candidates. The amount of R&amp;D expense we record in any period varies depending on the nature and stage of development of our R&amp;D programs, certain of which are further described below.</w:t>
      </w:r>
    </w:p>
    <w:p>
      <w:pPr>
        <w:spacing w:after="0" w:line="76" w:lineRule="exact"/>
        <w:rPr>
          <w:sz w:val="20"/>
          <w:szCs w:val="20"/>
          <w:color w:val="auto"/>
        </w:rPr>
      </w:pPr>
    </w:p>
    <w:p>
      <w:pPr>
        <w:ind w:right="60" w:firstLine="486"/>
        <w:spacing w:after="0" w:line="235" w:lineRule="auto"/>
        <w:rPr>
          <w:sz w:val="20"/>
          <w:szCs w:val="20"/>
          <w:color w:val="auto"/>
        </w:rPr>
      </w:pPr>
      <w:r>
        <w:rPr>
          <w:rFonts w:ascii="Arial" w:cs="Arial" w:eastAsia="Arial" w:hAnsi="Arial"/>
          <w:sz w:val="17"/>
          <w:szCs w:val="17"/>
          <w:color w:val="auto"/>
        </w:rPr>
        <w:t>We continue to invest in our Branded Pharmaceuticals segment. In early 2020, we announced that we had initiated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program for the treatment of plantar fibromatosis. In March 2023, we announced top-line results from our Phase 2 clinical study of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participants with plantar fibromatosis and while the primary endpoint when analyzed with the overall study population did not meet statistical significance, a large patient sub-population showed statistically significant improvement across a majority of endpoints. The results of our Phase 2 study will inform our corresponding Phase 3 clinical program, which we expect to initiate later in 2023. We also initiated a proof-of-concept study in plantar fasciitis during the fourth quarter of 2022 and anticipate top-line results later this year. We may in the future develop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for potential additional indications, advancing our strategy of developing non-surgical orthopedic care interventions. Additionally, until late 2022, we had been advancing our development programs for QWO</w:t>
      </w:r>
      <w:r>
        <w:rPr>
          <w:rFonts w:ascii="Arial" w:cs="Arial" w:eastAsia="Arial" w:hAnsi="Arial"/>
          <w:sz w:val="22"/>
          <w:szCs w:val="22"/>
          <w:color w:val="auto"/>
          <w:vertAlign w:val="superscript"/>
        </w:rPr>
        <w:t>®</w:t>
      </w:r>
      <w:r>
        <w:rPr>
          <w:rFonts w:ascii="Arial" w:cs="Arial" w:eastAsia="Arial" w:hAnsi="Arial"/>
          <w:sz w:val="17"/>
          <w:szCs w:val="17"/>
          <w:color w:val="auto"/>
        </w:rPr>
        <w:t>, which was launched in March 2021 for the treatment of moderate to severe cellulite in the buttocks of adult women. However, as further discussed in Note 5. Restructuring of the Condensed Consolidated Financial Statements included in Part I, Item 1, in December 2022, we announced we would be ceasing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w:t>
      </w:r>
    </w:p>
    <w:p>
      <w:pPr>
        <w:spacing w:after="0" w:line="97"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We expect to continue to focus investments in RTU and other differentiated product candidates in our Sterile Injectables segment, potentially including acquisitions and/or license and commercialization agreements.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The decreases in R&amp;D expense for the three and six months ended June 30, 2023 were primarily driven by decreased costs associated with certain of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development programs and certain restructuring and other cost reduction initiatives. Refer to Note 5. Restructuring of the Condensed Consolidated Financial Statements included in Part I, Item 1 for further discussion of certain restructuring initiatives, including a discussion of amounts recognized.</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our development programs progress, it is possible that our R&amp;D expenses could increase.</w:t>
      </w:r>
    </w:p>
    <w:p>
      <w:pPr>
        <w:spacing w:after="0" w:line="117"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b w:val="1"/>
          <w:bCs w:val="1"/>
          <w:i w:val="1"/>
          <w:iCs w:val="1"/>
          <w:color w:val="auto"/>
        </w:rPr>
        <w:t xml:space="preserve">Acquired in-process research and development. </w:t>
      </w:r>
      <w:r>
        <w:rPr>
          <w:rFonts w:ascii="Arial" w:cs="Arial" w:eastAsia="Arial" w:hAnsi="Arial"/>
          <w:sz w:val="16"/>
          <w:szCs w:val="16"/>
          <w:color w:val="auto"/>
        </w:rPr>
        <w:t>Acquired in-process research and development charges are generally recognized in periods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5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Litigation-related and other contingencies, net. </w:t>
      </w:r>
      <w:r>
        <w:rPr>
          <w:rFonts w:ascii="Arial" w:cs="Arial" w:eastAsia="Arial" w:hAnsi="Arial"/>
          <w:sz w:val="18"/>
          <w:szCs w:val="18"/>
          <w:color w:val="auto"/>
        </w:rPr>
        <w:t>Included within Litigation-related and other contingencies, net are changes to our accruals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litigation-related charges. Our material legal proceedings and other contingent matters are described in more detail in Note 15. Commitments and Contingencies of the Condensed Consolidated Financial Statements included in Part I, Item 1.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820" w:type="dxa"/>
            <w:vAlign w:val="bottom"/>
            <w:gridSpan w:val="5"/>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500" w:type="dxa"/>
            <w:vAlign w:val="bottom"/>
          </w:tcPr>
          <w:p>
            <w:pPr>
              <w:spacing w:after="0"/>
              <w:rPr>
                <w:sz w:val="15"/>
                <w:szCs w:val="15"/>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1,748,000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1,748,000</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96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49,953</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color w:val="auto"/>
              </w:rPr>
              <w:t>Total asset impairment charges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1,781,063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1,801,016</w:t>
            </w: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For additional information, refer to Note 7. Fair Value Measurements and Note 10. Goodwill and Other Intangibles of the Condensed Consolidated Financial Statements included in Part I, Item 1, as well as the “CRITICAL ACCOUNTING ESTIMATES” section herein.</w:t>
      </w:r>
    </w:p>
    <w:p>
      <w:pPr>
        <w:spacing w:after="0" w:line="62"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Acquisition-related and integration items, net. </w:t>
      </w:r>
      <w:r>
        <w:rPr>
          <w:rFonts w:ascii="Arial" w:cs="Arial" w:eastAsia="Arial" w:hAnsi="Arial"/>
          <w:sz w:val="18"/>
          <w:szCs w:val="18"/>
          <w:color w:val="auto"/>
        </w:rPr>
        <w:t>Acquisition-related and integration items, net primarily consist of the net expense from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of the Condensed Consolidated Financial Statements included in Part I, Item 1 for further discussion of our acquisition-related contingent consideration.</w:t>
      </w:r>
    </w:p>
    <w:p>
      <w:pPr>
        <w:spacing w:after="0" w:line="80" w:lineRule="exact"/>
        <w:rPr>
          <w:sz w:val="20"/>
          <w:szCs w:val="20"/>
          <w:color w:val="auto"/>
        </w:rPr>
      </w:pPr>
    </w:p>
    <w:p>
      <w:pPr>
        <w:ind w:right="6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six months ended June 30, 2023 and 2022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39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55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6"/>
              </w:rPr>
              <w:t>534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275,006</w:t>
            </w:r>
          </w:p>
        </w:tc>
      </w:tr>
      <w:tr>
        <w:trPr>
          <w:trHeight w:val="24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0"/>
              </w:rPr>
              <w:t>(305)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557"/>
              <w:spacing w:after="0"/>
              <w:rPr>
                <w:sz w:val="20"/>
                <w:szCs w:val="20"/>
                <w:color w:val="auto"/>
              </w:rPr>
            </w:pPr>
            <w:r>
              <w:rPr>
                <w:rFonts w:ascii="Arial" w:cs="Arial" w:eastAsia="Arial" w:hAnsi="Arial"/>
                <w:sz w:val="18"/>
                <w:szCs w:val="18"/>
                <w:color w:val="auto"/>
                <w:w w:val="86"/>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274,733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The decreases in interest expense for the three and six months ended June 30, 2023 were primarily attributable to the fact that we ceased the recognition of interest expense related to our indebtedness beginning on the Petition Date as a result of the Chapter 11 Cases. Beginning during the third quarter of 2022, we became obligated to make certain adequate protection payments as a result of the Chapter 11 Cases, which are currently being accounted for as a reduction of the carrying amount of the related debt instruments. Some or all of the adequate protection payments may later be recharacterized as interest expense depending upon certain developments in the Chapter 11 Cases, which could result in increases in interest expense in future periods that may be material. Refer to Note 14. Debt of the Condensed Consolidated Financial Statements included in Part I, Item 1 for further discussion.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5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Reorganization items, net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relate to the net expense or income recognized during our bankruptcy proceedings required to be presented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Reorganization items, net under ASC 852. Refer to Note 2. Bankruptcy Proceedings of the Condensed Consolidated Financial Statements included in Part I, Item 1 for further details. Costs related to our bankruptcy proceedings that were incurred prior to the Petition Date are generally reflected as Selling, general and administrative expenses in our Condensed Consolidated Statements of Operations. We expect to continue to incur significant expenses in connection with our ongoing bankruptcy proceedings and certain related transactions and it is possible that such costs will increase over time, particularly if we incur certain associated success-related and/or other contingent fees, which could be significant. In addition, the longer the Chapter 11 Cases continue, the higher our expenses for these matters could be.</w:t>
      </w:r>
    </w:p>
    <w:p>
      <w:pPr>
        <w:spacing w:after="0" w:line="68" w:lineRule="exact"/>
        <w:rPr>
          <w:sz w:val="20"/>
          <w:szCs w:val="20"/>
          <w:color w:val="auto"/>
        </w:rPr>
      </w:pPr>
    </w:p>
    <w:p>
      <w:pPr>
        <w:ind w:right="3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components of Other expense (income), net for the three and six months ended June 30, 2023 and 2022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loss (gain),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(gain) loss from our investments in the equity of other companies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For additional information on the components of Other expense (income), net, refer to Note 18. Other Expense (Income), Net of the Condensed Consolidated Financial Statements included in Part I, Item 1.</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The following table displays our Income (loss) from continuing operations before income tax, Income tax expense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for the three and six months ended June 30, 2023 and 2022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5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34,290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(1,873,732)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37,240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(1,940,847)</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10,279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7,151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16,052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5,336</w:t>
            </w:r>
          </w:p>
        </w:tc>
      </w:tr>
      <w:tr>
        <w:trPr>
          <w:trHeight w:val="236"/>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43.1 %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r>
    </w:tbl>
    <w:p>
      <w:pPr>
        <w:spacing w:after="0" w:line="18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change in Income tax expense for the three and six months ended June 30, 2023 compared to the prior year periods primarily relate to an increase in accrued interest on uncertain tax positions, 2022 discrete tax benefit related to Canadian uncertain tax positions and changes in the geographic mix of pre-tax earnings.</w:t>
      </w:r>
    </w:p>
    <w:p>
      <w:pPr>
        <w:spacing w:after="0" w:line="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4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Ireland and certain other foreign tax jurisdictions as of June 30, 2023.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19. Income Taxes of the Condensed Consolidated Financial Statements included in Part I, Item 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“Risk Factors” in the Annual Report for more information.</w:t>
      </w:r>
    </w:p>
    <w:p>
      <w:pPr>
        <w:spacing w:after="0" w:line="56" w:lineRule="exact"/>
        <w:rPr>
          <w:sz w:val="20"/>
          <w:szCs w:val="20"/>
          <w:color w:val="auto"/>
        </w:rPr>
      </w:pPr>
    </w:p>
    <w:p>
      <w:pPr>
        <w:ind w:right="180" w:firstLine="486"/>
        <w:spacing w:after="0" w:line="295"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resolved to wind down in 2016,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as Discontinued operations, net of tax in the Condensed Consolidated Statements of Operations for all periods presented. The following table provides the operating results of Astora Discontinued operations, net of tax, for the three and six months ended June 30, 2023 and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84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4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(11,218)</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(11,218)</w:t>
            </w:r>
          </w:p>
        </w:tc>
      </w:tr>
    </w:tbl>
    <w:p>
      <w:pPr>
        <w:spacing w:after="0" w:line="187"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Amounts included in the Litigation-related and other contingencies, net line of the table above are for mesh-related litigation. The remaining pre-tax amounts during the three and six months ended June 30, 2023 and 2022 were primarily related to mesh-related legal defense costs and certain other items. For additional discussion of mesh-related matters, refer to Note 15. Commitments and Contingencies of the Condensed Consolidated Financial Statements included in Part I, Item 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1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six months ended June 30, 2023 and 2022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w:t>
      </w:r>
    </w:p>
    <w:tbl>
      <w:tblPr>
        <w:tblLayout w:type="fixed"/>
        <w:tblInd w:w="2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220" w:type="dxa"/>
            <w:vAlign w:val="bottom"/>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423,813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363,199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203,377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8"/>
        </w:trPr>
        <w:tc>
          <w:tcPr>
            <w:tcW w:w="2960" w:type="dxa"/>
            <w:vAlign w:val="bottom"/>
            <w:shd w:val="clear" w:color="auto" w:fill="CCEEFF"/>
          </w:tcPr>
          <w:p>
            <w:pPr>
              <w:ind w:left="140"/>
              <w:spacing w:after="0" w:line="168" w:lineRule="exact"/>
              <w:rPr>
                <w:sz w:val="20"/>
                <w:szCs w:val="20"/>
                <w:color w:val="auto"/>
              </w:rPr>
            </w:pPr>
            <w:r>
              <w:rPr>
                <w:rFonts w:ascii="Arial" w:cs="Arial" w:eastAsia="Arial" w:hAnsi="Arial"/>
                <w:sz w:val="18"/>
                <w:szCs w:val="18"/>
                <w:color w:val="auto"/>
              </w:rPr>
              <w:t>Total net revenues from external</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546,852</w:t>
            </w:r>
          </w:p>
        </w:tc>
        <w:tc>
          <w:tcPr>
            <w:tcW w:w="4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569,114</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1,062,119</w:t>
            </w:r>
          </w:p>
        </w:tc>
        <w:tc>
          <w:tcPr>
            <w:tcW w:w="40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1,221,373</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customers</w:t>
            </w:r>
          </w:p>
        </w:tc>
        <w:tc>
          <w:tcPr>
            <w:tcW w:w="2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4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firstLine="486"/>
        <w:spacing w:after="0" w:line="269"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three and six months ended June 30, 2023 and 2022 (dollars in thousands):</w:t>
      </w:r>
    </w:p>
    <w:tbl>
      <w:tblPr>
        <w:tblLayout w:type="fixed"/>
        <w:tblInd w:w="2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Arial" w:cs="Arial" w:eastAsia="Arial" w:hAnsi="Arial"/>
                <w:sz w:val="14"/>
                <w:szCs w:val="14"/>
                <w:b w:val="1"/>
                <w:bCs w:val="1"/>
                <w:color w:val="auto"/>
              </w:rPr>
              <w:t>% Change</w:t>
            </w:r>
          </w:p>
        </w:tc>
      </w:tr>
      <w:tr>
        <w:trPr>
          <w:trHeight w:val="26"/>
        </w:trPr>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2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 vs. 2022</w:t>
            </w:r>
          </w:p>
        </w:tc>
      </w:tr>
      <w:tr>
        <w:trPr>
          <w:trHeight w:val="224"/>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960" w:type="dxa"/>
            <w:vAlign w:val="bottom"/>
          </w:tcPr>
          <w:p>
            <w:pPr>
              <w:ind w:left="120"/>
              <w:spacing w:after="0" w:line="230"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117,291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120,878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214,201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220,362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960" w:type="dxa"/>
            <w:vAlign w:val="bottom"/>
            <w:shd w:val="clear" w:color="auto" w:fill="CCEEFF"/>
          </w:tcPr>
          <w:p>
            <w:pPr>
              <w:ind w:left="120"/>
              <w:spacing w:after="0" w:line="243"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Other Specialty (1)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960" w:type="dxa"/>
            <w:vAlign w:val="bottom"/>
            <w:tcBorders>
              <w:top w:val="single" w:sz="8" w:color="CCEEFF"/>
            </w:tcBorders>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43"/>
        </w:trPr>
        <w:tc>
          <w:tcPr>
            <w:tcW w:w="2960" w:type="dxa"/>
            <w:vAlign w:val="bottom"/>
            <w:shd w:val="clear" w:color="auto" w:fill="CCEEFF"/>
          </w:tcPr>
          <w:p>
            <w:pPr>
              <w:ind w:left="120"/>
              <w:spacing w:after="0" w:line="243"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960" w:type="dxa"/>
            <w:vAlign w:val="bottom"/>
          </w:tcPr>
          <w:p>
            <w:pPr>
              <w:ind w:left="120"/>
              <w:spacing w:after="0" w:line="230"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Established (2)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6"/>
        </w:trPr>
        <w:tc>
          <w:tcPr>
            <w:tcW w:w="2960" w:type="dxa"/>
            <w:vAlign w:val="bottom"/>
          </w:tcPr>
          <w:p>
            <w:pPr>
              <w:ind w:left="20"/>
              <w:spacing w:after="0"/>
              <w:rPr>
                <w:sz w:val="20"/>
                <w:szCs w:val="20"/>
                <w:color w:val="auto"/>
              </w:rPr>
            </w:pPr>
            <w:r>
              <w:rPr>
                <w:rFonts w:ascii="Arial" w:cs="Arial" w:eastAsia="Arial" w:hAnsi="Arial"/>
                <w:sz w:val="18"/>
                <w:szCs w:val="18"/>
                <w:color w:val="auto"/>
              </w:rPr>
              <w:t>Total Established Products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47,024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102,416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110,892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218,952</w:t>
            </w:r>
          </w:p>
        </w:tc>
        <w:tc>
          <w:tcPr>
            <w:tcW w:w="1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423,813</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9"/>
          <w:szCs w:val="9"/>
          <w:color w:val="auto"/>
        </w:rPr>
        <w:t>®</w:t>
      </w:r>
      <w:r>
        <w:rPr>
          <w:rFonts w:ascii="Arial" w:cs="Arial" w:eastAsia="Arial" w:hAnsi="Arial"/>
          <w:sz w:val="14"/>
          <w:szCs w:val="14"/>
          <w:color w:val="auto"/>
        </w:rPr>
        <w:t>, NASCOBAL</w:t>
      </w:r>
      <w:r>
        <w:rPr>
          <w:rFonts w:ascii="Arial" w:cs="Arial" w:eastAsia="Arial" w:hAnsi="Arial"/>
          <w:sz w:val="9"/>
          <w:szCs w:val="9"/>
          <w:color w:val="auto"/>
        </w:rPr>
        <w:t>®</w:t>
      </w:r>
      <w:r>
        <w:rPr>
          <w:rFonts w:ascii="Arial" w:cs="Arial" w:eastAsia="Arial" w:hAnsi="Arial"/>
          <w:sz w:val="14"/>
          <w:szCs w:val="14"/>
          <w:color w:val="auto"/>
        </w:rPr>
        <w:t xml:space="preserve"> Nasal Spray and QWO</w:t>
      </w:r>
      <w:r>
        <w:rPr>
          <w:rFonts w:ascii="Arial" w:cs="Arial" w:eastAsia="Arial" w:hAnsi="Arial"/>
          <w:sz w:val="9"/>
          <w:szCs w:val="9"/>
          <w:color w:val="auto"/>
        </w:rPr>
        <w:t>®</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500" w:hanging="330"/>
        <w:spacing w:after="0" w:line="209"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00" w:right="40" w:hanging="330"/>
        <w:spacing w:after="0" w:line="275"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2023 and/or any product having revenues in excess of $25 million during any completed quarterly period in 2023 or 2022.</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2" w:lineRule="exact"/>
        <w:rPr>
          <w:sz w:val="20"/>
          <w:szCs w:val="20"/>
          <w:color w:val="auto"/>
        </w:rPr>
      </w:pPr>
    </w:p>
    <w:p>
      <w:pPr>
        <w:ind w:right="80" w:firstLine="486"/>
        <w:spacing w:after="0" w:line="224" w:lineRule="auto"/>
        <w:rPr>
          <w:sz w:val="20"/>
          <w:szCs w:val="20"/>
          <w:color w:val="auto"/>
        </w:rPr>
      </w:pPr>
      <w:r>
        <w:rPr>
          <w:rFonts w:ascii="Arial" w:cs="Arial" w:eastAsia="Arial" w:hAnsi="Arial"/>
          <w:sz w:val="18"/>
          <w:szCs w:val="18"/>
          <w:color w:val="auto"/>
        </w:rPr>
        <w:t>Certain of our products that are physician administered,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generally experienced decreased sales volumes during the COVID-19 pandemic due to reduced physician office activity and patient office visits because of the COVID-19 pandemic. The pandemic and other market conditions also created a high backlog of demand for non-elective urology procedures, which has in certain cases reduced the utilization of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by healthcare providers.</w:t>
      </w:r>
    </w:p>
    <w:p>
      <w:pPr>
        <w:spacing w:after="0" w:line="92" w:lineRule="exact"/>
        <w:rPr>
          <w:sz w:val="20"/>
          <w:szCs w:val="20"/>
          <w:color w:val="auto"/>
        </w:rPr>
      </w:pPr>
    </w:p>
    <w:p>
      <w:pPr>
        <w:ind w:right="100" w:firstLine="486"/>
        <w:spacing w:after="0" w:line="266" w:lineRule="auto"/>
        <w:rPr>
          <w:sz w:val="20"/>
          <w:szCs w:val="20"/>
          <w:color w:val="auto"/>
        </w:rPr>
      </w:pPr>
      <w:r>
        <w:rPr>
          <w:rFonts w:ascii="Arial" w:cs="Arial" w:eastAsia="Arial" w:hAnsi="Arial"/>
          <w:sz w:val="16"/>
          <w:szCs w:val="16"/>
          <w:color w:val="auto"/>
        </w:rPr>
        <w:t>The decrease in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three months ended June 30, 2023 was primarily attributable to decreased net price, partially offset by increased volumes. The decrease in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six months ended June 30, 2023 was primarily attributable to decreased volumes and net price. Volumes for the six months ended June 30, 2023 were primarily impacted by channel inventory destocking during the first quarter 2023, partially offset by strong volume growth during the second quarter of 2023 in the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indication for the treatment of Peyronie’s Disease.</w:t>
      </w:r>
    </w:p>
    <w:p>
      <w:pPr>
        <w:spacing w:after="0" w:line="3" w:lineRule="exact"/>
        <w:rPr>
          <w:sz w:val="20"/>
          <w:szCs w:val="20"/>
          <w:color w:val="auto"/>
        </w:rPr>
      </w:pPr>
    </w:p>
    <w:p>
      <w:pPr>
        <w:ind w:right="180" w:firstLine="486"/>
        <w:spacing w:after="0" w:line="217" w:lineRule="auto"/>
        <w:rPr>
          <w:sz w:val="20"/>
          <w:szCs w:val="20"/>
          <w:color w:val="auto"/>
        </w:rPr>
      </w:pPr>
      <w:r>
        <w:rPr>
          <w:rFonts w:ascii="Arial" w:cs="Arial" w:eastAsia="Arial" w:hAnsi="Arial"/>
          <w:sz w:val="18"/>
          <w:szCs w:val="18"/>
          <w:color w:val="auto"/>
        </w:rPr>
        <w:t>The increase in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for the three months ended June 30, 2023 was primarily attributable to increased net price, partially offset by decreased volumes. The decrease in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for the six months ended June 30, 2023 was primarily attributable to decreased volumes, partially offset by increased net price.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decreases in Other Established Products revenues for the three and six months ended June 30, 2023 were primarily attributable to ongoing competitive pressures impacting this product portfolio and certain other factors.</w:t>
      </w:r>
    </w:p>
    <w:p>
      <w:pPr>
        <w:spacing w:after="0" w:line="62"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Our Established Products portfolio has been and is likely to continue to be affected by ongoing competitive pressures. The effects of competition could result in revenue decreases or otherwise impact future periods, which could have a material adverse effect on our business, financial condition, results of operations and cash flows.</w:t>
      </w:r>
    </w:p>
    <w:p>
      <w:pPr>
        <w:spacing w:after="0" w:line="76" w:lineRule="exact"/>
        <w:rPr>
          <w:sz w:val="20"/>
          <w:szCs w:val="20"/>
          <w:color w:val="auto"/>
        </w:rPr>
      </w:pPr>
    </w:p>
    <w:p>
      <w:pPr>
        <w:ind w:right="80" w:firstLine="486"/>
        <w:spacing w:after="0" w:line="269"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2023 and 2022 (dollars in thousands):</w:t>
      </w:r>
    </w:p>
    <w:tbl>
      <w:tblPr>
        <w:tblLayout w:type="fixed"/>
        <w:tblInd w:w="2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r>
      <w:tr>
        <w:trPr>
          <w:trHeight w:val="195"/>
        </w:trPr>
        <w:tc>
          <w:tcPr>
            <w:tcW w:w="29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 vs. 2022</w:t>
            </w: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960" w:type="dxa"/>
            <w:vAlign w:val="bottom"/>
          </w:tcPr>
          <w:p>
            <w:pPr>
              <w:ind w:left="20"/>
              <w:spacing w:after="0" w:line="243"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191,520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2960" w:type="dxa"/>
            <w:vAlign w:val="bottom"/>
          </w:tcPr>
          <w:p>
            <w:pPr>
              <w:ind w:left="120"/>
              <w:spacing w:after="0"/>
              <w:rPr>
                <w:sz w:val="20"/>
                <w:szCs w:val="20"/>
                <w:color w:val="auto"/>
              </w:rPr>
            </w:pPr>
            <w:r>
              <w:rPr>
                <w:rFonts w:ascii="Arial" w:cs="Arial" w:eastAsia="Arial" w:hAnsi="Arial"/>
                <w:sz w:val="18"/>
                <w:szCs w:val="18"/>
                <w:color w:val="auto"/>
              </w:rPr>
              <w:t>Total Sterile Injectables (2)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00" w:hanging="330"/>
        <w:spacing w:after="0" w:line="218"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00" w:right="180" w:hanging="330"/>
        <w:spacing w:after="0" w:line="275"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six months ended June 30, 2023 and/or any product having revenues in excess of $25 million during any completed quarterly period in 2023 or 2022.</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right="140" w:firstLine="486"/>
        <w:spacing w:after="0" w:line="229" w:lineRule="auto"/>
        <w:rPr>
          <w:sz w:val="20"/>
          <w:szCs w:val="20"/>
          <w:color w:val="auto"/>
        </w:rPr>
      </w:pPr>
      <w:r>
        <w:rPr>
          <w:rFonts w:ascii="Arial" w:cs="Arial" w:eastAsia="Arial" w:hAnsi="Arial"/>
          <w:sz w:val="18"/>
          <w:szCs w:val="18"/>
          <w:color w:val="auto"/>
        </w:rPr>
        <w:t>For the three months ended June 30, 2023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were in line with prior year sales. The decrease in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six months ended June 30, 2023 was primarily attributable to decreased net price, partially offset by increased volumes.</w:t>
      </w:r>
    </w:p>
    <w:p>
      <w:pPr>
        <w:spacing w:after="0" w:line="90" w:lineRule="exact"/>
        <w:rPr>
          <w:sz w:val="20"/>
          <w:szCs w:val="20"/>
          <w:color w:val="auto"/>
        </w:rPr>
      </w:pPr>
    </w:p>
    <w:p>
      <w:pPr>
        <w:ind w:right="20" w:firstLine="486"/>
        <w:spacing w:after="0" w:line="246" w:lineRule="auto"/>
        <w:rPr>
          <w:sz w:val="20"/>
          <w:szCs w:val="20"/>
          <w:color w:val="auto"/>
        </w:rPr>
      </w:pPr>
      <w:r>
        <w:rPr>
          <w:rFonts w:ascii="Arial" w:cs="Arial" w:eastAsia="Arial" w:hAnsi="Arial"/>
          <w:sz w:val="17"/>
          <w:szCs w:val="17"/>
          <w:color w:val="auto"/>
        </w:rPr>
        <w:t>The decreases in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for the three and six months ended June 30, 2023 were primarily driven by decreases to both volumes and net price, which were primarily attributable to the impact of generic competition as well as lower overall market demand as COVID-19-related hospital utilization levels declined. During the first quarter of 2022, multiple competitive generic alternatives to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Arial" w:cs="Arial" w:eastAsia="Arial" w:hAnsi="Arial"/>
          <w:sz w:val="22"/>
          <w:szCs w:val="22"/>
          <w:color w:val="auto"/>
          <w:vertAlign w:val="superscript"/>
        </w:rPr>
        <w:t>®</w:t>
      </w:r>
      <w:r>
        <w:rPr>
          <w:rFonts w:ascii="Arial" w:cs="Arial" w:eastAsia="Arial" w:hAnsi="Arial"/>
          <w:sz w:val="17"/>
          <w:szCs w:val="17"/>
          <w:color w:val="auto"/>
        </w:rPr>
        <w:t>. In February 2022, we launched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an RTU bottle, representing the first and only RTU formulation of the drug. The bottle formulation now represents a meaningful portion of the overall vasopressin market. Nevertheless, the factors described above could have a material adverse effect on our business, financial condition, results of operations and cash flows.</w:t>
      </w:r>
    </w:p>
    <w:p>
      <w:pPr>
        <w:spacing w:after="0" w:line="93"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The increases in Other Sterile Injectables revenues for the three and six months ended June 30, 2023 were primarily attributable to the Novavax Settlement Agreement, partially offset by decreased net price. Refer to Note 6. Segment Results of the Condensed Consolidated Financial Statements included in Part I, Item 1 for further discussion.</w:t>
      </w:r>
    </w:p>
    <w:p>
      <w:pPr>
        <w:spacing w:after="0" w:line="76" w:lineRule="exact"/>
        <w:rPr>
          <w:sz w:val="20"/>
          <w:szCs w:val="20"/>
          <w:color w:val="auto"/>
        </w:rPr>
      </w:pPr>
    </w:p>
    <w:p>
      <w:pPr>
        <w:jc w:val="both"/>
        <w:ind w:right="460" w:firstLine="486"/>
        <w:spacing w:after="0" w:line="342" w:lineRule="auto"/>
        <w:rPr>
          <w:sz w:val="20"/>
          <w:szCs w:val="20"/>
          <w:color w:val="auto"/>
        </w:rPr>
      </w:pPr>
      <w:r>
        <w:rPr>
          <w:rFonts w:ascii="Arial" w:cs="Arial" w:eastAsia="Arial" w:hAnsi="Arial"/>
          <w:sz w:val="16"/>
          <w:szCs w:val="16"/>
          <w:color w:val="auto"/>
        </w:rPr>
        <w:t>Our Sterile Injectables segment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16"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decreases in Generic Pharmaceuticals revenues for the three and six months ended June 30, 2023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competitive pressures on certain generic products including lubiprostone capsules and varenicline tablets, partially offset by the revenues from dexlansoprazole delayed release capsules, which launched in November 2022.</w:t>
      </w:r>
    </w:p>
    <w:p>
      <w:pPr>
        <w:spacing w:after="0" w:line="76"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During the six months ended June 30, 2023, multiple competitors launched alternative generic versions of varenicline tablets. These launches began to impact both Endo’s market share and product price toward the middle of the first quarter of 2023. The effects of competition are likely to increase in future periods, impacting our Generic Pharmaceuticals segment. Other products in our Generic Pharmaceuticals segment are also likely to continue to be affected by ongoing competitive pressures. These factors could result in revenue decreases or otherwise impact future periods, which could have a material adverse effect on our business, financial condition, results of operations and cash flows.</w:t>
      </w:r>
    </w:p>
    <w:p>
      <w:pPr>
        <w:spacing w:after="0" w:line="68"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Segment adjusted income from continuing operations before income tax. </w:t>
      </w:r>
      <w:r>
        <w:rPr>
          <w:rFonts w:ascii="Arial" w:cs="Arial" w:eastAsia="Arial" w:hAnsi="Arial"/>
          <w:sz w:val="18"/>
          <w:szCs w:val="18"/>
          <w:color w:val="auto"/>
        </w:rPr>
        <w:t>The following table displays our Segment adjusted income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operations before income tax (the measure we use to evaluate segment performance) by reportable segment for the three and six months ended June 30, 2023 and 2022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25"/>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3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 vs. 2022</w:t>
            </w:r>
          </w:p>
        </w:tc>
      </w:tr>
      <w:tr>
        <w:trPr>
          <w:trHeight w:val="238"/>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69,546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68,397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110,636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259,651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8,472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10,208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ind w:right="20" w:firstLine="486"/>
        <w:spacing w:after="0" w:line="234"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increases in Segment adjusted income from continuing operations before income tax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were primarily attributable to decreased costs associated with our commercial investment in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legal matters, partially offset by the gross margin effects of the decreased revenues further described above.</w:t>
      </w:r>
    </w:p>
    <w:p>
      <w:pPr>
        <w:spacing w:after="0" w:line="9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i w:val="1"/>
          <w:iCs w:val="1"/>
          <w:color w:val="auto"/>
        </w:rPr>
        <w:t>Sterile Injectables</w:t>
      </w:r>
      <w:r>
        <w:rPr>
          <w:rFonts w:ascii="Arial" w:cs="Arial" w:eastAsia="Arial" w:hAnsi="Arial"/>
          <w:sz w:val="18"/>
          <w:szCs w:val="18"/>
          <w:color w:val="auto"/>
        </w:rPr>
        <w:t>. The decrease in Segment adjusted income from continuing operations before income tax for the six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attributable to the gross margin effects of the decreased revenues further described above.</w:t>
      </w:r>
    </w:p>
    <w:p>
      <w:pPr>
        <w:spacing w:after="0" w:line="6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increase in Segment adjusted income from continuing operations before income tax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was primarily attributable to lower Selling, general and administrative expenses resulting from reduced legal expenses and the impact of prior restructurings.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On the Petition Date, certain of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 Basis of Presentation, Note 2. Bankruptcy Proceedings and Note 14. Debt of the Condensed Consolidated Financial Statements included in Part I, Item 1 for further discussion.</w:t>
      </w:r>
    </w:p>
    <w:p>
      <w:pPr>
        <w:spacing w:after="0" w:line="6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principal source of liquidity is cash generated from operations. Cash and cash equivalents, which primarily consisted of bank deposits and money market accounts, totaled $865.9 million at June 30, 2023 compared to $1,018.9 million at December 31, 2022. Our principal liquidity requirements are primarily for working capital for operations, licenses, capital expenditures, mergers and acquisitions (including upfront and milestone payments to third parties), income taxes, litigation-related and other contingent liabilities, debt service payments (including adequate protection payments on our First Lien Debt Instruments) and other amounts related to our bankruptcy proceedings.</w:t>
      </w:r>
    </w:p>
    <w:p>
      <w:pPr>
        <w:spacing w:after="0" w:line="6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business is exposed to a variety of material risks as further described herein and in the Annual Report. We may face unexpected costs in connection with our business operations, our ongoing and future legal proceedings, governmental investigations and other contingent liabilities (including potential costs related to settlements and judgments, as well as legal defense costs) and our ongoing bankruptcy proceedings.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Additionally, as further discussed in Note 1. Basis of Presentation of the Condensed Consolidated Financial Statements included in Part I, Item 1,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7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To the extent we are required or choose to seek third-party financing in the future,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8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Refer to Note 2. Bankruptcy Proceedings and Note 14. Debt of the Condensed Consolidated Financial Statements included in Part I, Item 1 of this report and Note 15. Debt in the Consolidated Financial Statements included in Part IV, Item 15 of the Annual Report for additional information about our indebtedness, including information about amounts currently outstanding, maturities, interest rates, security, priority, certain recent debt financing transactions and the effects of bankruptcy-related proceedings and the corresponding event of default.</w:t>
      </w:r>
    </w:p>
    <w:p>
      <w:pPr>
        <w:spacing w:after="0" w:line="84" w:lineRule="exact"/>
        <w:rPr>
          <w:sz w:val="20"/>
          <w:szCs w:val="20"/>
          <w:color w:val="auto"/>
        </w:rPr>
      </w:pPr>
    </w:p>
    <w:p>
      <w:pPr>
        <w:ind w:right="8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June 30, 2023 and December 31, 2022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5"/>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2,076,768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Less: total current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564,882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689,627</w:t>
            </w:r>
          </w:p>
        </w:tc>
        <w:tc>
          <w:tcPr>
            <w:tcW w:w="0" w:type="dxa"/>
            <w:vAlign w:val="bottom"/>
          </w:tcPr>
          <w:p>
            <w:pPr>
              <w:spacing w:after="0"/>
              <w:rPr>
                <w:sz w:val="1"/>
                <w:szCs w:val="1"/>
                <w:color w:val="auto"/>
              </w:rPr>
            </w:pPr>
          </w:p>
        </w:tc>
      </w:tr>
      <w:tr>
        <w:trPr>
          <w:trHeight w:val="25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1,298,030</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1,387,141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4"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Net working capital decreased by $89.1 million from December 31, 2022 to June 30, 2023. During this period, working capital benefited from the favorable impacts to net current assets resulting from revenues and gross margins, which are further described above. These benefits were more than offset by, among other things, the following current period activity: (i) Adequate protection payments of $291.7 million; (ii) certain expenses incurred in connection with our bankruptcy proceedings and certain restructuring and other cost reduction initiatives; and (iii) Capital expenditures, excluding capitalized interest, net of Proceeds from the U.S. Government Agreement, of $34.2 million.</w:t>
      </w:r>
    </w:p>
    <w:p>
      <w:pPr>
        <w:spacing w:after="0" w:line="6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classification of our assets and liabilities in our Condensed Consolidated Balance Sheets may change significantly during bankruptcy proceedings, which could result in material changes to our working capital in future periods. Refer to Note 2. Bankruptcy Proceedings and Note 14. Debt of the Condensed Consolidated Financial Statements included in Part I, Item 1 for additional information.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486"/>
        <w:spacing w:after="0" w:line="269" w:lineRule="auto"/>
        <w:rPr>
          <w:sz w:val="20"/>
          <w:szCs w:val="20"/>
          <w:color w:val="auto"/>
        </w:rPr>
      </w:pPr>
      <w:r>
        <w:rPr>
          <w:rFonts w:ascii="Arial" w:cs="Arial" w:eastAsia="Arial" w:hAnsi="Arial"/>
          <w:sz w:val="18"/>
          <w:szCs w:val="18"/>
          <w:color w:val="auto"/>
        </w:rPr>
        <w:t>The following table summarizes our Condensed Consolidated Statements of Cash Flows for the three months ended June 30, 2023 and 2022 (in thousands):</w:t>
      </w: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8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189,414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67,903</w:t>
            </w:r>
          </w:p>
        </w:tc>
      </w:tr>
      <w:tr>
        <w:trPr>
          <w:trHeight w:val="243"/>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(111,746)</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(297,071)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(196,950)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decrease in cash, cash equivalents, restricted cash and restricted cash equivalents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(241,245)</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reorganization items, income taxes and certain other items.</w:t>
      </w:r>
    </w:p>
    <w:p>
      <w:pPr>
        <w:spacing w:after="0" w:line="8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$121.5 million increase in Net cash provided by operating activities during the six months ended June 30, 2023 compared to the prior year period was primarily due to reduced litigation costs, as a result of the automatic stay, reduced payments for opioid-related matters and reduced interest payments (which have historically been reflected as operating cash flows) on most of our debt instruments, further discussed in Note 2. Bankruptcy Proceedings and Note 14. Debt of the Condensed Consolidated Financial Statements included in Part I, Item 1. As further discussed below, adequate protection payments related to our First Lien Debt Instruments are currently being reflected as financing cash flows. These increases were offset by reduced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and increased payments for professional fees associated with our bankruptcy proceedings and certain related transactions.</w:t>
      </w:r>
    </w:p>
    <w:p>
      <w:pPr>
        <w:ind w:right="20" w:firstLine="486"/>
        <w:spacing w:after="0" w:line="257" w:lineRule="auto"/>
        <w:rPr>
          <w:sz w:val="20"/>
          <w:szCs w:val="20"/>
          <w:color w:val="auto"/>
        </w:rPr>
      </w:pPr>
      <w:r>
        <w:rPr>
          <w:rFonts w:ascii="Arial" w:cs="Arial" w:eastAsia="Arial" w:hAnsi="Arial"/>
          <w:sz w:val="18"/>
          <w:szCs w:val="18"/>
          <w:color w:val="auto"/>
        </w:rPr>
        <w:t>It is possible that our operating cash flows could decline in the future as a result of, among other things, reductions in revenues and payments associated with our bankruptcy proceedings and certain related transactions. Additionally, it is possible that some or all of the adequate protection payments described above may later be recharacterized as interest expense depending upon certain developments in the Chapter 11 Cases, which could result adequate protection payments being reflected as operating cash flows in future periods, which could in turn lead to decreases to our operating cash flows that may be material.</w:t>
      </w:r>
    </w:p>
    <w:p>
      <w:pPr>
        <w:spacing w:after="0" w:line="80"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$79.8 million decrease in Net cash used in investing activities during the six months ended June 30, 2023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period was primarily attributable to a decrease in Acquisitions, including in-process research and development, net of cash and restricted cash acquired of $89.5 million, an increase in Proceeds from the U.S. Government Agreement of $12.0 million and an increase in Capital expenditures, excluding capitalized interest of $6.0 million, partially offset by a decrease in Proceeds from sale of business and other assets of $18.9 million.</w:t>
      </w:r>
    </w:p>
    <w:p>
      <w:pPr>
        <w:spacing w:after="0" w:line="4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six months ended June 30, 2023, Net cash used in financing activities primarily related to Adequate protection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of $291.7 million.</w:t>
      </w:r>
    </w:p>
    <w:p>
      <w:pPr>
        <w:spacing w:after="0" w:line="6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six months ended June 30, 2022, Net cash used in financing activities primarily related to: (i) Repayments of notes of $180.3 million and (ii) Repayments of term loans of $10.0 million.</w:t>
      </w:r>
    </w:p>
    <w:p>
      <w:pPr>
        <w:spacing w:after="0" w:line="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Cash Requirements for Contractual and Other Obligations. </w:t>
      </w:r>
      <w:r>
        <w:rPr>
          <w:rFonts w:ascii="Arial" w:cs="Arial" w:eastAsia="Arial" w:hAnsi="Arial"/>
          <w:sz w:val="18"/>
          <w:szCs w:val="18"/>
          <w:color w:val="auto"/>
        </w:rPr>
        <w:t>For information about our cash requirements for contractual and other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 to the disclosures in our Annual Report as well as in Note 2. Bankruptcy Proceedings and Note 14. Debt of the Condensed Consolidated Financial Statements included in Part I, Item 1. As the Chapter 11 Cases progress, certain of our contractual arrangements could be amended or rejected, which could result in changes to our cash requirements for such obligations.</w:t>
      </w:r>
    </w:p>
    <w:p>
      <w:pPr>
        <w:spacing w:after="0" w:line="7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Fluctuations. </w:t>
      </w:r>
      <w:r>
        <w:rPr>
          <w:rFonts w:ascii="Arial" w:cs="Arial" w:eastAsia="Arial" w:hAnsi="Arial"/>
          <w:sz w:val="18"/>
          <w:szCs w:val="18"/>
          <w:color w:val="auto"/>
        </w:rPr>
        <w:t>As further discussed above, our quarterly results have fluctuated in the past and may continue to fluctuate. Additionally,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our total revenues are through three wholesale distributors who in turn supply our products to pharmacies, hospitals and physicians. Accordingly, we are potentially subject to a concentration of credit risk with respect to our trade receivables.</w:t>
      </w:r>
    </w:p>
    <w:p>
      <w:pPr>
        <w:spacing w:after="0" w:line="7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Materials, equipment and labor shortages, shipping, logistics and other delays and other supply chain and manufacturing disruptions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While we do not believe that inflation had a material adverse effect on our financial statements for the periods presented, if these types of events or disruptions continue to occur, they could have a material adverse effect on our business, financial condition, results of operations and cash flows.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Our critical accounting estimates have not changed materially since December 31, 2022. For additional discussion of the Company’s critical accounting estimates, see “Critical Accounting Estimates” in Item 7 of the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Refer to Note 3. Summary of Significant Accounting Policies of the Condensed Consolidated Financial Statements included in Part I, Item 1, as applicable.</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under this item.</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June 30, 2023. Based on that evaluation, the Company’s Chief Executive Officer and Principal Financial Officer concluded that the Company’s disclosure controls and procedures were effective as of June 30, 2023.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June 30, 2023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disclosures under Note 15. Commitments and Contingencies of the Condensed Consolidated Financial Statements included in Part I, Item 1 are incorporated into this Part II, Item 1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For a discussion of our risk factors, see the information in Part I, Item 1A. “Risk Factors” in the Annual Report and in Part II, Item 1A “Risk Factors” of our First-Quarter 2023 Form 10-Q. There have been no material changes to our risk factors from those described therein.</w:t>
      </w:r>
    </w:p>
    <w:p>
      <w:pPr>
        <w:spacing w:after="0" w:line="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June 30, 2023.</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As described in Note 2. Bankruptcy Proceedings and Note 14. Debt of the Condensed Consolidated Financial Statements included in Part I, Item 1, our filing of voluntary petitions for relief under the Bankruptcy Code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5580" w:type="dxa"/>
            <w:vAlign w:val="bottom"/>
            <w:gridSpan w:val="16"/>
          </w:tcPr>
          <w:p>
            <w:pPr>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5"/>
          </w:tcPr>
          <w:p>
            <w:pPr>
              <w:spacing w:after="0"/>
              <w:rPr>
                <w:sz w:val="20"/>
                <w:szCs w:val="20"/>
                <w:color w:val="auto"/>
              </w:rPr>
            </w:pPr>
            <w:r>
              <w:rPr>
                <w:rFonts w:ascii="Arial" w:cs="Arial" w:eastAsia="Arial" w:hAnsi="Arial"/>
                <w:sz w:val="14"/>
                <w:szCs w:val="14"/>
                <w:b w:val="1"/>
                <w:bCs w:val="1"/>
                <w:color w:val="auto"/>
              </w:rPr>
              <w:t>Incorporated by Reference from:</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20" w:type="dxa"/>
            <w:vAlign w:val="bottom"/>
            <w:gridSpan w:val="14"/>
          </w:tcPr>
          <w:p>
            <w:pPr>
              <w:spacing w:after="0"/>
              <w:rPr>
                <w:sz w:val="15"/>
                <w:szCs w:val="15"/>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File Number</w:t>
            </w: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Filing Type</w:t>
            </w:r>
          </w:p>
        </w:tc>
        <w:tc>
          <w:tcPr>
            <w:tcW w:w="1060" w:type="dxa"/>
            <w:vAlign w:val="bottom"/>
          </w:tcPr>
          <w:p>
            <w:pPr>
              <w:spacing w:after="0"/>
              <w:rPr>
                <w:sz w:val="15"/>
                <w:szCs w:val="15"/>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40" w:type="dxa"/>
            <w:vAlign w:val="bottom"/>
            <w:gridSpan w:val="15"/>
          </w:tcPr>
          <w:p>
            <w:pPr>
              <w:spacing w:after="0"/>
              <w:rPr>
                <w:rFonts w:ascii="Arial" w:cs="Arial" w:eastAsia="Arial" w:hAnsi="Arial"/>
                <w:sz w:val="18"/>
                <w:szCs w:val="18"/>
                <w:color w:val="0000FF"/>
              </w:rPr>
            </w:pPr>
            <w:hyperlink r:id="rId76">
              <w:r>
                <w:rPr>
                  <w:rFonts w:ascii="Arial" w:cs="Arial" w:eastAsia="Arial" w:hAnsi="Arial"/>
                  <w:sz w:val="18"/>
                  <w:szCs w:val="18"/>
                  <w:color w:val="0000FF"/>
                </w:rPr>
                <w:t>Certificate of Incorporation on re-registration as a public limited</w:t>
              </w:r>
            </w:hyperlink>
          </w:p>
        </w:tc>
        <w:tc>
          <w:tcPr>
            <w:tcW w:w="11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780" w:type="dxa"/>
            <w:vAlign w:val="bottom"/>
            <w:gridSpan w:val="6"/>
          </w:tcPr>
          <w:p>
            <w:pPr>
              <w:spacing w:after="0"/>
              <w:rPr>
                <w:sz w:val="20"/>
                <w:szCs w:val="20"/>
                <w:color w:val="auto"/>
              </w:rPr>
            </w:pPr>
            <w:r>
              <w:rPr>
                <w:rFonts w:ascii="Arial" w:cs="Arial" w:eastAsia="Arial" w:hAnsi="Arial"/>
                <w:sz w:val="18"/>
                <w:szCs w:val="18"/>
                <w:color w:val="auto"/>
              </w:rPr>
              <w:t>Current Report on Form 8- February 28, 2014</w:t>
            </w: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company of Endo International plc</w:t>
              </w:r>
            </w:hyperlink>
          </w:p>
        </w:tc>
        <w:tc>
          <w:tcPr>
            <w:tcW w:w="2100" w:type="dxa"/>
            <w:vAlign w:val="bottom"/>
            <w:tcBorders>
              <w:top w:val="single" w:sz="8" w:color="0000FF"/>
            </w:tcBorders>
            <w:gridSpan w:val="4"/>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spacing w:after="0" w:line="169" w:lineRule="exact"/>
              <w:rPr>
                <w:sz w:val="20"/>
                <w:szCs w:val="20"/>
                <w:color w:val="auto"/>
              </w:rPr>
            </w:pPr>
            <w:r>
              <w:rPr>
                <w:rFonts w:ascii="Arial" w:cs="Arial" w:eastAsia="Arial" w:hAnsi="Arial"/>
                <w:sz w:val="18"/>
                <w:szCs w:val="18"/>
                <w:color w:val="auto"/>
              </w:rPr>
              <w:t>K12B</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40" w:type="dxa"/>
            <w:vAlign w:val="bottom"/>
            <w:gridSpan w:val="15"/>
          </w:tcPr>
          <w:p>
            <w:pPr>
              <w:spacing w:after="0"/>
              <w:rPr>
                <w:rFonts w:ascii="Arial" w:cs="Arial" w:eastAsia="Arial" w:hAnsi="Arial"/>
                <w:sz w:val="18"/>
                <w:szCs w:val="18"/>
                <w:color w:val="0000FF"/>
              </w:rPr>
            </w:pPr>
            <w:hyperlink r:id="rId77">
              <w:r>
                <w:rPr>
                  <w:rFonts w:ascii="Arial" w:cs="Arial" w:eastAsia="Arial" w:hAnsi="Arial"/>
                  <w:sz w:val="18"/>
                  <w:szCs w:val="18"/>
                  <w:color w:val="0000FF"/>
                </w:rPr>
                <w:t>Memorandum and Articles of Association of Endo International plc,</w:t>
              </w:r>
            </w:hyperlink>
          </w:p>
        </w:tc>
        <w:tc>
          <w:tcPr>
            <w:tcW w:w="11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1940" w:type="dxa"/>
            <w:vAlign w:val="bottom"/>
            <w:gridSpan w:val="3"/>
          </w:tcPr>
          <w:p>
            <w:pPr>
              <w:spacing w:after="0"/>
              <w:rPr>
                <w:sz w:val="20"/>
                <w:szCs w:val="20"/>
                <w:color w:val="auto"/>
              </w:rPr>
            </w:pPr>
            <w:r>
              <w:rPr>
                <w:rFonts w:ascii="Arial" w:cs="Arial" w:eastAsia="Arial" w:hAnsi="Arial"/>
                <w:sz w:val="18"/>
                <w:szCs w:val="18"/>
                <w:color w:val="auto"/>
                <w:w w:val="93"/>
              </w:rPr>
              <w:t>Quarterly Report on Form</w:t>
            </w:r>
          </w:p>
        </w:tc>
        <w:tc>
          <w:tcPr>
            <w:tcW w:w="1840" w:type="dxa"/>
            <w:vAlign w:val="bottom"/>
            <w:gridSpan w:val="3"/>
          </w:tcPr>
          <w:p>
            <w:pPr>
              <w:ind w:left="40"/>
              <w:spacing w:after="0"/>
              <w:rPr>
                <w:sz w:val="20"/>
                <w:szCs w:val="20"/>
                <w:color w:val="auto"/>
              </w:rPr>
            </w:pPr>
            <w:r>
              <w:rPr>
                <w:rFonts w:ascii="Arial" w:cs="Arial" w:eastAsia="Arial" w:hAnsi="Arial"/>
                <w:sz w:val="18"/>
                <w:szCs w:val="18"/>
                <w:color w:val="auto"/>
              </w:rPr>
              <w:t>August 8, 2017</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dated as of October 31, 2013 and as amended as of June 8, 2017</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spacing w:after="0" w:line="156" w:lineRule="exact"/>
              <w:rPr>
                <w:sz w:val="20"/>
                <w:szCs w:val="20"/>
                <w:color w:val="auto"/>
              </w:rPr>
            </w:pPr>
            <w:r>
              <w:rPr>
                <w:rFonts w:ascii="Arial" w:cs="Arial" w:eastAsia="Arial" w:hAnsi="Arial"/>
                <w:sz w:val="18"/>
                <w:szCs w:val="18"/>
                <w:color w:val="auto"/>
              </w:rPr>
              <w:t>10-Q</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0000FF"/>
              </w:rPr>
              <w:t>Certification of the President and Chief Executive Officer of Endo</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5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0000FF"/>
                <w:w w:val="95"/>
              </w:rPr>
              <w:t>Certification of the Chief Financial Officer of Endo pursuant to Section</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0000FF"/>
              </w:rPr>
              <w:t>Certification of the President and Chief Executive Officer of Endo</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7"/>
              </w:rPr>
              <w:t>pursuant to 18 U.S.C. Section 1350, as adopted pursuant to Section</w:t>
            </w:r>
          </w:p>
        </w:tc>
        <w:tc>
          <w:tcPr>
            <w:tcW w:w="400" w:type="dxa"/>
            <w:vAlign w:val="bottom"/>
            <w:tcBorders>
              <w:bottom w:val="single" w:sz="8" w:color="0000FF"/>
            </w:tcBorders>
            <w:gridSpan w:val="4"/>
          </w:tcPr>
          <w:p>
            <w:pPr>
              <w:jc w:val="right"/>
              <w:ind w:right="20"/>
              <w:spacing w:after="0" w:line="156" w:lineRule="exact"/>
              <w:rPr>
                <w:sz w:val="20"/>
                <w:szCs w:val="20"/>
                <w:color w:val="auto"/>
              </w:rPr>
            </w:pPr>
            <w:r>
              <w:rPr>
                <w:rFonts w:ascii="Arial" w:cs="Arial" w:eastAsia="Arial" w:hAnsi="Arial"/>
                <w:sz w:val="18"/>
                <w:szCs w:val="18"/>
                <w:color w:val="0000FF"/>
              </w:rPr>
              <w:t>906</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0"/>
              </w:rPr>
              <w:t>of the Sarbanes-Oxley Act of 2002</w:t>
            </w:r>
          </w:p>
        </w:tc>
        <w:tc>
          <w:tcPr>
            <w:tcW w:w="2660" w:type="dxa"/>
            <w:vAlign w:val="bottom"/>
            <w:gridSpan w:val="10"/>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the Chief Financial Officer of Endo pursuant to 18</w:t>
            </w:r>
          </w:p>
        </w:tc>
        <w:tc>
          <w:tcPr>
            <w:tcW w:w="540" w:type="dxa"/>
            <w:vAlign w:val="bottom"/>
            <w:gridSpan w:val="5"/>
          </w:tcPr>
          <w:p>
            <w:pPr>
              <w:spacing w:after="0"/>
              <w:rPr>
                <w:sz w:val="18"/>
                <w:szCs w:val="18"/>
                <w:color w:val="auto"/>
              </w:rPr>
            </w:pP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40" w:type="dxa"/>
            <w:vAlign w:val="bottom"/>
            <w:gridSpan w:val="15"/>
          </w:tcPr>
          <w:p>
            <w:pPr>
              <w:spacing w:after="0" w:line="156" w:lineRule="exact"/>
              <w:rPr>
                <w:sz w:val="20"/>
                <w:szCs w:val="20"/>
                <w:color w:val="auto"/>
              </w:rPr>
            </w:pPr>
            <w:r>
              <w:rPr>
                <w:rFonts w:ascii="Arial" w:cs="Arial" w:eastAsia="Arial" w:hAnsi="Arial"/>
                <w:sz w:val="18"/>
                <w:szCs w:val="18"/>
                <w:color w:val="0000FF"/>
                <w:w w:val="89"/>
              </w:rPr>
              <w:t>U.S.C. Section 1350, as adopted pursuant to Section 906 of the Sarbanes-</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Oxley Act of 2002</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7"/>
                <w:szCs w:val="17"/>
                <w:color w:val="auto"/>
              </w:rPr>
            </w:pPr>
          </w:p>
        </w:tc>
        <w:tc>
          <w:tcPr>
            <w:tcW w:w="5340" w:type="dxa"/>
            <w:vAlign w:val="bottom"/>
            <w:gridSpan w:val="15"/>
          </w:tcPr>
          <w:p>
            <w:pPr>
              <w:spacing w:after="0" w:line="196" w:lineRule="exact"/>
              <w:rPr>
                <w:sz w:val="20"/>
                <w:szCs w:val="20"/>
                <w:color w:val="auto"/>
              </w:rPr>
            </w:pPr>
            <w:r>
              <w:rPr>
                <w:rFonts w:ascii="Arial" w:cs="Arial" w:eastAsia="Arial" w:hAnsi="Arial"/>
                <w:sz w:val="18"/>
                <w:szCs w:val="18"/>
                <w:color w:val="auto"/>
                <w:w w:val="94"/>
              </w:rPr>
              <w:t>iXBRL Instance Document - the instance document does not appear in</w:t>
            </w:r>
          </w:p>
        </w:tc>
        <w:tc>
          <w:tcPr>
            <w:tcW w:w="3100" w:type="dxa"/>
            <w:vAlign w:val="bottom"/>
            <w:gridSpan w:val="5"/>
          </w:tcPr>
          <w:p>
            <w:pPr>
              <w:spacing w:after="0" w:line="196" w:lineRule="exact"/>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40" w:type="dxa"/>
            <w:vAlign w:val="bottom"/>
            <w:gridSpan w:val="15"/>
          </w:tcPr>
          <w:p>
            <w:pPr>
              <w:spacing w:after="0" w:line="189" w:lineRule="exact"/>
              <w:rPr>
                <w:sz w:val="20"/>
                <w:szCs w:val="20"/>
                <w:color w:val="auto"/>
              </w:rPr>
            </w:pPr>
            <w:r>
              <w:rPr>
                <w:rFonts w:ascii="Arial" w:cs="Arial" w:eastAsia="Arial" w:hAnsi="Arial"/>
                <w:sz w:val="18"/>
                <w:szCs w:val="18"/>
                <w:color w:val="auto"/>
                <w:w w:val="93"/>
              </w:rPr>
              <w:t>the interactive data file because its XBRL tags are embedded within the</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inline XBRL document.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240" w:type="dxa"/>
            <w:vAlign w:val="bottom"/>
          </w:tcPr>
          <w:p>
            <w:pPr>
              <w:spacing w:after="0"/>
              <w:rPr>
                <w:sz w:val="19"/>
                <w:szCs w:val="19"/>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iXBRL Taxonomy Extension Schema Document</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240" w:type="dxa"/>
            <w:vAlign w:val="bottom"/>
          </w:tcPr>
          <w:p>
            <w:pPr>
              <w:spacing w:after="0"/>
              <w:rPr>
                <w:sz w:val="20"/>
                <w:szCs w:val="20"/>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240" w:type="dxa"/>
            <w:vAlign w:val="bottom"/>
          </w:tcPr>
          <w:p>
            <w:pPr>
              <w:spacing w:after="0"/>
              <w:rPr>
                <w:sz w:val="21"/>
                <w:szCs w:val="21"/>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240" w:type="dxa"/>
            <w:vAlign w:val="bottom"/>
          </w:tcPr>
          <w:p>
            <w:pPr>
              <w:spacing w:after="0"/>
              <w:rPr>
                <w:sz w:val="19"/>
                <w:szCs w:val="19"/>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iXBRL Taxonomy Extension Label Linkbase Document</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240" w:type="dxa"/>
            <w:vAlign w:val="bottom"/>
          </w:tcPr>
          <w:p>
            <w:pPr>
              <w:spacing w:after="0"/>
              <w:rPr>
                <w:sz w:val="20"/>
                <w:szCs w:val="20"/>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0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9"/>
        </w:trPr>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40" w:type="dxa"/>
            <w:vAlign w:val="bottom"/>
            <w:gridSpan w:val="15"/>
          </w:tcPr>
          <w:p>
            <w:pPr>
              <w:spacing w:after="0" w:line="189" w:lineRule="exact"/>
              <w:rPr>
                <w:sz w:val="20"/>
                <w:szCs w:val="20"/>
                <w:color w:val="auto"/>
              </w:rPr>
            </w:pPr>
            <w:r>
              <w:rPr>
                <w:rFonts w:ascii="Arial" w:cs="Arial" w:eastAsia="Arial" w:hAnsi="Arial"/>
                <w:sz w:val="18"/>
                <w:szCs w:val="18"/>
                <w:color w:val="auto"/>
                <w:w w:val="95"/>
              </w:rPr>
              <w:t>Cover Page Interactive Data File, formatted in iXBRL and contained in</w:t>
            </w:r>
          </w:p>
        </w:tc>
        <w:tc>
          <w:tcPr>
            <w:tcW w:w="3100" w:type="dxa"/>
            <w:vAlign w:val="bottom"/>
            <w:gridSpan w:val="5"/>
          </w:tcPr>
          <w:p>
            <w:pPr>
              <w:spacing w:after="0" w:line="189" w:lineRule="exact"/>
              <w:rPr>
                <w:sz w:val="20"/>
                <w:szCs w:val="20"/>
                <w:color w:val="auto"/>
              </w:rPr>
            </w:pPr>
            <w:r>
              <w:rPr>
                <w:rFonts w:ascii="Arial" w:cs="Arial" w:eastAsia="Arial" w:hAnsi="Arial"/>
                <w:sz w:val="18"/>
                <w:szCs w:val="18"/>
                <w:color w:val="auto"/>
              </w:rPr>
              <w:t>Not applicable; submitted herewith</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40" w:type="dxa"/>
            <w:vAlign w:val="bottom"/>
            <w:gridSpan w:val="15"/>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09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10"/>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14605</wp:posOffset>
            </wp:positionV>
            <wp:extent cx="43980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398010" cy="8255"/>
                    </a:xfrm>
                    <a:prstGeom prst="rect">
                      <a:avLst/>
                    </a:prstGeom>
                    <a:noFill/>
                  </pic:spPr>
                </pic:pic>
              </a:graphicData>
            </a:graphic>
          </wp:anchor>
        </w:drawing>
      </w:r>
    </w:p>
    <w:p>
      <w:pPr>
        <w:spacing w:after="0" w:line="8"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(Registrant)</w:t>
      </w:r>
    </w:p>
    <w:p>
      <w:pPr>
        <w:spacing w:after="0" w:line="3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14605</wp:posOffset>
            </wp:positionV>
            <wp:extent cx="43980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398010" cy="8255"/>
                    </a:xfrm>
                    <a:prstGeom prst="rect">
                      <a:avLst/>
                    </a:prstGeom>
                    <a:noFill/>
                  </pic:spPr>
                </pic:pic>
              </a:graphicData>
            </a:graphic>
          </wp:anchor>
        </w:drawing>
      </w:r>
    </w:p>
    <w:p>
      <w:pPr>
        <w:spacing w:after="0" w:line="8"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42"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(Principal Executive Officer)</w:t>
      </w:r>
    </w:p>
    <w:p>
      <w:pPr>
        <w:spacing w:after="0" w:line="25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 MARK T. BRADLEY</w:t>
      </w:r>
    </w:p>
    <w:p>
      <w:pPr>
        <w:spacing w:after="0" w:line="32"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-98425</wp:posOffset>
            </wp:positionV>
            <wp:extent cx="43980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398010" cy="8255"/>
                    </a:xfrm>
                    <a:prstGeom prst="rect">
                      <a:avLst/>
                    </a:prstGeom>
                    <a:noFill/>
                  </pic:spPr>
                </pic:pic>
              </a:graphicData>
            </a:graphic>
          </wp:anchor>
        </w:drawing>
      </w:r>
    </w:p>
    <w:p>
      <w:pPr>
        <w:spacing w:after="0" w:line="18" w:lineRule="exact"/>
        <w:rPr>
          <w:sz w:val="20"/>
          <w:szCs w:val="20"/>
          <w:color w:val="auto"/>
        </w:rPr>
      </w:pPr>
    </w:p>
    <w:p>
      <w:pPr>
        <w:ind w:left="3680"/>
        <w:spacing w:after="0"/>
        <w:tabs>
          <w:tab w:leader="none" w:pos="43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(Principal Financial Officer)</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8, 2023</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60"/>
          </w:cols>
          <w:pgMar w:left="320" w:top="118" w:right="8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80" w:hanging="7"/>
        <w:spacing w:after="0" w:line="263" w:lineRule="auto"/>
        <w:tabs>
          <w:tab w:leader="none" w:pos="5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80" w:hanging="7"/>
        <w:spacing w:after="0" w:line="308" w:lineRule="auto"/>
        <w:tabs>
          <w:tab w:leader="none" w:pos="5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8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0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35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77"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80" w:hanging="7"/>
        <w:spacing w:after="0" w:line="263" w:lineRule="auto"/>
        <w:tabs>
          <w:tab w:leader="none" w:pos="5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80" w:hanging="7"/>
        <w:spacing w:after="0" w:line="308" w:lineRule="auto"/>
        <w:tabs>
          <w:tab w:leader="none" w:pos="5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8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0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35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Bradley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77"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480" w:firstLine="398"/>
        <w:spacing w:after="0" w:line="277" w:lineRule="auto"/>
        <w:tabs>
          <w:tab w:leader="none" w:pos="10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2023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BLAISE COLEMAN</w:t>
            </w:r>
          </w:p>
        </w:tc>
        <w:tc>
          <w:tcPr>
            <w:tcW w:w="94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2760" w:type="dxa"/>
            <w:vAlign w:val="bottom"/>
            <w:gridSpan w:val="2"/>
          </w:tcPr>
          <w:p>
            <w:pPr>
              <w:spacing w:after="0"/>
              <w:rPr>
                <w:sz w:val="20"/>
                <w:szCs w:val="20"/>
                <w:color w:val="auto"/>
              </w:rPr>
            </w:pPr>
            <w:r>
              <w:rPr>
                <w:rFonts w:ascii="Arial" w:cs="Arial" w:eastAsia="Arial" w:hAnsi="Arial"/>
                <w:sz w:val="18"/>
                <w:szCs w:val="18"/>
                <w:color w:val="auto"/>
              </w:rPr>
              <w:t>Blaise Coleman</w:t>
            </w:r>
          </w:p>
        </w:tc>
      </w:tr>
      <w:tr>
        <w:trPr>
          <w:trHeight w:val="176"/>
        </w:trPr>
        <w:tc>
          <w:tcPr>
            <w:tcW w:w="10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2760" w:type="dxa"/>
            <w:vAlign w:val="bottom"/>
            <w:gridSpan w:val="2"/>
          </w:tcPr>
          <w:p>
            <w:pPr>
              <w:spacing w:after="0" w:line="176" w:lineRule="exact"/>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10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171" w:lineRule="exact"/>
        <w:rPr>
          <w:sz w:val="20"/>
          <w:szCs w:val="20"/>
          <w:color w:val="auto"/>
        </w:rPr>
      </w:pPr>
    </w:p>
    <w:p>
      <w:pPr>
        <w:ind w:right="720" w:firstLine="44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480" w:firstLine="398"/>
        <w:spacing w:after="0" w:line="277" w:lineRule="auto"/>
        <w:tabs>
          <w:tab w:leader="none" w:pos="10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2023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MARK T. BRADLEY</w:t>
            </w:r>
          </w:p>
        </w:tc>
        <w:tc>
          <w:tcPr>
            <w:tcW w:w="170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gridSpan w:val="2"/>
          </w:tcPr>
          <w:p>
            <w:pPr>
              <w:spacing w:after="0"/>
              <w:rPr>
                <w:sz w:val="20"/>
                <w:szCs w:val="20"/>
                <w:color w:val="auto"/>
              </w:rPr>
            </w:pPr>
            <w:r>
              <w:rPr>
                <w:rFonts w:ascii="Arial" w:cs="Arial" w:eastAsia="Arial" w:hAnsi="Arial"/>
                <w:sz w:val="18"/>
                <w:szCs w:val="18"/>
                <w:color w:val="auto"/>
              </w:rPr>
              <w:t>Mark T. Bradley</w:t>
            </w:r>
          </w:p>
        </w:tc>
      </w:tr>
      <w:tr>
        <w:trPr>
          <w:trHeight w:val="176"/>
        </w:trPr>
        <w:tc>
          <w:tcPr>
            <w:tcW w:w="10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100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171" w:lineRule="exact"/>
        <w:rPr>
          <w:sz w:val="20"/>
          <w:szCs w:val="20"/>
          <w:color w:val="auto"/>
        </w:rPr>
      </w:pPr>
    </w:p>
    <w:p>
      <w:pPr>
        <w:ind w:right="720" w:firstLine="44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Letter"/>
      <w:start w:val="3"/>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2"/>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6" Type="http://schemas.openxmlformats.org/officeDocument/2006/relationships/hyperlink" Target="http://www.sec.gov/Archives/edgar/data/1593034/000119312514077873/d684005dex31.htm" TargetMode="External"/><Relationship Id="rId77" Type="http://schemas.openxmlformats.org/officeDocument/2006/relationships/hyperlink" Target="http://www.sec.gov/Archives/edgar/data/1593034/000159303417000039/ex31memorandumandarticles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2023-08-08T11:29:45Z</dcterms:created>
  <dcterms:modified xsi:type="dcterms:W3CDTF">2023-08-08T11:29:45Z</dcterms:modified>
</cp:coreProperties>
</file>