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95" w:lineRule="exact"/>
        <w:rPr>
          <w:sz w:val="24"/>
          <w:szCs w:val="24"/>
          <w:color w:val="auto"/>
        </w:rPr>
      </w:pPr>
    </w:p>
    <w:p>
      <w:pPr>
        <w:ind w:left="434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23" w:lineRule="exact"/>
        <w:rPr>
          <w:sz w:val="24"/>
          <w:szCs w:val="24"/>
          <w:color w:val="auto"/>
        </w:rPr>
      </w:pPr>
    </w:p>
    <w:p>
      <w:pPr>
        <w:ind w:left="434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jc w:val="center"/>
        <w:ind w:left="3480" w:right="920" w:hanging="2545"/>
        <w:spacing w:after="0" w:line="249" w:lineRule="auto"/>
        <w:tabs>
          <w:tab w:leader="none" w:pos="1135"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or</w:t>
      </w:r>
    </w:p>
    <w:p>
      <w:pPr>
        <w:spacing w:after="0" w:line="35" w:lineRule="exact"/>
        <w:rPr>
          <w:sz w:val="24"/>
          <w:szCs w:val="24"/>
          <w:color w:val="auto"/>
        </w:rPr>
      </w:pPr>
    </w:p>
    <w:p>
      <w:pPr>
        <w:ind w:left="1140" w:hanging="230"/>
        <w:spacing w:after="0"/>
        <w:tabs>
          <w:tab w:leader="none" w:pos="114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37" w:lineRule="exact"/>
        <w:rPr>
          <w:sz w:val="24"/>
          <w:szCs w:val="24"/>
          <w:color w:val="auto"/>
        </w:rPr>
      </w:pPr>
    </w:p>
    <w:p>
      <w:pPr>
        <w:ind w:left="3400"/>
        <w:spacing w:after="0"/>
        <w:tabs>
          <w:tab w:leader="none" w:pos="7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Number: 001-36326</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Endo International plc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00"/>
          </w:cols>
          <w:pgMar w:left="340" w:top="863" w:right="359" w:bottom="1440" w:gutter="0" w:footer="0" w:header="0"/>
        </w:sectPr>
      </w:pPr>
    </w:p>
    <w:p>
      <w:pPr>
        <w:spacing w:after="0" w:line="48" w:lineRule="exact"/>
        <w:rPr>
          <w:sz w:val="24"/>
          <w:szCs w:val="24"/>
          <w:color w:val="auto"/>
        </w:rPr>
      </w:pPr>
    </w:p>
    <w:tbl>
      <w:tblPr>
        <w:tblLayout w:type="fixed"/>
        <w:tblInd w:w="1220" w:type="dxa"/>
        <w:tblCellMar>
          <w:top w:w="0" w:type="dxa"/>
          <w:left w:w="0" w:type="dxa"/>
          <w:bottom w:w="0" w:type="dxa"/>
          <w:right w:w="0" w:type="dxa"/>
        </w:tblCellMar>
      </w:tblPr>
      <w:tr>
        <w:trPr>
          <w:trHeight w:val="70"/>
        </w:trPr>
        <w:tc>
          <w:tcPr>
            <w:tcW w:w="5960" w:type="dxa"/>
            <w:vAlign w:val="bottom"/>
          </w:tcPr>
          <w:p>
            <w:pPr>
              <w:jc w:val="right"/>
              <w:ind w:right="276"/>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tc>
        <w:tc>
          <w:tcPr>
            <w:tcW w:w="2420" w:type="dxa"/>
            <w:vAlign w:val="bottom"/>
          </w:tcPr>
          <w:p>
            <w:pPr>
              <w:spacing w:after="0"/>
              <w:rPr>
                <w:sz w:val="6"/>
                <w:szCs w:val="6"/>
                <w:color w:val="auto"/>
              </w:rPr>
            </w:pPr>
          </w:p>
        </w:tc>
      </w:tr>
      <w:tr>
        <w:trPr>
          <w:trHeight w:val="283"/>
        </w:trPr>
        <w:tc>
          <w:tcPr>
            <w:tcW w:w="5960" w:type="dxa"/>
            <w:vAlign w:val="bottom"/>
          </w:tcPr>
          <w:p>
            <w:pPr>
              <w:jc w:val="center"/>
              <w:ind w:right="2476"/>
              <w:spacing w:after="0"/>
              <w:rPr>
                <w:sz w:val="20"/>
                <w:szCs w:val="20"/>
                <w:color w:val="auto"/>
              </w:rPr>
            </w:pPr>
            <w:r>
              <w:rPr>
                <w:rFonts w:ascii="Arial" w:cs="Arial" w:eastAsia="Arial" w:hAnsi="Arial"/>
                <w:sz w:val="14"/>
                <w:szCs w:val="14"/>
                <w:b w:val="1"/>
                <w:bCs w:val="1"/>
                <w:color w:val="auto"/>
              </w:rPr>
              <w:t>Ireland</w:t>
            </w:r>
          </w:p>
        </w:tc>
        <w:tc>
          <w:tcPr>
            <w:tcW w:w="2420" w:type="dxa"/>
            <w:vAlign w:val="bottom"/>
          </w:tcPr>
          <w:p>
            <w:pPr>
              <w:jc w:val="right"/>
              <w:ind w:right="648"/>
              <w:spacing w:after="0"/>
              <w:rPr>
                <w:sz w:val="20"/>
                <w:szCs w:val="20"/>
                <w:color w:val="auto"/>
              </w:rPr>
            </w:pPr>
            <w:r>
              <w:rPr>
                <w:rFonts w:ascii="Arial" w:cs="Arial" w:eastAsia="Arial" w:hAnsi="Arial"/>
                <w:sz w:val="14"/>
                <w:szCs w:val="14"/>
                <w:b w:val="1"/>
                <w:bCs w:val="1"/>
                <w:color w:val="auto"/>
              </w:rPr>
              <w:t>68-0683755</w:t>
            </w:r>
          </w:p>
        </w:tc>
      </w:tr>
      <w:tr>
        <w:trPr>
          <w:trHeight w:val="203"/>
        </w:trPr>
        <w:tc>
          <w:tcPr>
            <w:tcW w:w="5960" w:type="dxa"/>
            <w:vAlign w:val="bottom"/>
          </w:tcPr>
          <w:p>
            <w:pPr>
              <w:jc w:val="center"/>
              <w:ind w:right="2476"/>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2420" w:type="dxa"/>
            <w:vAlign w:val="bottom"/>
          </w:tcPr>
          <w:p>
            <w:pPr>
              <w:jc w:val="center"/>
              <w:ind w:left="248"/>
              <w:spacing w:after="0"/>
              <w:rPr>
                <w:sz w:val="20"/>
                <w:szCs w:val="20"/>
                <w:color w:val="auto"/>
              </w:rPr>
            </w:pPr>
            <w:r>
              <w:rPr>
                <w:rFonts w:ascii="Arial" w:cs="Arial" w:eastAsia="Arial" w:hAnsi="Arial"/>
                <w:sz w:val="14"/>
                <w:szCs w:val="14"/>
                <w:color w:val="auto"/>
                <w:w w:val="97"/>
              </w:rPr>
              <w:t>(I.R.S. Employer Identification No.)</w:t>
            </w:r>
          </w:p>
        </w:tc>
      </w:tr>
      <w:tr>
        <w:trPr>
          <w:trHeight w:val="257"/>
        </w:trPr>
        <w:tc>
          <w:tcPr>
            <w:tcW w:w="5960" w:type="dxa"/>
            <w:vAlign w:val="bottom"/>
          </w:tcPr>
          <w:p>
            <w:pPr>
              <w:jc w:val="center"/>
              <w:ind w:right="2476"/>
              <w:spacing w:after="0"/>
              <w:rPr>
                <w:sz w:val="20"/>
                <w:szCs w:val="20"/>
                <w:color w:val="auto"/>
              </w:rPr>
            </w:pPr>
            <w:r>
              <w:rPr>
                <w:rFonts w:ascii="Arial" w:cs="Arial" w:eastAsia="Arial" w:hAnsi="Arial"/>
                <w:sz w:val="14"/>
                <w:szCs w:val="14"/>
                <w:b w:val="1"/>
                <w:bCs w:val="1"/>
                <w:color w:val="auto"/>
                <w:w w:val="93"/>
              </w:rPr>
              <w:t>First Floor, Minerva House, Simmonscourt Road</w:t>
            </w:r>
          </w:p>
        </w:tc>
        <w:tc>
          <w:tcPr>
            <w:tcW w:w="2420" w:type="dxa"/>
            <w:vAlign w:val="bottom"/>
          </w:tcPr>
          <w:p>
            <w:pPr>
              <w:spacing w:after="0"/>
              <w:rPr>
                <w:sz w:val="22"/>
                <w:szCs w:val="22"/>
                <w:color w:val="auto"/>
              </w:rPr>
            </w:pPr>
          </w:p>
        </w:tc>
      </w:tr>
      <w:tr>
        <w:trPr>
          <w:trHeight w:val="203"/>
        </w:trPr>
        <w:tc>
          <w:tcPr>
            <w:tcW w:w="5960" w:type="dxa"/>
            <w:vAlign w:val="bottom"/>
          </w:tcPr>
          <w:p>
            <w:pPr>
              <w:jc w:val="right"/>
              <w:ind w:right="3656"/>
              <w:spacing w:after="0"/>
              <w:rPr>
                <w:sz w:val="20"/>
                <w:szCs w:val="20"/>
                <w:color w:val="auto"/>
              </w:rPr>
            </w:pPr>
            <w:r>
              <w:rPr>
                <w:rFonts w:ascii="Arial" w:cs="Arial" w:eastAsia="Arial" w:hAnsi="Arial"/>
                <w:sz w:val="14"/>
                <w:szCs w:val="14"/>
                <w:b w:val="1"/>
                <w:bCs w:val="1"/>
                <w:color w:val="auto"/>
              </w:rPr>
              <w:t>Ballsbridge, Dublin 4,  Ireland</w:t>
            </w:r>
          </w:p>
        </w:tc>
        <w:tc>
          <w:tcPr>
            <w:tcW w:w="242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Not Applicable</w:t>
            </w:r>
          </w:p>
        </w:tc>
      </w:tr>
      <w:tr>
        <w:trPr>
          <w:trHeight w:val="203"/>
        </w:trPr>
        <w:tc>
          <w:tcPr>
            <w:tcW w:w="5960" w:type="dxa"/>
            <w:vAlign w:val="bottom"/>
          </w:tcPr>
          <w:p>
            <w:pPr>
              <w:jc w:val="center"/>
              <w:ind w:right="2476"/>
              <w:spacing w:after="0"/>
              <w:rPr>
                <w:sz w:val="20"/>
                <w:szCs w:val="20"/>
                <w:color w:val="auto"/>
              </w:rPr>
            </w:pPr>
            <w:r>
              <w:rPr>
                <w:rFonts w:ascii="Arial" w:cs="Arial" w:eastAsia="Arial" w:hAnsi="Arial"/>
                <w:sz w:val="14"/>
                <w:szCs w:val="14"/>
                <w:color w:val="auto"/>
                <w:w w:val="95"/>
              </w:rPr>
              <w:t>(Address of Principal Executive Offices)</w:t>
            </w:r>
          </w:p>
        </w:tc>
        <w:tc>
          <w:tcPr>
            <w:tcW w:w="2420" w:type="dxa"/>
            <w:vAlign w:val="bottom"/>
          </w:tcPr>
          <w:p>
            <w:pPr>
              <w:jc w:val="center"/>
              <w:ind w:left="228"/>
              <w:spacing w:after="0"/>
              <w:rPr>
                <w:sz w:val="20"/>
                <w:szCs w:val="20"/>
                <w:color w:val="auto"/>
              </w:rPr>
            </w:pPr>
            <w:r>
              <w:rPr>
                <w:rFonts w:ascii="Arial" w:cs="Arial" w:eastAsia="Arial" w:hAnsi="Arial"/>
                <w:sz w:val="14"/>
                <w:szCs w:val="14"/>
                <w:color w:val="auto"/>
                <w:w w:val="96"/>
              </w:rPr>
              <w:t>(Zip Code)</w:t>
            </w:r>
          </w:p>
        </w:tc>
      </w:tr>
    </w:tbl>
    <w:p>
      <w:pPr>
        <w:spacing w:after="0" w:line="102" w:lineRule="exact"/>
        <w:rPr>
          <w:sz w:val="24"/>
          <w:szCs w:val="24"/>
          <w:color w:val="auto"/>
        </w:rPr>
      </w:pPr>
    </w:p>
    <w:p>
      <w:pPr>
        <w:jc w:val="center"/>
        <w:ind w:left="1000"/>
        <w:spacing w:after="0"/>
        <w:rPr>
          <w:sz w:val="20"/>
          <w:szCs w:val="20"/>
          <w:color w:val="auto"/>
        </w:rPr>
      </w:pPr>
      <w:r>
        <w:rPr>
          <w:rFonts w:ascii="Arial" w:cs="Arial" w:eastAsia="Arial" w:hAnsi="Arial"/>
          <w:sz w:val="18"/>
          <w:szCs w:val="18"/>
          <w:b w:val="1"/>
          <w:bCs w:val="1"/>
          <w:color w:val="auto"/>
        </w:rPr>
        <w:t>011-353-1-268-2000</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color w:val="auto"/>
        </w:rPr>
        <w:t>(Registrant’s telephone number, including area code)</w:t>
      </w:r>
    </w:p>
    <w:p>
      <w:pPr>
        <w:spacing w:after="0" w:line="138" w:lineRule="exact"/>
        <w:rPr>
          <w:sz w:val="24"/>
          <w:szCs w:val="24"/>
          <w:color w:val="auto"/>
        </w:rPr>
      </w:pPr>
    </w:p>
    <w:p>
      <w:pPr>
        <w:spacing w:after="0" w:line="26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2" w:lineRule="exact"/>
        <w:rPr>
          <w:sz w:val="24"/>
          <w:szCs w:val="24"/>
          <w:color w:val="auto"/>
        </w:rPr>
      </w:pPr>
    </w:p>
    <w:p>
      <w:pPr>
        <w:ind w:right="60"/>
        <w:spacing w:after="0" w:line="261"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hanging="39"/>
        <w:spacing w:after="0" w:line="310" w:lineRule="exact"/>
        <w:rPr>
          <w:sz w:val="20"/>
          <w:szCs w:val="20"/>
          <w:color w:val="auto"/>
        </w:rPr>
      </w:pPr>
      <w:r>
        <w:rPr>
          <w:rFonts w:ascii="Arial" w:cs="Arial" w:eastAsia="Arial" w:hAnsi="Arial"/>
          <w:sz w:val="17"/>
          <w:szCs w:val="17"/>
          <w:color w:val="auto"/>
        </w:rPr>
        <w:t>Yes</w:t>
      </w:r>
      <w:r>
        <w:rPr>
          <w:sz w:val="20"/>
          <w:szCs w:val="20"/>
          <w:color w:val="auto"/>
        </w:rPr>
        <w:t xml:space="preserve"> </w:t>
      </w:r>
      <w:r>
        <w:rPr>
          <w:rFonts w:ascii="MS PGothic" w:cs="MS PGothic" w:eastAsia="MS PGothic" w:hAnsi="MS PGothic"/>
          <w:sz w:val="17"/>
          <w:szCs w:val="17"/>
          <w:color w:val="auto"/>
        </w:rPr>
        <w:t xml:space="preserve">☒ </w:t>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40" w:lineRule="exact"/>
        <w:rPr>
          <w:sz w:val="24"/>
          <w:szCs w:val="24"/>
          <w:color w:val="auto"/>
        </w:rPr>
      </w:pPr>
    </w:p>
    <w:p>
      <w:pPr>
        <w:ind w:hanging="39"/>
        <w:spacing w:after="0" w:line="315" w:lineRule="exact"/>
        <w:rPr>
          <w:sz w:val="20"/>
          <w:szCs w:val="20"/>
          <w:color w:val="auto"/>
        </w:rPr>
      </w:pPr>
      <w:r>
        <w:rPr>
          <w:rFonts w:ascii="Arial" w:cs="Arial" w:eastAsia="Arial" w:hAnsi="Arial"/>
          <w:sz w:val="17"/>
          <w:szCs w:val="17"/>
          <w:color w:val="auto"/>
        </w:rPr>
        <w:t>Yes</w:t>
      </w:r>
      <w:r>
        <w:rPr>
          <w:sz w:val="20"/>
          <w:szCs w:val="20"/>
          <w:color w:val="auto"/>
        </w:rPr>
        <w:t xml:space="preserve"> </w:t>
      </w:r>
      <w:r>
        <w:rPr>
          <w:rFonts w:ascii="MS PGothic" w:cs="MS PGothic" w:eastAsia="MS PGothic" w:hAnsi="MS PGothic"/>
          <w:sz w:val="18"/>
          <w:szCs w:val="18"/>
          <w:color w:val="auto"/>
        </w:rPr>
        <w:t xml:space="preserve">☒ </w:t>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38" w:lineRule="exact"/>
        <w:rPr>
          <w:sz w:val="24"/>
          <w:szCs w:val="24"/>
          <w:color w:val="auto"/>
        </w:rPr>
      </w:pPr>
    </w:p>
    <w:p>
      <w:pPr>
        <w:sectPr>
          <w:pgSz w:w="11900" w:h="16838" w:orient="portrait"/>
          <w:cols w:equalWidth="0" w:num="2">
            <w:col w:w="10200" w:space="380"/>
            <w:col w:w="620"/>
          </w:cols>
          <w:pgMar w:left="340" w:top="863" w:right="359" w:bottom="1440" w:gutter="0" w:footer="0" w:header="0"/>
          <w:type w:val="continuous"/>
        </w:sectPr>
      </w:pPr>
    </w:p>
    <w:p>
      <w:pPr>
        <w:spacing w:after="0" w:line="40" w:lineRule="exact"/>
        <w:rPr>
          <w:sz w:val="24"/>
          <w:szCs w:val="24"/>
          <w:color w:val="auto"/>
        </w:rPr>
      </w:pPr>
    </w:p>
    <w:p>
      <w:pPr>
        <w:jc w:val="both"/>
        <w:ind w:left="20" w:right="160"/>
        <w:spacing w:after="0" w:line="22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40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60" w:type="dxa"/>
            <w:vAlign w:val="bottom"/>
          </w:tcPr>
          <w:p>
            <w:pPr>
              <w:ind w:left="540"/>
              <w:spacing w:after="0"/>
              <w:rPr>
                <w:sz w:val="20"/>
                <w:szCs w:val="20"/>
                <w:color w:val="auto"/>
              </w:rPr>
            </w:pPr>
            <w:r>
              <w:rPr>
                <w:rFonts w:ascii="Arial" w:cs="Arial" w:eastAsia="Arial" w:hAnsi="Arial"/>
                <w:sz w:val="17"/>
                <w:szCs w:val="17"/>
                <w:color w:val="auto"/>
              </w:rPr>
              <w:t>Accelerated filer</w:t>
            </w:r>
          </w:p>
        </w:tc>
        <w:tc>
          <w:tcPr>
            <w:tcW w:w="900" w:type="dxa"/>
            <w:vAlign w:val="bottom"/>
          </w:tcPr>
          <w:p>
            <w:pPr>
              <w:spacing w:after="0"/>
              <w:rPr>
                <w:sz w:val="23"/>
                <w:szCs w:val="23"/>
                <w:color w:val="auto"/>
              </w:rPr>
            </w:pPr>
          </w:p>
        </w:tc>
        <w:tc>
          <w:tcPr>
            <w:tcW w:w="280" w:type="dxa"/>
            <w:vAlign w:val="bottom"/>
          </w:tcPr>
          <w:p>
            <w:pPr>
              <w:ind w:left="100"/>
              <w:spacing w:after="0" w:line="171" w:lineRule="exact"/>
              <w:rPr>
                <w:sz w:val="20"/>
                <w:szCs w:val="20"/>
                <w:color w:val="auto"/>
              </w:rPr>
            </w:pPr>
            <w:r>
              <w:rPr>
                <w:rFonts w:ascii="MS PGothic" w:cs="MS PGothic" w:eastAsia="MS PGothic" w:hAnsi="MS PGothic"/>
                <w:sz w:val="17"/>
                <w:szCs w:val="17"/>
                <w:color w:val="auto"/>
                <w:w w:val="93"/>
              </w:rPr>
              <w:t>☐</w:t>
            </w:r>
          </w:p>
        </w:tc>
      </w:tr>
      <w:tr>
        <w:trPr>
          <w:trHeight w:val="324"/>
        </w:trPr>
        <w:tc>
          <w:tcPr>
            <w:tcW w:w="240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60" w:type="dxa"/>
            <w:vAlign w:val="bottom"/>
          </w:tcPr>
          <w:p>
            <w:pPr>
              <w:ind w:left="540"/>
              <w:spacing w:after="0"/>
              <w:rPr>
                <w:sz w:val="20"/>
                <w:szCs w:val="20"/>
                <w:color w:val="auto"/>
              </w:rPr>
            </w:pPr>
            <w:r>
              <w:rPr>
                <w:rFonts w:ascii="Arial" w:cs="Arial" w:eastAsia="Arial" w:hAnsi="Arial"/>
                <w:sz w:val="17"/>
                <w:szCs w:val="17"/>
                <w:color w:val="auto"/>
              </w:rPr>
              <w:t>Smaller reporting company</w:t>
            </w:r>
          </w:p>
        </w:tc>
        <w:tc>
          <w:tcPr>
            <w:tcW w:w="900" w:type="dxa"/>
            <w:vAlign w:val="bottom"/>
          </w:tcPr>
          <w:p>
            <w:pPr>
              <w:spacing w:after="0"/>
              <w:rPr>
                <w:sz w:val="24"/>
                <w:szCs w:val="24"/>
                <w:color w:val="auto"/>
              </w:rPr>
            </w:pPr>
          </w:p>
        </w:tc>
        <w:tc>
          <w:tcPr>
            <w:tcW w:w="280" w:type="dxa"/>
            <w:vAlign w:val="bottom"/>
          </w:tcPr>
          <w:p>
            <w:pPr>
              <w:ind w:left="100"/>
              <w:spacing w:after="0" w:line="171" w:lineRule="exact"/>
              <w:rPr>
                <w:sz w:val="20"/>
                <w:szCs w:val="20"/>
                <w:color w:val="auto"/>
              </w:rPr>
            </w:pPr>
            <w:r>
              <w:rPr>
                <w:rFonts w:ascii="MS PGothic" w:cs="MS PGothic" w:eastAsia="MS PGothic" w:hAnsi="MS PGothic"/>
                <w:sz w:val="17"/>
                <w:szCs w:val="17"/>
                <w:color w:val="auto"/>
                <w:w w:val="93"/>
              </w:rPr>
              <w:t>☐</w:t>
            </w:r>
          </w:p>
        </w:tc>
      </w:tr>
      <w:tr>
        <w:trPr>
          <w:trHeight w:val="324"/>
        </w:trPr>
        <w:tc>
          <w:tcPr>
            <w:tcW w:w="24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60" w:type="dxa"/>
            <w:vAlign w:val="bottom"/>
          </w:tcPr>
          <w:p>
            <w:pPr>
              <w:ind w:left="540"/>
              <w:spacing w:after="0"/>
              <w:rPr>
                <w:sz w:val="20"/>
                <w:szCs w:val="20"/>
                <w:color w:val="auto"/>
              </w:rPr>
            </w:pPr>
            <w:r>
              <w:rPr>
                <w:rFonts w:ascii="Arial" w:cs="Arial" w:eastAsia="Arial" w:hAnsi="Arial"/>
                <w:sz w:val="17"/>
                <w:szCs w:val="17"/>
                <w:color w:val="auto"/>
              </w:rPr>
              <w:t>Emerging growth company</w:t>
            </w:r>
          </w:p>
        </w:tc>
        <w:tc>
          <w:tcPr>
            <w:tcW w:w="900" w:type="dxa"/>
            <w:vAlign w:val="bottom"/>
          </w:tcPr>
          <w:p>
            <w:pPr>
              <w:spacing w:after="0"/>
              <w:rPr>
                <w:sz w:val="24"/>
                <w:szCs w:val="24"/>
                <w:color w:val="auto"/>
              </w:rPr>
            </w:pPr>
          </w:p>
        </w:tc>
        <w:tc>
          <w:tcPr>
            <w:tcW w:w="280" w:type="dxa"/>
            <w:vAlign w:val="bottom"/>
          </w:tcPr>
          <w:p>
            <w:pPr>
              <w:ind w:left="100"/>
              <w:spacing w:after="0" w:line="171" w:lineRule="exact"/>
              <w:rPr>
                <w:sz w:val="20"/>
                <w:szCs w:val="20"/>
                <w:color w:val="auto"/>
              </w:rPr>
            </w:pPr>
            <w:r>
              <w:rPr>
                <w:rFonts w:ascii="MS PGothic" w:cs="MS PGothic" w:eastAsia="MS PGothic" w:hAnsi="MS PGothic"/>
                <w:sz w:val="17"/>
                <w:szCs w:val="17"/>
                <w:color w:val="auto"/>
                <w:w w:val="93"/>
              </w:rPr>
              <w:t>☐</w:t>
            </w:r>
          </w:p>
        </w:tc>
      </w:tr>
      <w:tr>
        <w:trPr>
          <w:trHeight w:val="317"/>
        </w:trPr>
        <w:tc>
          <w:tcPr>
            <w:tcW w:w="10920" w:type="dxa"/>
            <w:vAlign w:val="bottom"/>
            <w:gridSpan w:val="4"/>
          </w:tcPr>
          <w:p>
            <w:pPr>
              <w:spacing w:after="0"/>
              <w:rPr>
                <w:sz w:val="20"/>
                <w:szCs w:val="20"/>
                <w:color w:val="auto"/>
              </w:rPr>
            </w:pPr>
            <w:r>
              <w:rPr>
                <w:rFonts w:ascii="Arial" w:cs="Arial" w:eastAsia="Arial" w:hAnsi="Arial"/>
                <w:sz w:val="17"/>
                <w:szCs w:val="17"/>
                <w:color w:val="auto"/>
                <w:w w:val="93"/>
              </w:rPr>
              <w:t>If an emerging growth company, indicate by check mark if the registrant has elected not to use the extended transition period for complying with any new or</w:t>
            </w:r>
          </w:p>
        </w:tc>
        <w:tc>
          <w:tcPr>
            <w:tcW w:w="280" w:type="dxa"/>
            <w:vAlign w:val="bottom"/>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7060" w:type="dxa"/>
            <w:vAlign w:val="bottom"/>
            <w:gridSpan w:val="2"/>
          </w:tcPr>
          <w:p>
            <w:pPr>
              <w:spacing w:after="0"/>
              <w:rPr>
                <w:sz w:val="20"/>
                <w:szCs w:val="20"/>
                <w:color w:val="auto"/>
              </w:rPr>
            </w:pPr>
            <w:r>
              <w:rPr>
                <w:rFonts w:ascii="Arial" w:cs="Arial" w:eastAsia="Arial" w:hAnsi="Arial"/>
                <w:sz w:val="17"/>
                <w:szCs w:val="17"/>
                <w:color w:val="auto"/>
                <w:w w:val="98"/>
              </w:rPr>
              <w:t>revised financial accounting standards provided pursuant to Section 13(a) of the Exchange Act.</w:t>
            </w:r>
          </w:p>
        </w:tc>
        <w:tc>
          <w:tcPr>
            <w:tcW w:w="2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02"/>
        </w:trPr>
        <w:tc>
          <w:tcPr>
            <w:tcW w:w="10020" w:type="dxa"/>
            <w:vAlign w:val="bottom"/>
            <w:gridSpan w:val="3"/>
          </w:tcPr>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Yes</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6"/>
        </w:trPr>
        <w:tc>
          <w:tcPr>
            <w:tcW w:w="24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No</w:t>
            </w:r>
          </w:p>
        </w:tc>
        <w:tc>
          <w:tcPr>
            <w:tcW w:w="280" w:type="dxa"/>
            <w:vAlign w:val="bottom"/>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Exchange Act:</w:t>
      </w:r>
    </w:p>
    <w:p>
      <w:pPr>
        <w:spacing w:after="0" w:line="72" w:lineRule="exact"/>
        <w:rPr>
          <w:sz w:val="24"/>
          <w:szCs w:val="24"/>
          <w:color w:val="auto"/>
        </w:rPr>
      </w:pPr>
    </w:p>
    <w:tbl>
      <w:tblPr>
        <w:tblLayout w:type="fixed"/>
        <w:tblInd w:w="600" w:type="dxa"/>
        <w:tblCellMar>
          <w:top w:w="0" w:type="dxa"/>
          <w:left w:w="0" w:type="dxa"/>
          <w:bottom w:w="0" w:type="dxa"/>
          <w:right w:w="0" w:type="dxa"/>
        </w:tblCellMar>
      </w:tblPr>
      <w:tr>
        <w:trPr>
          <w:trHeight w:val="195"/>
        </w:trPr>
        <w:tc>
          <w:tcPr>
            <w:tcW w:w="10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2000" w:type="dxa"/>
            <w:vAlign w:val="bottom"/>
          </w:tcPr>
          <w:p>
            <w:pPr>
              <w:spacing w:after="0"/>
              <w:rPr>
                <w:sz w:val="16"/>
                <w:szCs w:val="16"/>
                <w:color w:val="auto"/>
              </w:rPr>
            </w:pPr>
          </w:p>
        </w:tc>
        <w:tc>
          <w:tcPr>
            <w:tcW w:w="2380" w:type="dxa"/>
            <w:vAlign w:val="bottom"/>
            <w:gridSpan w:val="2"/>
          </w:tcPr>
          <w:p>
            <w:pPr>
              <w:jc w:val="center"/>
              <w:ind w:right="1060"/>
              <w:spacing w:after="0"/>
              <w:rPr>
                <w:sz w:val="20"/>
                <w:szCs w:val="20"/>
                <w:color w:val="auto"/>
              </w:rPr>
            </w:pPr>
            <w:r>
              <w:rPr>
                <w:rFonts w:ascii="Arial" w:cs="Arial" w:eastAsia="Arial" w:hAnsi="Arial"/>
                <w:sz w:val="17"/>
                <w:szCs w:val="17"/>
                <w:b w:val="1"/>
                <w:bCs w:val="1"/>
                <w:color w:val="auto"/>
                <w:w w:val="89"/>
              </w:rPr>
              <w:t>Trading symbol(s)</w:t>
            </w:r>
          </w:p>
        </w:tc>
        <w:tc>
          <w:tcPr>
            <w:tcW w:w="316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73"/>
        </w:trPr>
        <w:tc>
          <w:tcPr>
            <w:tcW w:w="4360" w:type="dxa"/>
            <w:vAlign w:val="bottom"/>
            <w:gridSpan w:val="3"/>
          </w:tcPr>
          <w:p>
            <w:pPr>
              <w:jc w:val="center"/>
              <w:ind w:right="940"/>
              <w:spacing w:after="0"/>
              <w:rPr>
                <w:sz w:val="20"/>
                <w:szCs w:val="20"/>
                <w:color w:val="auto"/>
              </w:rPr>
            </w:pPr>
            <w:r>
              <w:rPr>
                <w:rFonts w:ascii="Arial" w:cs="Arial" w:eastAsia="Arial" w:hAnsi="Arial"/>
                <w:sz w:val="17"/>
                <w:szCs w:val="17"/>
                <w:color w:val="auto"/>
                <w:w w:val="90"/>
              </w:rPr>
              <w:t>Ordinary shares, nominal value $0.0001 per share</w:t>
            </w:r>
          </w:p>
        </w:tc>
        <w:tc>
          <w:tcPr>
            <w:tcW w:w="2380" w:type="dxa"/>
            <w:vAlign w:val="bottom"/>
            <w:gridSpan w:val="2"/>
          </w:tcPr>
          <w:p>
            <w:pPr>
              <w:jc w:val="center"/>
              <w:ind w:right="1060"/>
              <w:spacing w:after="0"/>
              <w:rPr>
                <w:sz w:val="20"/>
                <w:szCs w:val="20"/>
                <w:color w:val="auto"/>
              </w:rPr>
            </w:pPr>
            <w:r>
              <w:rPr>
                <w:rFonts w:ascii="Arial" w:cs="Arial" w:eastAsia="Arial" w:hAnsi="Arial"/>
                <w:sz w:val="17"/>
                <w:szCs w:val="17"/>
                <w:color w:val="auto"/>
                <w:w w:val="93"/>
              </w:rPr>
              <w:t>ENDP</w:t>
            </w:r>
          </w:p>
        </w:tc>
        <w:tc>
          <w:tcPr>
            <w:tcW w:w="3160" w:type="dxa"/>
            <w:vAlign w:val="bottom"/>
          </w:tcPr>
          <w:p>
            <w:pPr>
              <w:jc w:val="center"/>
              <w:spacing w:after="0"/>
              <w:rPr>
                <w:sz w:val="20"/>
                <w:szCs w:val="20"/>
                <w:color w:val="auto"/>
              </w:rPr>
            </w:pPr>
            <w:r>
              <w:rPr>
                <w:rFonts w:ascii="Arial" w:cs="Arial" w:eastAsia="Arial" w:hAnsi="Arial"/>
                <w:sz w:val="17"/>
                <w:szCs w:val="17"/>
                <w:color w:val="auto"/>
                <w:w w:val="90"/>
              </w:rPr>
              <w:t>The Nasdaq Global Select Market</w:t>
            </w:r>
          </w:p>
        </w:tc>
      </w:tr>
    </w:tbl>
    <w:p>
      <w:pPr>
        <w:spacing w:after="0" w:line="162" w:lineRule="exact"/>
        <w:rPr>
          <w:sz w:val="24"/>
          <w:szCs w:val="24"/>
          <w:color w:val="auto"/>
        </w:rPr>
      </w:pPr>
    </w:p>
    <w:p>
      <w:pPr>
        <w:spacing w:after="0"/>
        <w:rPr>
          <w:sz w:val="20"/>
          <w:szCs w:val="20"/>
          <w:color w:val="auto"/>
        </w:rPr>
      </w:pPr>
      <w:r>
        <w:rPr>
          <w:rFonts w:ascii="Arial" w:cs="Arial" w:eastAsia="Arial" w:hAnsi="Arial"/>
          <w:sz w:val="17"/>
          <w:szCs w:val="17"/>
          <w:color w:val="auto"/>
        </w:rPr>
        <w:t>The number of Ordinary shares, nominal value $0.0001 per share outstanding as of July 30, 2020 was 229,816,005.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63"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980" w:type="dxa"/>
            <w:vAlign w:val="bottom"/>
          </w:tcPr>
          <w:p>
            <w:pPr>
              <w:ind w:left="3500"/>
              <w:spacing w:after="0"/>
              <w:rPr>
                <w:sz w:val="20"/>
                <w:szCs w:val="20"/>
                <w:color w:val="auto"/>
              </w:rPr>
            </w:pPr>
            <w:r>
              <w:rPr>
                <w:rFonts w:ascii="Arial" w:cs="Arial" w:eastAsia="Arial" w:hAnsi="Arial"/>
                <w:sz w:val="18"/>
                <w:szCs w:val="18"/>
                <w:b w:val="1"/>
                <w:bCs w:val="1"/>
                <w:color w:val="auto"/>
              </w:rPr>
              <w:t>ENDO INTERNATIONAL PLC</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880" w:type="dxa"/>
            <w:vAlign w:val="bottom"/>
          </w:tcPr>
          <w:p>
            <w:pPr>
              <w:spacing w:after="0"/>
              <w:rPr>
                <w:sz w:val="24"/>
                <w:szCs w:val="24"/>
                <w:color w:val="auto"/>
              </w:rPr>
            </w:pPr>
          </w:p>
        </w:tc>
        <w:tc>
          <w:tcPr>
            <w:tcW w:w="9980" w:type="dxa"/>
            <w:vAlign w:val="bottom"/>
          </w:tcPr>
          <w:p>
            <w:pPr>
              <w:ind w:left="446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88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20"/>
        </w:trPr>
        <w:tc>
          <w:tcPr>
            <w:tcW w:w="108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860" w:type="dxa"/>
            <w:vAlign w:val="bottom"/>
            <w:gridSpan w:val="2"/>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Forward-Looking Statements</w:t>
              </w:r>
            </w:hyperlink>
          </w:p>
        </w:tc>
        <w:tc>
          <w:tcPr>
            <w:tcW w:w="380" w:type="dxa"/>
            <w:vAlign w:val="bottom"/>
            <w:gridSpan w:val="2"/>
          </w:tcPr>
          <w:p>
            <w:pPr>
              <w:jc w:val="right"/>
              <w:ind w:righ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r>
      <w:tr>
        <w:trPr>
          <w:trHeight w:val="499"/>
        </w:trPr>
        <w:tc>
          <w:tcPr>
            <w:tcW w:w="880" w:type="dxa"/>
            <w:vAlign w:val="bottom"/>
          </w:tcPr>
          <w:p>
            <w:pPr>
              <w:spacing w:after="0"/>
              <w:rPr>
                <w:sz w:val="24"/>
                <w:szCs w:val="24"/>
                <w:color w:val="auto"/>
              </w:rPr>
            </w:pPr>
          </w:p>
        </w:tc>
        <w:tc>
          <w:tcPr>
            <w:tcW w:w="9980" w:type="dxa"/>
            <w:vAlign w:val="bottom"/>
          </w:tcPr>
          <w:p>
            <w:pPr>
              <w:ind w:left="284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FINANCIAL INFORMATION</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8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980" w:type="dxa"/>
            <w:vAlign w:val="bottom"/>
          </w:tcPr>
          <w:p>
            <w:pPr>
              <w:ind w:left="1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3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2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9980" w:type="dxa"/>
            <w:vAlign w:val="bottom"/>
          </w:tcPr>
          <w:p>
            <w:pPr>
              <w:ind w:left="1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(Unaudited)</w:t>
              </w:r>
            </w:hyperlink>
          </w:p>
        </w:tc>
        <w:tc>
          <w:tcPr>
            <w:tcW w:w="3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2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9980" w:type="dxa"/>
            <w:vAlign w:val="bottom"/>
          </w:tcPr>
          <w:p>
            <w:pPr>
              <w:ind w:left="1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Operations (Unaudited)</w:t>
              </w:r>
            </w:hyperlink>
          </w:p>
        </w:tc>
        <w:tc>
          <w:tcPr>
            <w:tcW w:w="3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c>
          <w:tcPr>
            <w:tcW w:w="2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9980" w:type="dxa"/>
            <w:vAlign w:val="bottom"/>
          </w:tcPr>
          <w:p>
            <w:pPr>
              <w:ind w:left="1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Comprehensive Income (Loss) (Unaudited)</w:t>
              </w:r>
            </w:hyperlink>
          </w:p>
        </w:tc>
        <w:tc>
          <w:tcPr>
            <w:tcW w:w="3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c>
          <w:tcPr>
            <w:tcW w:w="2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9980" w:type="dxa"/>
            <w:vAlign w:val="bottom"/>
          </w:tcPr>
          <w:p>
            <w:pPr>
              <w:ind w:left="1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 (Unaudited)</w:t>
              </w:r>
            </w:hyperlink>
          </w:p>
        </w:tc>
        <w:tc>
          <w:tcPr>
            <w:tcW w:w="36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c>
          <w:tcPr>
            <w:tcW w:w="2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9980" w:type="dxa"/>
            <w:vAlign w:val="bottom"/>
          </w:tcPr>
          <w:p>
            <w:pPr>
              <w:ind w:left="1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 (Unaudited)</w:t>
              </w:r>
            </w:hyperlink>
          </w:p>
        </w:tc>
        <w:tc>
          <w:tcPr>
            <w:tcW w:w="36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2.</w:t>
              </w:r>
            </w:hyperlink>
          </w:p>
        </w:tc>
        <w:tc>
          <w:tcPr>
            <w:tcW w:w="9980" w:type="dxa"/>
            <w:vAlign w:val="bottom"/>
          </w:tcPr>
          <w:p>
            <w:pPr>
              <w:ind w:left="10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Management’s Discussion and Analysis of Financial Condition and Results of Operations</w:t>
              </w:r>
            </w:hyperlink>
          </w:p>
        </w:tc>
        <w:tc>
          <w:tcPr>
            <w:tcW w:w="36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31</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3.</w:t>
              </w:r>
            </w:hyperlink>
          </w:p>
        </w:tc>
        <w:tc>
          <w:tcPr>
            <w:tcW w:w="9980" w:type="dxa"/>
            <w:vAlign w:val="bottom"/>
          </w:tcPr>
          <w:p>
            <w:pPr>
              <w:ind w:left="10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Quantitative and Qualitative Disclosures About Market Risk</w:t>
              </w:r>
            </w:hyperlink>
          </w:p>
        </w:tc>
        <w:tc>
          <w:tcPr>
            <w:tcW w:w="36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43</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4.</w:t>
              </w:r>
            </w:hyperlink>
          </w:p>
        </w:tc>
        <w:tc>
          <w:tcPr>
            <w:tcW w:w="9980" w:type="dxa"/>
            <w:vAlign w:val="bottom"/>
          </w:tcPr>
          <w:p>
            <w:pPr>
              <w:ind w:left="10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Controls and Procedures</w:t>
              </w:r>
            </w:hyperlink>
          </w:p>
        </w:tc>
        <w:tc>
          <w:tcPr>
            <w:tcW w:w="36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44</w:t>
              </w:r>
            </w:hyperlink>
          </w:p>
        </w:tc>
        <w:tc>
          <w:tcPr>
            <w:tcW w:w="20" w:type="dxa"/>
            <w:vAlign w:val="bottom"/>
          </w:tcPr>
          <w:p>
            <w:pPr>
              <w:spacing w:after="0"/>
              <w:rPr>
                <w:sz w:val="20"/>
                <w:szCs w:val="20"/>
                <w:color w:val="auto"/>
              </w:rPr>
            </w:pPr>
          </w:p>
        </w:tc>
      </w:tr>
      <w:tr>
        <w:trPr>
          <w:trHeight w:val="499"/>
        </w:trPr>
        <w:tc>
          <w:tcPr>
            <w:tcW w:w="880" w:type="dxa"/>
            <w:vAlign w:val="bottom"/>
          </w:tcPr>
          <w:p>
            <w:pPr>
              <w:spacing w:after="0"/>
              <w:rPr>
                <w:sz w:val="24"/>
                <w:szCs w:val="24"/>
                <w:color w:val="auto"/>
              </w:rPr>
            </w:pPr>
          </w:p>
        </w:tc>
        <w:tc>
          <w:tcPr>
            <w:tcW w:w="9980" w:type="dxa"/>
            <w:vAlign w:val="bottom"/>
          </w:tcPr>
          <w:p>
            <w:pPr>
              <w:ind w:left="3000"/>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PART II. OTHER INFORMATION</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88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1.</w:t>
              </w:r>
            </w:hyperlink>
          </w:p>
        </w:tc>
        <w:tc>
          <w:tcPr>
            <w:tcW w:w="9980" w:type="dxa"/>
            <w:vAlign w:val="bottom"/>
          </w:tcPr>
          <w:p>
            <w:pPr>
              <w:ind w:left="10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Legal Proceedings</w:t>
              </w:r>
            </w:hyperlink>
          </w:p>
        </w:tc>
        <w:tc>
          <w:tcPr>
            <w:tcW w:w="36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45</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1A.</w:t>
              </w:r>
            </w:hyperlink>
          </w:p>
        </w:tc>
        <w:tc>
          <w:tcPr>
            <w:tcW w:w="9980" w:type="dxa"/>
            <w:vAlign w:val="bottom"/>
          </w:tcPr>
          <w:p>
            <w:pPr>
              <w:ind w:left="10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Risk Factors</w:t>
              </w:r>
            </w:hyperlink>
          </w:p>
        </w:tc>
        <w:tc>
          <w:tcPr>
            <w:tcW w:w="36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45</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2.</w:t>
              </w:r>
            </w:hyperlink>
          </w:p>
        </w:tc>
        <w:tc>
          <w:tcPr>
            <w:tcW w:w="9980" w:type="dxa"/>
            <w:vAlign w:val="bottom"/>
          </w:tcPr>
          <w:p>
            <w:pPr>
              <w:ind w:left="10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Unregistered Sales of Equity Securities and Use of Proceeds</w:t>
              </w:r>
            </w:hyperlink>
          </w:p>
        </w:tc>
        <w:tc>
          <w:tcPr>
            <w:tcW w:w="3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46</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3.</w:t>
              </w:r>
            </w:hyperlink>
          </w:p>
        </w:tc>
        <w:tc>
          <w:tcPr>
            <w:tcW w:w="9980" w:type="dxa"/>
            <w:vAlign w:val="bottom"/>
          </w:tcPr>
          <w:p>
            <w:pPr>
              <w:ind w:left="10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Defaults Upon Senior Securities</w:t>
              </w:r>
            </w:hyperlink>
          </w:p>
        </w:tc>
        <w:tc>
          <w:tcPr>
            <w:tcW w:w="3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46</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4.</w:t>
              </w:r>
            </w:hyperlink>
          </w:p>
        </w:tc>
        <w:tc>
          <w:tcPr>
            <w:tcW w:w="9980" w:type="dxa"/>
            <w:vAlign w:val="bottom"/>
          </w:tcPr>
          <w:p>
            <w:pPr>
              <w:ind w:left="10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Mine Safety Disclosures</w:t>
              </w:r>
            </w:hyperlink>
          </w:p>
        </w:tc>
        <w:tc>
          <w:tcPr>
            <w:tcW w:w="3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46</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5.</w:t>
              </w:r>
            </w:hyperlink>
          </w:p>
        </w:tc>
        <w:tc>
          <w:tcPr>
            <w:tcW w:w="9980" w:type="dxa"/>
            <w:vAlign w:val="bottom"/>
          </w:tcPr>
          <w:p>
            <w:pPr>
              <w:ind w:left="10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Other Information</w:t>
              </w:r>
            </w:hyperlink>
          </w:p>
        </w:tc>
        <w:tc>
          <w:tcPr>
            <w:tcW w:w="3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46</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6.</w:t>
              </w:r>
            </w:hyperlink>
          </w:p>
        </w:tc>
        <w:tc>
          <w:tcPr>
            <w:tcW w:w="9980" w:type="dxa"/>
            <w:vAlign w:val="bottom"/>
          </w:tcPr>
          <w:p>
            <w:pPr>
              <w:ind w:left="10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Exhibits</w:t>
              </w:r>
            </w:hyperlink>
          </w:p>
        </w:tc>
        <w:tc>
          <w:tcPr>
            <w:tcW w:w="3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47</w:t>
              </w:r>
            </w:hyperlink>
          </w:p>
        </w:tc>
        <w:tc>
          <w:tcPr>
            <w:tcW w:w="20" w:type="dxa"/>
            <w:vAlign w:val="bottom"/>
          </w:tcPr>
          <w:p>
            <w:pPr>
              <w:spacing w:after="0"/>
              <w:rPr>
                <w:sz w:val="20"/>
                <w:szCs w:val="20"/>
                <w:color w:val="auto"/>
              </w:rPr>
            </w:pPr>
          </w:p>
        </w:tc>
      </w:tr>
      <w:tr>
        <w:trPr>
          <w:trHeight w:val="499"/>
        </w:trPr>
        <w:tc>
          <w:tcPr>
            <w:tcW w:w="880" w:type="dxa"/>
            <w:vAlign w:val="bottom"/>
          </w:tcPr>
          <w:p>
            <w:pPr>
              <w:ind w:left="20"/>
              <w:spacing w:after="0"/>
              <w:rPr>
                <w:rFonts w:ascii="Arial" w:cs="Arial" w:eastAsia="Arial" w:hAnsi="Arial"/>
                <w:sz w:val="18"/>
                <w:szCs w:val="18"/>
                <w:u w:val="single" w:color="auto"/>
                <w:color w:val="0000FF"/>
                <w:w w:val="97"/>
              </w:rPr>
            </w:pPr>
            <w:hyperlink w:anchor="page51">
              <w:r>
                <w:rPr>
                  <w:rFonts w:ascii="Arial" w:cs="Arial" w:eastAsia="Arial" w:hAnsi="Arial"/>
                  <w:sz w:val="18"/>
                  <w:szCs w:val="18"/>
                  <w:u w:val="single" w:color="auto"/>
                  <w:color w:val="0000FF"/>
                  <w:w w:val="97"/>
                </w:rPr>
                <w:t>Signatures</w:t>
              </w:r>
            </w:hyperlink>
          </w:p>
        </w:tc>
        <w:tc>
          <w:tcPr>
            <w:tcW w:w="9980" w:type="dxa"/>
            <w:vAlign w:val="bottom"/>
          </w:tcPr>
          <w:p>
            <w:pPr>
              <w:spacing w:after="0"/>
              <w:rPr>
                <w:sz w:val="24"/>
                <w:szCs w:val="24"/>
                <w:color w:val="auto"/>
              </w:rPr>
            </w:pPr>
          </w:p>
        </w:tc>
        <w:tc>
          <w:tcPr>
            <w:tcW w:w="36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49</w:t>
              </w:r>
            </w:hyperlink>
          </w:p>
        </w:tc>
        <w:tc>
          <w:tcPr>
            <w:tcW w:w="20" w:type="dxa"/>
            <w:vAlign w:val="bottom"/>
          </w:tcPr>
          <w:p>
            <w:pPr>
              <w:spacing w:after="0"/>
              <w:rPr>
                <w:sz w:val="24"/>
                <w:szCs w:val="24"/>
                <w:color w:val="auto"/>
              </w:rPr>
            </w:pPr>
          </w:p>
        </w:tc>
      </w:tr>
      <w:tr>
        <w:trPr>
          <w:trHeight w:val="1100"/>
        </w:trPr>
        <w:tc>
          <w:tcPr>
            <w:tcW w:w="88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Forward-looking statements include, without limitation, estimated future results of operations, estimates of future revenues, future expenses, future net income and future net income per share, as well as statements regarding future financing activities, the impact of the novel strain of coronavirus referred to as COVID-19 on the health and welfare of our employees and on our business, including any response to COVID-19 such as anticipated return to historical purchasing decisions by customers, the economic impact of COVID-19, changes in consumer spending, decisions to engage in certain medical procedures, future governmental orders that could impact our operations and the ability of our manufacturing facilities and suppliers to fulfill their obligations to us, and any other statements that refer to Endo’s expected, estimated or anticipated future results. We have tried, whenever possible, to identify such statements by words such as “believe,” “expect,” “anticipate,” “intend,” “estimate,” “plan,” “project,” “forecast,” “will,” “may” or similar expressions. We have based these forward-looking statements on our current expectations, assumptions and projections about the growth of our business, our financial performance and the development of our industry. Because these statements reflect our current views concerning future events, these forward-looking statements involve risks and uncertainties including, without limitation, the risks related to the impact of COVID-19 (such as, without limitation, the scope and duration of the pandemic and the resulting economic crisis and levels of unemployment, governmental actions and restrictive measures implemented in response, material delays and cancellations of certain medical procedures, potential manufacturing and supply chain disruptions and other potential impacts to the business as a result of COVID-19) and the other risks and uncertainties more fully described under the caption “Risk Factors” in Part II, Item 1A of this document, in Part I, Item 1A of our Annual Report on Form 10-K for the year ended December 31, 2019 filed with the Securities and Exchange Commission (SEC) on February 26, 2020 (the Annual Report) and in Part II, Item 1A of our Quarterly Report on Form 10-Q for the quarterly period ended March 31, 2020 filed with the SEC on May 7, 2020 (the First Quarter 2020 Form 10-Q). 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incorporated by reference in this document. Additionally, the prolonged impact of COVID-19 could heighten the impact of one or more of such risk factors.</w:t>
      </w:r>
    </w:p>
    <w:p>
      <w:pPr>
        <w:spacing w:after="0" w:line="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Also note that, in Part II, Item 1A of this document, in Part I, Item 1A of the Annual Report and in Part II, Item 1A of the First Quarter 2020 Form 10-Q, and as otherwise enumerated herein,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share and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36"/>
        </w:trPr>
        <w:tc>
          <w:tcPr>
            <w:tcW w:w="8440" w:type="dxa"/>
            <w:vAlign w:val="bottom"/>
            <w:tcBorders>
              <w:top w:val="single" w:sz="8" w:color="CCEEFF"/>
              <w:bottom w:val="single" w:sz="8" w:color="CCEEFF"/>
            </w:tcBorders>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1,780,087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1,454,531</w:t>
            </w: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180,730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247,457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467,953</w:t>
            </w: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330,540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327,865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40,845</w:t>
            </w: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67,081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47,567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2,686,144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2,586,218</w:t>
            </w:r>
          </w:p>
        </w:tc>
        <w:tc>
          <w:tcPr>
            <w:tcW w:w="0" w:type="dxa"/>
            <w:vAlign w:val="bottom"/>
          </w:tcPr>
          <w:p>
            <w:pPr>
              <w:spacing w:after="0"/>
              <w:rPr>
                <w:sz w:val="1"/>
                <w:szCs w:val="1"/>
                <w:color w:val="auto"/>
              </w:rPr>
            </w:pP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489,668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504,865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47,535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51,700</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3,560,011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3,595,184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2,281,172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2,571,267</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98,412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78,101</w:t>
            </w:r>
          </w:p>
        </w:tc>
        <w:tc>
          <w:tcPr>
            <w:tcW w:w="0" w:type="dxa"/>
            <w:vAlign w:val="bottom"/>
          </w:tcPr>
          <w:p>
            <w:pPr>
              <w:spacing w:after="0"/>
              <w:rPr>
                <w:sz w:val="1"/>
                <w:szCs w:val="1"/>
                <w:color w:val="auto"/>
              </w:rPr>
            </w:pPr>
          </w:p>
        </w:tc>
      </w:tr>
      <w:tr>
        <w:trPr>
          <w:trHeight w:val="263"/>
        </w:trPr>
        <w:tc>
          <w:tcPr>
            <w:tcW w:w="8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9,165,134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9,389,527</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40" w:type="dxa"/>
            <w:vAlign w:val="bottom"/>
            <w:tcBorders>
              <w:bottom w:val="single" w:sz="8" w:color="CCEEFF"/>
            </w:tcBorders>
            <w:shd w:val="clear" w:color="auto" w:fill="CCEEFF"/>
          </w:tcPr>
          <w:p>
            <w:pPr>
              <w:ind w:left="2260"/>
              <w:spacing w:after="0"/>
              <w:rPr>
                <w:sz w:val="20"/>
                <w:szCs w:val="20"/>
                <w:color w:val="auto"/>
              </w:rPr>
            </w:pPr>
            <w:r>
              <w:rPr>
                <w:rFonts w:ascii="Arial" w:cs="Arial" w:eastAsia="Arial" w:hAnsi="Arial"/>
                <w:sz w:val="18"/>
                <w:szCs w:val="18"/>
                <w:b w:val="1"/>
                <w:bCs w:val="1"/>
                <w:color w:val="auto"/>
              </w:rPr>
              <w:t>LIABILITIES AND SHAREHOLDERS' DEFICIT</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756,364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899,949</w:t>
            </w: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Current portion of legal settlement accrual</w:t>
            </w:r>
          </w:p>
        </w:tc>
        <w:tc>
          <w:tcPr>
            <w:tcW w:w="1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418,877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513,005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34,150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37"/>
        </w:trPr>
        <w:tc>
          <w:tcPr>
            <w:tcW w:w="84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1,222,411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1,460,289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31,703</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LONG-TERM DEBT, LESS CURRENT PORTION, NET</w:t>
            </w:r>
          </w:p>
        </w:tc>
        <w:tc>
          <w:tcPr>
            <w:tcW w:w="1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8,302,595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8,359,899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42,673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48,299</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284,152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355,881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SHAREHOLDERS' DEFICIT:</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Euro deferred shares, $0.01 par value; 4,000,000 shares authorized and issued at both June 30, 2020 and</w:t>
            </w: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2019</w:t>
            </w: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tcPr>
          <w:p>
            <w:pPr>
              <w:ind w:left="140"/>
              <w:spacing w:after="0" w:line="176" w:lineRule="exact"/>
              <w:rPr>
                <w:sz w:val="20"/>
                <w:szCs w:val="20"/>
                <w:color w:val="auto"/>
              </w:rPr>
            </w:pPr>
            <w:r>
              <w:rPr>
                <w:rFonts w:ascii="Arial" w:cs="Arial" w:eastAsia="Arial" w:hAnsi="Arial"/>
                <w:sz w:val="18"/>
                <w:szCs w:val="18"/>
                <w:color w:val="auto"/>
                <w:w w:val="89"/>
              </w:rPr>
              <w:t>Ordinary shares, $0.0001 par value; 1,000,000,000 shares authorized; 229,798,823 and 226,802,609 shares issued</w:t>
            </w:r>
          </w:p>
        </w:tc>
        <w:tc>
          <w:tcPr>
            <w:tcW w:w="180" w:type="dxa"/>
            <w:vAlign w:val="bottom"/>
          </w:tcPr>
          <w:p>
            <w:pPr>
              <w:spacing w:after="0"/>
              <w:rPr>
                <w:sz w:val="15"/>
                <w:szCs w:val="15"/>
                <w:color w:val="auto"/>
              </w:rPr>
            </w:pPr>
          </w:p>
        </w:tc>
        <w:tc>
          <w:tcPr>
            <w:tcW w:w="1160" w:type="dxa"/>
            <w:vAlign w:val="bottom"/>
            <w:vMerge w:val="restart"/>
          </w:tcPr>
          <w:p>
            <w:pPr>
              <w:jc w:val="right"/>
              <w:ind w:right="7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and outstanding at June 30, 2020 and December 31, 2019, respectively</w:t>
            </w: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8,924,694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8,904,692</w:t>
            </w: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(9,411,726)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(9,552,214)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(219,090)</w:t>
            </w:r>
          </w:p>
        </w:tc>
        <w:tc>
          <w:tcPr>
            <w:tcW w:w="0" w:type="dxa"/>
            <w:vAlign w:val="bottom"/>
          </w:tcPr>
          <w:p>
            <w:pPr>
              <w:spacing w:after="0"/>
              <w:rPr>
                <w:sz w:val="1"/>
                <w:szCs w:val="1"/>
                <w:color w:val="auto"/>
              </w:rPr>
            </w:pPr>
          </w:p>
        </w:tc>
      </w:tr>
      <w:tr>
        <w:trPr>
          <w:trHeight w:val="236"/>
        </w:trPr>
        <w:tc>
          <w:tcPr>
            <w:tcW w:w="8440" w:type="dxa"/>
            <w:vAlign w:val="bottom"/>
          </w:tcPr>
          <w:p>
            <w:pPr>
              <w:ind w:left="220"/>
              <w:spacing w:after="0"/>
              <w:rPr>
                <w:sz w:val="20"/>
                <w:szCs w:val="20"/>
                <w:color w:val="auto"/>
              </w:rPr>
            </w:pPr>
            <w:r>
              <w:rPr>
                <w:rFonts w:ascii="Arial" w:cs="Arial" w:eastAsia="Arial" w:hAnsi="Arial"/>
                <w:sz w:val="18"/>
                <w:szCs w:val="18"/>
                <w:color w:val="auto"/>
              </w:rPr>
              <w:t>Total shareholders' deficit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(714,867)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(866,544)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9,165,134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9,389,527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900"/>
              <w:spacing w:after="0"/>
              <w:rPr>
                <w:sz w:val="20"/>
                <w:szCs w:val="20"/>
                <w:color w:val="auto"/>
              </w:rPr>
            </w:pPr>
            <w:r>
              <w:rPr>
                <w:rFonts w:ascii="Arial" w:cs="Arial" w:eastAsia="Arial" w:hAnsi="Arial"/>
                <w:sz w:val="18"/>
                <w:szCs w:val="18"/>
                <w:color w:val="auto"/>
                <w:w w:val="90"/>
              </w:rPr>
              <w:t>See accompanying Notes to Condensed Consolidated Financial Statements.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4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and shares in thousands, except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4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687,588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699,727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1,507,993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1,420,138</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336,096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388,208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724,895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780,117</w:t>
            </w: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173,258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152,297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340,026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303,420</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30,495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26,348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59,834</w:t>
            </w: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Litigation-related and other contingencies, net</w:t>
            </w: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(8,572)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10,315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(25,748)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10,321</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88,438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97,785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253,886</w:t>
            </w: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Acquisition-related and integration items, net</w:t>
            </w:r>
          </w:p>
        </w:tc>
        <w:tc>
          <w:tcPr>
            <w:tcW w:w="2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6,045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18,507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(43,008)</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129,164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134,809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262,041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267,484</w:t>
            </w: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Gain on extinguishment of debt</w:t>
            </w: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(119,828)</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4,205</w:t>
            </w: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w:t>
            </w: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INCOME TAX</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25,252</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(94,584)</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46,501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(96,293)</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14,371</w:t>
            </w: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17,610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(98,052)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175,191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(110,664)</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 NET OF TAX (NOTE 3)</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(13,914)</w:t>
            </w: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10,558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(106,005)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140,488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(124,578)</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SHARE—BASIC:</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(0.49)</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r>
      <w:tr>
        <w:trPr>
          <w:trHeight w:val="264"/>
        </w:trPr>
        <w:tc>
          <w:tcPr>
            <w:tcW w:w="5520" w:type="dxa"/>
            <w:vAlign w:val="bottom"/>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(0.55)</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SHARE—DILUTED:</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(0.49)</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r>
      <w:tr>
        <w:trPr>
          <w:trHeight w:val="264"/>
        </w:trPr>
        <w:tc>
          <w:tcPr>
            <w:tcW w:w="5520" w:type="dxa"/>
            <w:vAlign w:val="bottom"/>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(0.55)</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229,716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226,221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228,457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225,408</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233,681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226,221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233,348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225,408</w:t>
            </w:r>
          </w:p>
        </w:tc>
      </w:tr>
      <w:tr>
        <w:trPr>
          <w:trHeight w:val="27"/>
        </w:trPr>
        <w:tc>
          <w:tcPr>
            <w:tcW w:w="5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10,558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(106,005)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140,488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(124,578)</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unrealized gain (loss) on foreign currency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5,624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9,125</w:t>
            </w:r>
          </w:p>
        </w:tc>
      </w:tr>
      <w:tr>
        <w:trPr>
          <w:trHeight w:val="237"/>
        </w:trPr>
        <w:tc>
          <w:tcPr>
            <w:tcW w:w="5520" w:type="dxa"/>
            <w:vAlign w:val="bottom"/>
          </w:tcPr>
          <w:p>
            <w:pPr>
              <w:ind w:left="22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5,624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4,395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(8,813)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9,125</w:t>
            </w: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16,182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(101,610)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131,675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(115,453)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8440" w:type="dxa"/>
            <w:vAlign w:val="bottom"/>
            <w:gridSpan w:val="7"/>
          </w:tcPr>
          <w:p>
            <w:pPr>
              <w:ind w:left="2900"/>
              <w:spacing w:after="0"/>
              <w:rPr>
                <w:sz w:val="20"/>
                <w:szCs w:val="20"/>
                <w:color w:val="auto"/>
              </w:rPr>
            </w:pPr>
            <w:r>
              <w:rPr>
                <w:rFonts w:ascii="Arial" w:cs="Arial" w:eastAsia="Arial" w:hAnsi="Arial"/>
                <w:sz w:val="18"/>
                <w:szCs w:val="18"/>
                <w:color w:val="auto"/>
                <w:w w:val="90"/>
              </w:rPr>
              <w:t>See accompanying Notes to Condensed Consolidated Financial Statements.</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648"/>
        </w:trPr>
        <w:tc>
          <w:tcPr>
            <w:tcW w:w="552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140,488</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(124,578)</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4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264,198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320,788</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26,867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37,333</w:t>
            </w:r>
          </w:p>
        </w:tc>
        <w:tc>
          <w:tcPr>
            <w:tcW w:w="0" w:type="dxa"/>
            <w:vAlign w:val="bottom"/>
          </w:tcPr>
          <w:p>
            <w:pPr>
              <w:spacing w:after="0"/>
              <w:rPr>
                <w:sz w:val="1"/>
                <w:szCs w:val="1"/>
                <w:color w:val="auto"/>
              </w:rPr>
            </w:pPr>
          </w:p>
        </w:tc>
      </w:tr>
      <w:tr>
        <w:trPr>
          <w:trHeight w:val="224"/>
        </w:trPr>
        <w:tc>
          <w:tcPr>
            <w:tcW w:w="8440" w:type="dxa"/>
            <w:vAlign w:val="bottom"/>
          </w:tcPr>
          <w:p>
            <w:pPr>
              <w:ind w:left="220"/>
              <w:spacing w:after="0"/>
              <w:rPr>
                <w:sz w:val="20"/>
                <w:szCs w:val="20"/>
                <w:color w:val="auto"/>
              </w:rPr>
            </w:pPr>
            <w:r>
              <w:rPr>
                <w:rFonts w:ascii="Arial" w:cs="Arial" w:eastAsia="Arial" w:hAnsi="Arial"/>
                <w:sz w:val="16"/>
                <w:szCs w:val="16"/>
                <w:color w:val="auto"/>
              </w:rPr>
              <w:t>Amortization of debt issuance costs and discount</w:t>
            </w:r>
          </w:p>
        </w:tc>
        <w:tc>
          <w:tcPr>
            <w:tcW w:w="3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8,551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9,540</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23"/>
        </w:trPr>
        <w:tc>
          <w:tcPr>
            <w:tcW w:w="8440" w:type="dxa"/>
            <w:vAlign w:val="bottom"/>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3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18,507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(43,008)</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Gain on extinguishment of debt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(119,828)</w:t>
            </w:r>
          </w:p>
        </w:tc>
        <w:tc>
          <w:tcPr>
            <w:tcW w:w="0" w:type="dxa"/>
            <w:vAlign w:val="bottom"/>
          </w:tcPr>
          <w:p>
            <w:pPr>
              <w:spacing w:after="0"/>
              <w:rPr>
                <w:sz w:val="1"/>
                <w:szCs w:val="1"/>
                <w:color w:val="auto"/>
              </w:rPr>
            </w:pPr>
          </w:p>
        </w:tc>
      </w:tr>
      <w:tr>
        <w:trPr>
          <w:trHeight w:val="224"/>
        </w:trPr>
        <w:tc>
          <w:tcPr>
            <w:tcW w:w="8440" w:type="dxa"/>
            <w:vAlign w:val="bottom"/>
          </w:tcPr>
          <w:p>
            <w:pPr>
              <w:ind w:left="220"/>
              <w:spacing w:after="0"/>
              <w:rPr>
                <w:sz w:val="20"/>
                <w:szCs w:val="20"/>
                <w:color w:val="auto"/>
              </w:rPr>
            </w:pPr>
            <w:r>
              <w:rPr>
                <w:rFonts w:ascii="Arial" w:cs="Arial" w:eastAsia="Arial" w:hAnsi="Arial"/>
                <w:sz w:val="16"/>
                <w:szCs w:val="16"/>
                <w:color w:val="auto"/>
              </w:rPr>
              <w:t>Asset impairment charges</w:t>
            </w:r>
          </w:p>
        </w:tc>
        <w:tc>
          <w:tcPr>
            <w:tcW w:w="3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97,785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253,886</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Gain on sale of business and other assets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23"/>
        </w:trPr>
        <w:tc>
          <w:tcPr>
            <w:tcW w:w="8440" w:type="dxa"/>
            <w:vAlign w:val="bottom"/>
          </w:tcPr>
          <w:p>
            <w:pPr>
              <w:ind w:left="120"/>
              <w:spacing w:after="0"/>
              <w:rPr>
                <w:sz w:val="20"/>
                <w:szCs w:val="20"/>
                <w:color w:val="auto"/>
              </w:rPr>
            </w:pPr>
            <w:r>
              <w:rPr>
                <w:rFonts w:ascii="Arial" w:cs="Arial" w:eastAsia="Arial" w:hAnsi="Arial"/>
                <w:sz w:val="16"/>
                <w:szCs w:val="16"/>
                <w:color w:val="auto"/>
              </w:rPr>
              <w:t>Changes in assets and liabilities which provided (used) cash:</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192,599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34,557</w:t>
            </w:r>
          </w:p>
        </w:tc>
        <w:tc>
          <w:tcPr>
            <w:tcW w:w="0" w:type="dxa"/>
            <w:vAlign w:val="bottom"/>
          </w:tcPr>
          <w:p>
            <w:pPr>
              <w:spacing w:after="0"/>
              <w:rPr>
                <w:sz w:val="1"/>
                <w:szCs w:val="1"/>
                <w:color w:val="auto"/>
              </w:rPr>
            </w:pPr>
          </w:p>
        </w:tc>
      </w:tr>
      <w:tr>
        <w:trPr>
          <w:trHeight w:val="224"/>
        </w:trPr>
        <w:tc>
          <w:tcPr>
            <w:tcW w:w="84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(29,167)</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Prepaid and other assets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6,780</w:t>
            </w:r>
          </w:p>
        </w:tc>
        <w:tc>
          <w:tcPr>
            <w:tcW w:w="0" w:type="dxa"/>
            <w:vAlign w:val="bottom"/>
          </w:tcPr>
          <w:p>
            <w:pPr>
              <w:spacing w:after="0"/>
              <w:rPr>
                <w:sz w:val="1"/>
                <w:szCs w:val="1"/>
                <w:color w:val="auto"/>
              </w:rPr>
            </w:pPr>
          </w:p>
        </w:tc>
      </w:tr>
      <w:tr>
        <w:trPr>
          <w:trHeight w:val="223"/>
        </w:trPr>
        <w:tc>
          <w:tcPr>
            <w:tcW w:w="8440" w:type="dxa"/>
            <w:vAlign w:val="bottom"/>
          </w:tcPr>
          <w:p>
            <w:pPr>
              <w:ind w:left="220"/>
              <w:spacing w:after="0"/>
              <w:rPr>
                <w:sz w:val="20"/>
                <w:szCs w:val="20"/>
                <w:color w:val="auto"/>
              </w:rPr>
            </w:pPr>
            <w:r>
              <w:rPr>
                <w:rFonts w:ascii="Arial" w:cs="Arial" w:eastAsia="Arial" w:hAnsi="Arial"/>
                <w:sz w:val="16"/>
                <w:szCs w:val="16"/>
                <w:color w:val="auto"/>
              </w:rPr>
              <w:t>Accounts payable, accrued expenses and other liabilities</w:t>
            </w:r>
          </w:p>
        </w:tc>
        <w:tc>
          <w:tcPr>
            <w:tcW w:w="3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(228,861)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(266,800)</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Income taxes payable/receivable, net</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9,690</w:t>
            </w:r>
          </w:p>
        </w:tc>
        <w:tc>
          <w:tcPr>
            <w:tcW w:w="0" w:type="dxa"/>
            <w:vAlign w:val="bottom"/>
          </w:tcPr>
          <w:p>
            <w:pPr>
              <w:spacing w:after="0"/>
              <w:rPr>
                <w:sz w:val="1"/>
                <w:szCs w:val="1"/>
                <w:color w:val="auto"/>
              </w:rPr>
            </w:pPr>
          </w:p>
        </w:tc>
      </w:tr>
      <w:tr>
        <w:trPr>
          <w:trHeight w:val="217"/>
        </w:trPr>
        <w:tc>
          <w:tcPr>
            <w:tcW w:w="844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366,888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86,602</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120"/>
              <w:spacing w:after="0"/>
              <w:rPr>
                <w:sz w:val="20"/>
                <w:szCs w:val="20"/>
                <w:color w:val="auto"/>
              </w:rPr>
            </w:pPr>
            <w:r>
              <w:rPr>
                <w:rFonts w:ascii="Arial" w:cs="Arial" w:eastAsia="Arial" w:hAnsi="Arial"/>
                <w:sz w:val="16"/>
                <w:szCs w:val="16"/>
                <w:color w:val="auto"/>
              </w:rPr>
              <w:t>Purchases of property, plant and equipment, excluding capitalized interest</w:t>
            </w:r>
          </w:p>
        </w:tc>
        <w:tc>
          <w:tcPr>
            <w:tcW w:w="3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(36,305)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(23,632)</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Capitalized interest payments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(2,190)</w:t>
            </w:r>
          </w:p>
        </w:tc>
        <w:tc>
          <w:tcPr>
            <w:tcW w:w="0" w:type="dxa"/>
            <w:vAlign w:val="bottom"/>
          </w:tcPr>
          <w:p>
            <w:pPr>
              <w:spacing w:after="0"/>
              <w:rPr>
                <w:sz w:val="1"/>
                <w:szCs w:val="1"/>
                <w:color w:val="auto"/>
              </w:rPr>
            </w:pPr>
          </w:p>
        </w:tc>
      </w:tr>
      <w:tr>
        <w:trPr>
          <w:trHeight w:val="223"/>
        </w:trPr>
        <w:tc>
          <w:tcPr>
            <w:tcW w:w="8440" w:type="dxa"/>
            <w:vAlign w:val="bottom"/>
          </w:tcPr>
          <w:p>
            <w:pPr>
              <w:ind w:left="120"/>
              <w:spacing w:after="0"/>
              <w:rPr>
                <w:sz w:val="20"/>
                <w:szCs w:val="20"/>
                <w:color w:val="auto"/>
              </w:rPr>
            </w:pPr>
            <w:r>
              <w:rPr>
                <w:rFonts w:ascii="Arial" w:cs="Arial" w:eastAsia="Arial" w:hAnsi="Arial"/>
                <w:sz w:val="16"/>
                <w:szCs w:val="16"/>
                <w:color w:val="auto"/>
              </w:rPr>
              <w:t>Proceeds from sale of business and other assets, net</w:t>
            </w:r>
          </w:p>
        </w:tc>
        <w:tc>
          <w:tcPr>
            <w:tcW w:w="3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2,594</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17"/>
        </w:trPr>
        <w:tc>
          <w:tcPr>
            <w:tcW w:w="8440" w:type="dxa"/>
            <w:vAlign w:val="bottom"/>
          </w:tcPr>
          <w:p>
            <w:pPr>
              <w:ind w:left="2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(31,413)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(22,316)</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120"/>
              <w:spacing w:after="0"/>
              <w:rPr>
                <w:sz w:val="20"/>
                <w:szCs w:val="20"/>
                <w:color w:val="auto"/>
              </w:rPr>
            </w:pPr>
            <w:r>
              <w:rPr>
                <w:rFonts w:ascii="Arial" w:cs="Arial" w:eastAsia="Arial" w:hAnsi="Arial"/>
                <w:sz w:val="16"/>
                <w:szCs w:val="16"/>
                <w:color w:val="auto"/>
              </w:rPr>
              <w:t>Proceeds from issuance of notes, net</w:t>
            </w:r>
          </w:p>
        </w:tc>
        <w:tc>
          <w:tcPr>
            <w:tcW w:w="3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1,483,125</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Repayments of notes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(1,501,788)</w:t>
            </w:r>
          </w:p>
        </w:tc>
        <w:tc>
          <w:tcPr>
            <w:tcW w:w="0" w:type="dxa"/>
            <w:vAlign w:val="bottom"/>
          </w:tcPr>
          <w:p>
            <w:pPr>
              <w:spacing w:after="0"/>
              <w:rPr>
                <w:sz w:val="1"/>
                <w:szCs w:val="1"/>
                <w:color w:val="auto"/>
              </w:rPr>
            </w:pPr>
          </w:p>
        </w:tc>
      </w:tr>
      <w:tr>
        <w:trPr>
          <w:trHeight w:val="223"/>
        </w:trPr>
        <w:tc>
          <w:tcPr>
            <w:tcW w:w="8440" w:type="dxa"/>
            <w:vAlign w:val="bottom"/>
          </w:tcPr>
          <w:p>
            <w:pPr>
              <w:ind w:left="120"/>
              <w:spacing w:after="0"/>
              <w:rPr>
                <w:sz w:val="20"/>
                <w:szCs w:val="20"/>
                <w:color w:val="auto"/>
              </w:rPr>
            </w:pPr>
            <w:r>
              <w:rPr>
                <w:rFonts w:ascii="Arial" w:cs="Arial" w:eastAsia="Arial" w:hAnsi="Arial"/>
                <w:sz w:val="16"/>
                <w:szCs w:val="16"/>
                <w:color w:val="auto"/>
              </w:rPr>
              <w:t>Repayments of term loans</w:t>
            </w:r>
          </w:p>
        </w:tc>
        <w:tc>
          <w:tcPr>
            <w:tcW w:w="3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(17,074)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(17,076)</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draw of revolving debt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23"/>
        </w:trPr>
        <w:tc>
          <w:tcPr>
            <w:tcW w:w="8440" w:type="dxa"/>
            <w:vAlign w:val="bottom"/>
          </w:tcPr>
          <w:p>
            <w:pPr>
              <w:ind w:left="120"/>
              <w:spacing w:after="0"/>
              <w:rPr>
                <w:sz w:val="20"/>
                <w:szCs w:val="20"/>
                <w:color w:val="auto"/>
              </w:rPr>
            </w:pPr>
            <w:r>
              <w:rPr>
                <w:rFonts w:ascii="Arial" w:cs="Arial" w:eastAsia="Arial" w:hAnsi="Arial"/>
                <w:sz w:val="16"/>
                <w:szCs w:val="16"/>
                <w:color w:val="auto"/>
              </w:rPr>
              <w:t>Repayments of other indebtedness</w:t>
            </w:r>
          </w:p>
        </w:tc>
        <w:tc>
          <w:tcPr>
            <w:tcW w:w="3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(6,656)</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for debt issuance and extinguishment costs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(5,100)</w:t>
            </w:r>
          </w:p>
        </w:tc>
        <w:tc>
          <w:tcPr>
            <w:tcW w:w="0" w:type="dxa"/>
            <w:vAlign w:val="bottom"/>
          </w:tcPr>
          <w:p>
            <w:pPr>
              <w:spacing w:after="0"/>
              <w:rPr>
                <w:sz w:val="1"/>
                <w:szCs w:val="1"/>
                <w:color w:val="auto"/>
              </w:rPr>
            </w:pPr>
          </w:p>
        </w:tc>
      </w:tr>
      <w:tr>
        <w:trPr>
          <w:trHeight w:val="223"/>
        </w:trPr>
        <w:tc>
          <w:tcPr>
            <w:tcW w:w="8440" w:type="dxa"/>
            <w:vAlign w:val="bottom"/>
          </w:tcPr>
          <w:p>
            <w:pPr>
              <w:ind w:left="120"/>
              <w:spacing w:after="0"/>
              <w:rPr>
                <w:sz w:val="20"/>
                <w:szCs w:val="20"/>
                <w:color w:val="auto"/>
              </w:rPr>
            </w:pPr>
            <w:r>
              <w:rPr>
                <w:rFonts w:ascii="Arial" w:cs="Arial" w:eastAsia="Arial" w:hAnsi="Arial"/>
                <w:sz w:val="16"/>
                <w:szCs w:val="16"/>
                <w:color w:val="auto"/>
              </w:rPr>
              <w:t>Payments for contingent consideration</w:t>
            </w:r>
          </w:p>
        </w:tc>
        <w:tc>
          <w:tcPr>
            <w:tcW w:w="3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(8,153)</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of tax withholding for restricted shares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(9,427)</w:t>
            </w:r>
          </w:p>
        </w:tc>
        <w:tc>
          <w:tcPr>
            <w:tcW w:w="0" w:type="dxa"/>
            <w:vAlign w:val="bottom"/>
          </w:tcPr>
          <w:p>
            <w:pPr>
              <w:spacing w:after="0"/>
              <w:rPr>
                <w:sz w:val="1"/>
                <w:szCs w:val="1"/>
                <w:color w:val="auto"/>
              </w:rPr>
            </w:pPr>
          </w:p>
        </w:tc>
      </w:tr>
      <w:tr>
        <w:trPr>
          <w:trHeight w:val="223"/>
        </w:trPr>
        <w:tc>
          <w:tcPr>
            <w:tcW w:w="8440" w:type="dxa"/>
            <w:vAlign w:val="bottom"/>
          </w:tcPr>
          <w:p>
            <w:pPr>
              <w:ind w:left="120"/>
              <w:spacing w:after="0"/>
              <w:rPr>
                <w:sz w:val="20"/>
                <w:szCs w:val="20"/>
                <w:color w:val="auto"/>
              </w:rPr>
            </w:pPr>
            <w:r>
              <w:rPr>
                <w:rFonts w:ascii="Arial" w:cs="Arial" w:eastAsia="Arial" w:hAnsi="Arial"/>
                <w:sz w:val="16"/>
                <w:szCs w:val="16"/>
                <w:color w:val="auto"/>
              </w:rPr>
              <w:t>Proceeds from exercise of options</w:t>
            </w:r>
          </w:p>
        </w:tc>
        <w:tc>
          <w:tcPr>
            <w:tcW w:w="3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234,929</w:t>
            </w:r>
          </w:p>
        </w:tc>
        <w:tc>
          <w:tcPr>
            <w:tcW w:w="0" w:type="dxa"/>
            <w:vAlign w:val="bottom"/>
          </w:tcPr>
          <w:p>
            <w:pPr>
              <w:spacing w:after="0"/>
              <w:rPr>
                <w:sz w:val="1"/>
                <w:szCs w:val="1"/>
                <w:color w:val="auto"/>
              </w:rPr>
            </w:pPr>
          </w:p>
        </w:tc>
      </w:tr>
      <w:tr>
        <w:trPr>
          <w:trHeight w:val="217"/>
        </w:trPr>
        <w:tc>
          <w:tcPr>
            <w:tcW w:w="8440" w:type="dxa"/>
            <w:vAlign w:val="bottom"/>
          </w:tcPr>
          <w:p>
            <w:pPr>
              <w:ind w:left="20"/>
              <w:spacing w:after="0"/>
              <w:rPr>
                <w:sz w:val="20"/>
                <w:szCs w:val="20"/>
                <w:color w:val="auto"/>
              </w:rPr>
            </w:pPr>
            <w:r>
              <w:rPr>
                <w:rFonts w:ascii="Arial" w:cs="Arial" w:eastAsia="Arial" w:hAnsi="Arial"/>
                <w:sz w:val="16"/>
                <w:szCs w:val="16"/>
                <w:color w:val="auto"/>
              </w:rPr>
              <w:t>Effect of foreign exchange rate</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RESTRICTED CASH AND RESTRICTED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258,829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300,056</w:t>
            </w:r>
          </w:p>
        </w:tc>
        <w:tc>
          <w:tcPr>
            <w:tcW w:w="0" w:type="dxa"/>
            <w:vAlign w:val="bottom"/>
          </w:tcPr>
          <w:p>
            <w:pPr>
              <w:spacing w:after="0"/>
              <w:rPr>
                <w:sz w:val="1"/>
                <w:szCs w:val="1"/>
                <w:color w:val="auto"/>
              </w:rPr>
            </w:pPr>
          </w:p>
        </w:tc>
      </w:tr>
      <w:tr>
        <w:trPr>
          <w:trHeight w:val="200"/>
        </w:trPr>
        <w:tc>
          <w:tcPr>
            <w:tcW w:w="8440" w:type="dxa"/>
            <w:vAlign w:val="bottom"/>
          </w:tcPr>
          <w:p>
            <w:pPr>
              <w:ind w:left="20"/>
              <w:spacing w:after="0"/>
              <w:rPr>
                <w:sz w:val="20"/>
                <w:szCs w:val="20"/>
                <w:color w:val="auto"/>
              </w:rPr>
            </w:pPr>
            <w:r>
              <w:rPr>
                <w:rFonts w:ascii="Arial" w:cs="Arial" w:eastAsia="Arial" w:hAnsi="Arial"/>
                <w:sz w:val="16"/>
                <w:szCs w:val="16"/>
                <w:color w:val="auto"/>
              </w:rPr>
              <w:t>CASH, CASH EQUIVALENTS, RESTRICTED CASH AND RESTRICTED CASH EQUIVALENTS, BEGINNING OF</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40" w:type="dxa"/>
            <w:vAlign w:val="bottom"/>
          </w:tcPr>
          <w:p>
            <w:pPr>
              <w:ind w:left="20"/>
              <w:spacing w:after="0"/>
              <w:rPr>
                <w:sz w:val="20"/>
                <w:szCs w:val="20"/>
                <w:color w:val="auto"/>
              </w:rPr>
            </w:pPr>
            <w:r>
              <w:rPr>
                <w:rFonts w:ascii="Arial" w:cs="Arial" w:eastAsia="Arial" w:hAnsi="Arial"/>
                <w:sz w:val="16"/>
                <w:szCs w:val="16"/>
                <w:color w:val="auto"/>
              </w:rPr>
              <w:t>PERIOD</w:t>
            </w:r>
          </w:p>
        </w:tc>
        <w:tc>
          <w:tcPr>
            <w:tcW w:w="30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1,720,388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1,476,837</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RESTRICTED CASH AND RESTRICTED CASH EQUIVALENTS,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1,979,217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1,776,893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paid into Qualified Settlement Funds for mesh legal settlements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155,995</w:t>
            </w:r>
          </w:p>
        </w:tc>
        <w:tc>
          <w:tcPr>
            <w:tcW w:w="0" w:type="dxa"/>
            <w:vAlign w:val="bottom"/>
          </w:tcPr>
          <w:p>
            <w:pPr>
              <w:spacing w:after="0"/>
              <w:rPr>
                <w:sz w:val="1"/>
                <w:szCs w:val="1"/>
                <w:color w:val="auto"/>
              </w:rPr>
            </w:pPr>
          </w:p>
        </w:tc>
      </w:tr>
      <w:tr>
        <w:trPr>
          <w:trHeight w:val="223"/>
        </w:trPr>
        <w:tc>
          <w:tcPr>
            <w:tcW w:w="8440" w:type="dxa"/>
            <w:vAlign w:val="bottom"/>
          </w:tcPr>
          <w:p>
            <w:pPr>
              <w:ind w:left="120"/>
              <w:spacing w:after="0"/>
              <w:rPr>
                <w:sz w:val="20"/>
                <w:szCs w:val="20"/>
                <w:color w:val="auto"/>
              </w:rPr>
            </w:pPr>
            <w:r>
              <w:rPr>
                <w:rFonts w:ascii="Arial" w:cs="Arial" w:eastAsia="Arial" w:hAnsi="Arial"/>
                <w:sz w:val="16"/>
                <w:szCs w:val="16"/>
                <w:color w:val="auto"/>
              </w:rPr>
              <w:t>Cash paid out of Qualified Settlement Funds for mesh legal settlements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67,733</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151,388</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cash distributions for mesh legal settlements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11,428</w:t>
            </w:r>
          </w:p>
        </w:tc>
        <w:tc>
          <w:tcPr>
            <w:tcW w:w="0" w:type="dxa"/>
            <w:vAlign w:val="bottom"/>
          </w:tcPr>
          <w:p>
            <w:pPr>
              <w:spacing w:after="0"/>
              <w:rPr>
                <w:sz w:val="1"/>
                <w:szCs w:val="1"/>
                <w:color w:val="auto"/>
              </w:rPr>
            </w:pPr>
          </w:p>
        </w:tc>
      </w:tr>
      <w:tr>
        <w:trPr>
          <w:trHeight w:val="33"/>
        </w:trPr>
        <w:tc>
          <w:tcPr>
            <w:tcW w:w="8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SIX MONTHS ENDED JUNE 30,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w:t>
      </w:r>
    </w:p>
    <w:p>
      <w:pPr>
        <w:spacing w:after="0" w:line="7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Endo International plc and its subsidiaries have been prepared in accordance with United States (U.S.) generally accepted accounting principles (U.S. GAAP) for interim financial information and the instructions to Form 10-Q and Article 10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June 30, 2020 and the results of its operations and its cash flows for the periods presented. Operating results for the three and six months ended June 30, 2020 are not necessarily indicative of the results that may be expected for the year ending December 31, 2020. The year-end Condensed Consolidated Balance Sheet data as of December 31, 2019 was derived from audited financial statements but does not include all disclosures required by U.S. GAAP.</w:t>
      </w:r>
    </w:p>
    <w:p>
      <w:pPr>
        <w:spacing w:after="0" w:line="73"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the Annual Report.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preparation of our Condensed Consolidated Financial Statements in conformity with U.S. GAAP requires us to make estimates that affect the amounts and disclosures in the Condensed Consolidated Financial Statements, including the notes thereto, and elsewhere in this report. Uncertainties related to the magnitude and duration of COVID-19, the extent to which it will impact our estimated future financial results, worldwide macroeconomic conditions including interest rates, employment rates, consumer spending and health insurance coverage, the speed of the anticipated recovery and governmental and business reactions to the pandemic have increased the complexity of developing these estimates, including the allowance for expected credit losses and the carrying amounts of long-lived assets, goodwill and other intangible assets. Actual results may differ significantly from our estimates, including as a result of COVID-19.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Added or Updated since December 31, 2019</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Significant changes to our significant accounting policies since December 31, 2019 are detailed below. For additional discussion of the Company’s significant accounting policies, see Note 2. Summary of Significant Accounting Policies in the Consolidated Financial Statements, included in Part IV, Item 15 of the Annual Report.</w:t>
      </w:r>
    </w:p>
    <w:p>
      <w:pPr>
        <w:spacing w:after="0" w:line="7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The Company adopted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Standards Codification (ASC) Topic 326, Financial Instruments-Credit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326)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1, 2020. For further discussion of the adoption, refer to the “Recent Accounting Pronouncements Adopted or Otherwise Effective as of June 30, 2020” section below. Subsequent to the adoption of ASC 326, our accounts receivable balance is stated at amortized cost less an allowance for expected credit losses. In addition, our accounts receivable balance is reduced by certain sales deduction reserves where we have the right of offset with the customer. We generally do not require collateral.</w:t>
      </w:r>
    </w:p>
    <w:p>
      <w:pPr>
        <w:spacing w:after="0" w:line="80"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b w:val="1"/>
          <w:bCs w:val="1"/>
          <w:i w:val="1"/>
          <w:iCs w:val="1"/>
          <w:color w:val="auto"/>
        </w:rPr>
        <w:t xml:space="preserve">Concentrations of Credit Risk and Credit Losses. </w:t>
      </w:r>
      <w:r>
        <w:rPr>
          <w:rFonts w:ascii="Arial" w:cs="Arial" w:eastAsia="Arial" w:hAnsi="Arial"/>
          <w:sz w:val="16"/>
          <w:szCs w:val="16"/>
          <w:color w:val="auto"/>
        </w:rPr>
        <w:t>Financial instruments that potentially subject us to significant concentrations of credit risk consist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of cash equivalents, restricted cash equivalents and accounts receivable. From time to time, we invest our excess cash in high-quality, liquid money market instruments maintained by major banks and financial institutions. We have not experienced any losses on our cash equivalents.</w:t>
      </w:r>
    </w:p>
    <w:p>
      <w:pPr>
        <w:spacing w:after="0" w:line="41" w:lineRule="exact"/>
        <w:rPr>
          <w:sz w:val="20"/>
          <w:szCs w:val="20"/>
          <w:color w:val="auto"/>
        </w:rPr>
      </w:pPr>
    </w:p>
    <w:p>
      <w:pPr>
        <w:ind w:right="240" w:firstLine="486"/>
        <w:spacing w:after="0" w:line="293" w:lineRule="auto"/>
        <w:rPr>
          <w:sz w:val="20"/>
          <w:szCs w:val="20"/>
          <w:color w:val="auto"/>
        </w:rPr>
      </w:pPr>
      <w:r>
        <w:rPr>
          <w:rFonts w:ascii="Arial" w:cs="Arial" w:eastAsia="Arial" w:hAnsi="Arial"/>
          <w:sz w:val="16"/>
          <w:szCs w:val="16"/>
          <w:color w:val="auto"/>
        </w:rPr>
        <w:t>With respect to our accounts receivable, we have no history of significant losses. Approximately 86% and 88% of our gross trade accounts receivable balances represent amounts due from three customers (Cardinal Health, Inc., McKesson Corporation and AmerisourceBergen Corporation) at June 30, 2020 and December 31, 2019, respectively. We perform ongoing credit evaluations of these and our other customers based on information available to us. We consider these and other factors, including changes in the composition and aging of our accounts receivable, in developing our allowance for expected credit losses. The estimated allowance was not material to the Company’s Condensed Consolidated Financial Statements at June 30, 2020 or December 31, 2019, nor were the changes to the allowance during any of the periods presented.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We do not currently expect our current or future exposures to credit losses to have a significant impact on us. However, our customers’ ability to pay us on a timely basis, or at all, could be affected by factors specific to their respective businesses and/or by economic conditions, including those related to the COVID-19 pandemic, the extent of which cannot be fully predicted.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 or Otherwise Effective as of June 30, 2020</w:t>
      </w:r>
    </w:p>
    <w:p>
      <w:pPr>
        <w:spacing w:after="0" w:line="121"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(ASU 2016-13). ASU 2016-13, together with a series of subsequently-issued related ASUs, has been codified in ASC 326.</w:t>
      </w:r>
      <w:r>
        <w:rPr>
          <w:rFonts w:ascii="Arial" w:cs="Arial" w:eastAsia="Arial" w:hAnsi="Arial"/>
          <w:sz w:val="17"/>
          <w:szCs w:val="17"/>
          <w:i w:val="1"/>
          <w:iCs w:val="1"/>
          <w:color w:val="auto"/>
        </w:rPr>
        <w:t xml:space="preserve"> </w:t>
      </w:r>
      <w:r>
        <w:rPr>
          <w:rFonts w:ascii="Arial" w:cs="Arial" w:eastAsia="Arial" w:hAnsi="Arial"/>
          <w:sz w:val="17"/>
          <w:szCs w:val="17"/>
          <w:color w:val="auto"/>
        </w:rPr>
        <w:t>ASC 326 establishes new requirements for companies to estimate expected credit losses when measuring certain financial assets, including accounts receivable. The Company adopted ASC 326 using a modified retrospective approach with an effective date of January 1, 2020. The adoption of ASC 326 did not have a material impact on the Company’s Condensed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Astora</w:t>
      </w:r>
    </w:p>
    <w:p>
      <w:pPr>
        <w:spacing w:after="0" w:line="117" w:lineRule="exact"/>
        <w:rPr>
          <w:sz w:val="20"/>
          <w:szCs w:val="20"/>
          <w:color w:val="auto"/>
        </w:rPr>
      </w:pPr>
    </w:p>
    <w:p>
      <w:pPr>
        <w:ind w:right="260" w:firstLine="486"/>
        <w:spacing w:after="0" w:line="311" w:lineRule="auto"/>
        <w:rPr>
          <w:sz w:val="20"/>
          <w:szCs w:val="20"/>
          <w:color w:val="auto"/>
        </w:rPr>
      </w:pPr>
      <w:r>
        <w:rPr>
          <w:rFonts w:ascii="Arial" w:cs="Arial" w:eastAsia="Arial" w:hAnsi="Arial"/>
          <w:sz w:val="16"/>
          <w:szCs w:val="16"/>
          <w:color w:val="auto"/>
        </w:rPr>
        <w:t>The operating results of the Company’s Astora business, which the Company’s board of directors (the Board) resolved to wind-down in 2016, are reported as Discontinued operations, net of tax in the Condensed Consolidated Statements of Operations for all periods presented. The following table provides the operating results of Astora Discontinued operations, net of tax, for the three and six months ended June 30, 2020 and 2019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4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(6,507)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(7,953)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(40,024)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(13,914)</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(7,052)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(7,953)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(34,703)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(13,914)</w:t>
            </w:r>
          </w:p>
        </w:tc>
      </w:tr>
    </w:tbl>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Loss from discontinued operations before income taxes includes Litigation-related and other contingencies, net, mesh-related legal defense costs and certain other items.</w:t>
      </w:r>
    </w:p>
    <w:p>
      <w:pPr>
        <w:spacing w:after="0" w:line="62"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cash flows from discontinued operating activities related to Astora included the impact of net losses of $34.7 million and $13.9 million for the six months ended June 30, 2020 and 2019, respectively, and the impact of cash activity related to vaginal mesh cases. There were no material net cash flows related to Astora discontinued investing activities during the six months ended June 30, 2020 or 2019. There was no depreciation or amortization during the six months ended June 30, 2020 or 2019 related to Astora.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RESULTS</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Company’s four reportable business segments are Branded Pharmaceuticals, Sterile Injectables, Generic Pharmaceuticals and International Pharmaceuticals. These segments reflect the level at which the chief operating decision maker (CODM) regularly reviews financial information to assess performance and to make decisions about resources to be allocated. Each segment derives revenue from the sales or licensing of its respective products and is discussed in more detail below.</w:t>
      </w:r>
    </w:p>
    <w:p>
      <w:pPr>
        <w:spacing w:after="0" w:line="79"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We evaluate segment performance based on segment adjusted income from continuing operations before income tax, which we define as Income (loss) from continuing operations before income tax and before certain upfront and milestone payments to partners;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and certain other items. Effective January 1, 2020, the Company revised its definition of segment adjusted income from continuing operations before income tax to exclude certain legal costs in order to reflect changes in how the CODM reviews segment performance. The Company believes that such costs are not indicative of business performance and that excluding them more accurately reflects each segment’s results and better enables management to compare financial results between periods. Prior period results have been adjusted to reflect this change. Specifically, for the three months ended June 30, 2019, certain legal costs of $18.6 million and $0.4 million have been excluded from our Branded Pharmaceuticals and Generic Pharmaceuticals segments, respectively, and for the six months ended June 30, 2019, certain legal costs of $34.8 million and $0.8 million have been excluded from our Branded Pharmaceuticals and Generic Pharmaceuticals segments, respectively, resulting in increases to the segment adjusted income from continuing operations before income tax for these segments. This change had no impact on our Total consolidated income (loss) from continuing operations before income tax.</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Pharmaceuticals</w:t>
      </w:r>
    </w:p>
    <w:p>
      <w:pPr>
        <w:spacing w:after="0" w:line="117" w:lineRule="exact"/>
        <w:rPr>
          <w:sz w:val="20"/>
          <w:szCs w:val="20"/>
          <w:color w:val="auto"/>
        </w:rPr>
      </w:pPr>
    </w:p>
    <w:p>
      <w:pPr>
        <w:ind w:right="520" w:firstLine="486"/>
        <w:spacing w:after="0" w:line="244" w:lineRule="auto"/>
        <w:rPr>
          <w:sz w:val="20"/>
          <w:szCs w:val="20"/>
          <w:color w:val="auto"/>
        </w:rPr>
      </w:pPr>
      <w:r>
        <w:rPr>
          <w:rFonts w:ascii="Arial" w:cs="Arial" w:eastAsia="Arial" w:hAnsi="Arial"/>
          <w:sz w:val="18"/>
          <w:szCs w:val="18"/>
          <w:color w:val="auto"/>
        </w:rPr>
        <w:t>Our Branded Pharmaceuticals segment includes a variety of branded prescription products to treat and manage conditions in urology, urologic oncology, endocrinology, pain and orthopedics. The products in this segment include XIAFLEX</w:t>
      </w:r>
      <w:r>
        <w:rPr>
          <w:rFonts w:ascii="Arial" w:cs="Arial" w:eastAsia="Arial" w:hAnsi="Arial"/>
          <w:sz w:val="23"/>
          <w:szCs w:val="23"/>
          <w:color w:val="auto"/>
          <w:vertAlign w:val="superscript"/>
        </w:rPr>
        <w:t>®</w:t>
      </w:r>
      <w:r>
        <w:rPr>
          <w:rFonts w:ascii="Arial" w:cs="Arial" w:eastAsia="Arial" w:hAnsi="Arial"/>
          <w:sz w:val="18"/>
          <w:szCs w:val="18"/>
          <w:color w:val="auto"/>
        </w:rPr>
        <w:t>,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NASCOBAL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 AVEED</w:t>
      </w:r>
      <w:r>
        <w:rPr>
          <w:rFonts w:ascii="Arial" w:cs="Arial" w:eastAsia="Arial" w:hAnsi="Arial"/>
          <w:sz w:val="23"/>
          <w:szCs w:val="23"/>
          <w:color w:val="auto"/>
          <w:vertAlign w:val="superscript"/>
        </w:rPr>
        <w:t>®</w:t>
      </w:r>
      <w:r>
        <w:rPr>
          <w:rFonts w:ascii="Arial" w:cs="Arial" w:eastAsia="Arial" w:hAnsi="Arial"/>
          <w:sz w:val="18"/>
          <w:szCs w:val="18"/>
          <w:color w:val="auto"/>
        </w:rPr>
        <w:t>, PERCOCET</w:t>
      </w:r>
      <w:r>
        <w:rPr>
          <w:rFonts w:ascii="Arial" w:cs="Arial" w:eastAsia="Arial" w:hAnsi="Arial"/>
          <w:sz w:val="23"/>
          <w:szCs w:val="23"/>
          <w:color w:val="auto"/>
          <w:vertAlign w:val="superscript"/>
        </w:rPr>
        <w:t>®</w:t>
      </w:r>
      <w:r>
        <w:rPr>
          <w:rFonts w:ascii="Arial" w:cs="Arial" w:eastAsia="Arial" w:hAnsi="Arial"/>
          <w:sz w:val="18"/>
          <w:szCs w:val="18"/>
          <w:color w:val="auto"/>
        </w:rPr>
        <w:t>, LIDODERM</w:t>
      </w:r>
      <w:r>
        <w:rPr>
          <w:rFonts w:ascii="Arial" w:cs="Arial" w:eastAsia="Arial" w:hAnsi="Arial"/>
          <w:sz w:val="23"/>
          <w:szCs w:val="23"/>
          <w:color w:val="auto"/>
          <w:vertAlign w:val="superscript"/>
        </w:rPr>
        <w:t>®</w:t>
      </w:r>
      <w:r>
        <w:rPr>
          <w:rFonts w:ascii="Arial" w:cs="Arial" w:eastAsia="Arial" w:hAnsi="Arial"/>
          <w:sz w:val="18"/>
          <w:szCs w:val="18"/>
          <w:color w:val="auto"/>
        </w:rPr>
        <w:t>, EDEX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TESTOPEL</w:t>
      </w:r>
      <w:r>
        <w:rPr>
          <w:rFonts w:ascii="Arial" w:cs="Arial" w:eastAsia="Arial" w:hAnsi="Arial"/>
          <w:sz w:val="23"/>
          <w:szCs w:val="23"/>
          <w:color w:val="auto"/>
          <w:vertAlign w:val="superscript"/>
        </w:rPr>
        <w:t>®</w:t>
      </w:r>
      <w:r>
        <w:rPr>
          <w:rFonts w:ascii="Arial" w:cs="Arial" w:eastAsia="Arial" w:hAnsi="Arial"/>
          <w:sz w:val="18"/>
          <w:szCs w:val="18"/>
          <w:color w:val="auto"/>
        </w:rPr>
        <w:t>, among others.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Sterile Injectables</w:t>
      </w:r>
    </w:p>
    <w:p>
      <w:pPr>
        <w:spacing w:after="0" w:line="117" w:lineRule="exact"/>
        <w:rPr>
          <w:sz w:val="20"/>
          <w:szCs w:val="20"/>
          <w:color w:val="auto"/>
        </w:rPr>
      </w:pPr>
    </w:p>
    <w:p>
      <w:pPr>
        <w:jc w:val="both"/>
        <w:ind w:right="200" w:firstLine="486"/>
        <w:spacing w:after="0" w:line="225" w:lineRule="auto"/>
        <w:rPr>
          <w:sz w:val="20"/>
          <w:szCs w:val="20"/>
          <w:color w:val="auto"/>
        </w:rPr>
      </w:pPr>
      <w:r>
        <w:rPr>
          <w:rFonts w:ascii="Arial" w:cs="Arial" w:eastAsia="Arial" w:hAnsi="Arial"/>
          <w:sz w:val="18"/>
          <w:szCs w:val="18"/>
          <w:color w:val="auto"/>
        </w:rPr>
        <w:t>Our Sterile Injectables segment consists primarily of branded sterile injectable products such as VASOSTRICT</w:t>
      </w:r>
      <w:r>
        <w:rPr>
          <w:rFonts w:ascii="Arial" w:cs="Arial" w:eastAsia="Arial" w:hAnsi="Arial"/>
          <w:sz w:val="23"/>
          <w:szCs w:val="23"/>
          <w:color w:val="auto"/>
          <w:vertAlign w:val="superscript"/>
        </w:rPr>
        <w:t>®</w:t>
      </w:r>
      <w:r>
        <w:rPr>
          <w:rFonts w:ascii="Arial" w:cs="Arial" w:eastAsia="Arial" w:hAnsi="Arial"/>
          <w:sz w:val="18"/>
          <w:szCs w:val="18"/>
          <w:color w:val="auto"/>
        </w:rPr>
        <w:t>,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APLISOL</w:t>
      </w:r>
      <w:r>
        <w:rPr>
          <w:rFonts w:ascii="Arial" w:cs="Arial" w:eastAsia="Arial" w:hAnsi="Arial"/>
          <w:sz w:val="23"/>
          <w:szCs w:val="23"/>
          <w:color w:val="auto"/>
          <w:vertAlign w:val="superscript"/>
        </w:rPr>
        <w:t>®</w:t>
      </w:r>
      <w:r>
        <w:rPr>
          <w:rFonts w:ascii="Arial" w:cs="Arial" w:eastAsia="Arial" w:hAnsi="Arial"/>
          <w:sz w:val="18"/>
          <w:szCs w:val="18"/>
          <w:color w:val="auto"/>
        </w:rPr>
        <w:t>, among others, and certain generic sterile injectable products, including ertapenem for injection (the authorized generic of Merck Sharp &amp; Dohme Corp.’s (Merck) Invanz</w:t>
      </w:r>
      <w:r>
        <w:rPr>
          <w:rFonts w:ascii="Arial" w:cs="Arial" w:eastAsia="Arial" w:hAnsi="Arial"/>
          <w:sz w:val="23"/>
          <w:szCs w:val="23"/>
          <w:color w:val="auto"/>
          <w:vertAlign w:val="superscript"/>
        </w:rPr>
        <w:t>®</w:t>
      </w:r>
      <w:r>
        <w:rPr>
          <w:rFonts w:ascii="Arial" w:cs="Arial" w:eastAsia="Arial" w:hAnsi="Arial"/>
          <w:sz w:val="18"/>
          <w:szCs w:val="18"/>
          <w:color w:val="auto"/>
        </w:rPr>
        <w:t>) and ephedrine sulfate injection, among others.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Generic Pharmaceuticals</w:t>
      </w:r>
    </w:p>
    <w:p>
      <w:pPr>
        <w:spacing w:after="0" w:line="117" w:lineRule="exact"/>
        <w:rPr>
          <w:sz w:val="20"/>
          <w:szCs w:val="20"/>
          <w:color w:val="auto"/>
        </w:rPr>
      </w:pPr>
    </w:p>
    <w:p>
      <w:pPr>
        <w:jc w:val="both"/>
        <w:ind w:right="380" w:firstLine="486"/>
        <w:spacing w:after="0" w:line="286" w:lineRule="auto"/>
        <w:rPr>
          <w:sz w:val="20"/>
          <w:szCs w:val="20"/>
          <w:color w:val="auto"/>
        </w:rPr>
      </w:pPr>
      <w:r>
        <w:rPr>
          <w:rFonts w:ascii="Arial" w:cs="Arial" w:eastAsia="Arial" w:hAnsi="Arial"/>
          <w:sz w:val="17"/>
          <w:szCs w:val="17"/>
          <w:color w:val="auto"/>
        </w:rPr>
        <w:t>Our Generic Pharmaceuticals segment consists of a differentiated product portfolio including solid oral extended-release, solid oral immediate-release, liquids, semi-solids, patches, powders, ophthalmics and sprays and includes products in the pain management, urology, central nervous system disorders, immunosuppression, oncology, women’s health and cardiovascular disease markets, among others.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Pharmaceuticals</w:t>
      </w:r>
    </w:p>
    <w:p>
      <w:pPr>
        <w:spacing w:after="0" w:line="117"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Our International Pharmaceuticals segment includes a variety of specialty pharmaceutical products sold outside the U.S., primarily in Canada through our operating company Paladin Labs Inc. (Paladin). The key products of this segment serve various therapeutic areas, including attention deficit hyperactivity disorder, pain, women’s health and oncology.</w:t>
      </w:r>
    </w:p>
    <w:p>
      <w:pPr>
        <w:spacing w:after="0" w:line="7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represents selected information for the Company’s reportable segments for the three and six months ended June 30, 2020 and 2019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 from external customers: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Branded Pharmaceuticals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129,521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209,013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333,594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412,538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Sterile Injectables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319,214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244,280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655,604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514,328</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Generic Pharmaceuticals</w:t>
            </w:r>
          </w:p>
        </w:tc>
        <w:tc>
          <w:tcPr>
            <w:tcW w:w="28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215,879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217,784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467,162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436,310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 Pharmaceuticals (1)</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22,974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28,650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51,633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56,962</w:t>
            </w:r>
          </w:p>
        </w:tc>
        <w:tc>
          <w:tcPr>
            <w:tcW w:w="0" w:type="dxa"/>
            <w:vAlign w:val="bottom"/>
          </w:tcPr>
          <w:p>
            <w:pPr>
              <w:spacing w:after="0"/>
              <w:rPr>
                <w:sz w:val="1"/>
                <w:szCs w:val="1"/>
                <w:color w:val="auto"/>
              </w:rPr>
            </w:pP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Total net revenues from external customers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687,588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699,727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1,507,993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1,420,138</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Segment adjusted income from continuing operations before income tax:</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Branded Pharmaceuticals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49,174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101,535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147,596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196,818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Sterile Injectables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241,753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172,188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505,649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368,371</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Generic Pharmaceuticals</w:t>
            </w:r>
          </w:p>
        </w:tc>
        <w:tc>
          <w:tcPr>
            <w:tcW w:w="28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47,394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49,722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104,721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100,133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 Pharmaceuticals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9,304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11,447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23,501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23,542</w:t>
            </w: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color w:val="auto"/>
                <w:w w:val="93"/>
              </w:rPr>
              <w:t>Total segment adjusted income from continuing operations before income</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347,625</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334,892</w:t>
            </w:r>
          </w:p>
        </w:tc>
        <w:tc>
          <w:tcPr>
            <w:tcW w:w="1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rPr>
              <w:t>781,467</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688,864</w:t>
            </w:r>
          </w:p>
        </w:tc>
        <w:tc>
          <w:tcPr>
            <w:tcW w:w="0" w:type="dxa"/>
            <w:vAlign w:val="bottom"/>
          </w:tcPr>
          <w:p>
            <w:pPr>
              <w:spacing w:after="0"/>
              <w:rPr>
                <w:sz w:val="1"/>
                <w:szCs w:val="1"/>
                <w:color w:val="auto"/>
              </w:rPr>
            </w:pPr>
          </w:p>
        </w:tc>
      </w:tr>
      <w:tr>
        <w:trPr>
          <w:trHeight w:val="235"/>
        </w:trPr>
        <w:tc>
          <w:tcPr>
            <w:tcW w:w="5520" w:type="dxa"/>
            <w:vAlign w:val="bottom"/>
          </w:tcPr>
          <w:p>
            <w:pPr>
              <w:ind w:left="20"/>
              <w:spacing w:after="0"/>
              <w:rPr>
                <w:sz w:val="20"/>
                <w:szCs w:val="20"/>
                <w:color w:val="auto"/>
              </w:rPr>
            </w:pPr>
            <w:r>
              <w:rPr>
                <w:rFonts w:ascii="Arial" w:cs="Arial" w:eastAsia="Arial" w:hAnsi="Arial"/>
                <w:sz w:val="18"/>
                <w:szCs w:val="18"/>
                <w:color w:val="auto"/>
              </w:rPr>
              <w:t>tax</w:t>
            </w:r>
          </w:p>
        </w:tc>
        <w:tc>
          <w:tcPr>
            <w:tcW w:w="2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80" w:hanging="310"/>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material revenues from external customers attributed to an individual country outside of the U.S. during any of the periods presented.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table below provides reconciliations of our Total consolidated income (loss) from continuing operations before income tax, which is determined in accordance with U.S. GAAP, to our total segment adjusted income from continuing operations before income tax for the three and six months ended June 30, 2020 and 2019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Total consolidated income (loss) from continuing operations before income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25,252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(94,584)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46,501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(96,293)</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129,164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134,809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262,041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267,484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unallocated costs (1)</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33,590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38,365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76,912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86,460</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104,498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140,418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221,735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286,017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Upfront and milestone payments to partners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w w:val="93"/>
              </w:rPr>
              <w:t>Continuity and separation benefits and other cost reduction initiatives (2)</w:t>
            </w:r>
          </w:p>
        </w:tc>
        <w:tc>
          <w:tcPr>
            <w:tcW w:w="2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9,444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32,664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Certain litigation-related and other contingencies, net (3)</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10,321</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Certain legal costs (4)</w:t>
            </w:r>
          </w:p>
        </w:tc>
        <w:tc>
          <w:tcPr>
            <w:tcW w:w="2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18,005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18,984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33,541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35,673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 impairment charges (5)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97,785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253,886</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Acquisition-related and integration items, net (6)</w:t>
            </w:r>
          </w:p>
        </w:tc>
        <w:tc>
          <w:tcPr>
            <w:tcW w:w="2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6,045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18,507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(43,008)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Gain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(119,828)</w:t>
            </w:r>
          </w:p>
        </w:tc>
        <w:tc>
          <w:tcPr>
            <w:tcW w:w="0" w:type="dxa"/>
            <w:vAlign w:val="bottom"/>
          </w:tcPr>
          <w:p>
            <w:pPr>
              <w:spacing w:after="0"/>
              <w:rPr>
                <w:sz w:val="1"/>
                <w:szCs w:val="1"/>
                <w:color w:val="auto"/>
              </w:rPr>
            </w:pP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w w:val="94"/>
              </w:rPr>
              <w:t>Foreign currency impact related to the remeasurement of intercompany</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debt instruments</w:t>
            </w:r>
          </w:p>
        </w:tc>
        <w:tc>
          <w:tcPr>
            <w:tcW w:w="28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net (7)</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26,750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19,424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color w:val="auto"/>
                <w:w w:val="93"/>
              </w:rPr>
              <w:t>Total segment adjusted income from continuing operations before income</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347,625</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8"/>
                <w:szCs w:val="18"/>
                <w:color w:val="auto"/>
              </w:rPr>
              <w:t>334,892</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781,467</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688,864</w:t>
            </w:r>
          </w:p>
        </w:tc>
        <w:tc>
          <w:tcPr>
            <w:tcW w:w="0" w:type="dxa"/>
            <w:vAlign w:val="bottom"/>
          </w:tcPr>
          <w:p>
            <w:pPr>
              <w:spacing w:after="0"/>
              <w:rPr>
                <w:sz w:val="1"/>
                <w:szCs w:val="1"/>
                <w:color w:val="auto"/>
              </w:rPr>
            </w:pPr>
          </w:p>
        </w:tc>
      </w:tr>
      <w:tr>
        <w:trPr>
          <w:trHeight w:val="235"/>
        </w:trPr>
        <w:tc>
          <w:tcPr>
            <w:tcW w:w="5520" w:type="dxa"/>
            <w:vAlign w:val="bottom"/>
          </w:tcPr>
          <w:p>
            <w:pPr>
              <w:ind w:left="20"/>
              <w:spacing w:after="0"/>
              <w:rPr>
                <w:sz w:val="20"/>
                <w:szCs w:val="20"/>
                <w:color w:val="auto"/>
              </w:rPr>
            </w:pPr>
            <w:r>
              <w:rPr>
                <w:rFonts w:ascii="Arial" w:cs="Arial" w:eastAsia="Arial" w:hAnsi="Arial"/>
                <w:sz w:val="18"/>
                <w:szCs w:val="18"/>
                <w:color w:val="auto"/>
              </w:rPr>
              <w:t>tax</w:t>
            </w:r>
          </w:p>
        </w:tc>
        <w:tc>
          <w:tcPr>
            <w:tcW w:w="2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spacing w:after="0" w:line="1" w:lineRule="exact"/>
        <w:rPr>
          <w:rFonts w:ascii="Arial" w:cs="Arial" w:eastAsia="Arial" w:hAnsi="Arial"/>
          <w:sz w:val="14"/>
          <w:szCs w:val="14"/>
          <w:color w:val="auto"/>
        </w:rPr>
      </w:pPr>
    </w:p>
    <w:p>
      <w:pPr>
        <w:ind w:left="500" w:right="60" w:hanging="330"/>
        <w:spacing w:after="0" w:line="241" w:lineRule="auto"/>
        <w:tabs>
          <w:tab w:leader="none" w:pos="492"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for the three and six months ended June 30, 2020 include $4.1 million and $17.9 million, respectively, of costs associated with certain continuity and transitional compensation arrangements for certain senior management of the Company. Other amounts in 2020 related primarily to certain cost reduction initiatives. Such amounts included accelerated depreciation of $1.8 million and other charges of $3.6 million during the three months ended June 30, 2020 and accelerated depreciation of $8.4 million and other charges of $6.4 million during the six months ended June 30, 2020. Amounts for the three and six months ended June 30, 2019 primarily relate to employee separation costs of $0.4 million and $2.2 million, respectively, and other charges of $1.7 million and $1.9 million, respectively.</w:t>
      </w:r>
    </w:p>
    <w:p>
      <w:pPr>
        <w:spacing w:after="0" w:line="1" w:lineRule="exact"/>
        <w:rPr>
          <w:rFonts w:ascii="Arial" w:cs="Arial" w:eastAsia="Arial" w:hAnsi="Arial"/>
          <w:sz w:val="14"/>
          <w:szCs w:val="14"/>
          <w:color w:val="auto"/>
        </w:rPr>
      </w:pPr>
    </w:p>
    <w:p>
      <w:pPr>
        <w:ind w:left="500" w:right="600" w:hanging="330"/>
        <w:spacing w:after="0" w:line="241" w:lineRule="auto"/>
        <w:tabs>
          <w:tab w:leader="none" w:pos="492"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include adjustments to our accruals for litigation-related settlement charges and certain settlement proceeds related to suits filed by our subsidiaries. Our material legal proceedings and other contingent matters are described in more detail in Note 12. Commitments and Contingencies.</w:t>
      </w:r>
    </w:p>
    <w:p>
      <w:pPr>
        <w:ind w:left="480" w:hanging="310"/>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relate to opioid-related legal expenses.</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8. Goodwill and Other Intangibles.</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spacing w:after="0" w:line="1" w:lineRule="exact"/>
        <w:rPr>
          <w:rFonts w:ascii="Arial" w:cs="Arial" w:eastAsia="Arial" w:hAnsi="Arial"/>
          <w:sz w:val="14"/>
          <w:szCs w:val="14"/>
          <w:color w:val="auto"/>
        </w:rPr>
      </w:pPr>
    </w:p>
    <w:p>
      <w:pPr>
        <w:ind w:left="500" w:right="340" w:hanging="330"/>
        <w:spacing w:after="0" w:line="248" w:lineRule="auto"/>
        <w:tabs>
          <w:tab w:leader="none" w:pos="49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amounts during the three and six months ended June 30, 2020 primarily relate to $30.7 million of third party fees incurred in connection with the June 2020 Refinancing Transactions, which were accounted for as debt modifications. Refer to Note 11. Debt for additional information. Remaining amounts in this line primarily relate to gains on sales of businesses and other assets, as further described in Note 15. Other (Income) Expense, Net.</w:t>
      </w:r>
    </w:p>
    <w:p>
      <w:pPr>
        <w:spacing w:after="0" w:line="87"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During the three and six months ended June 30, 2020 and 2019,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3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Branded Pharmaceuticals: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i w:val="1"/>
                <w:iCs w:val="1"/>
                <w:color w:val="auto"/>
              </w:rPr>
              <w:t>Specialty Products: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XIAFLEX®</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33,783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74,855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122,855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143,362</w:t>
            </w: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SUPPRELIN® LA</w:t>
            </w:r>
          </w:p>
        </w:tc>
        <w:tc>
          <w:tcPr>
            <w:tcW w:w="2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15,395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23,714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35,115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45,770</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Specialty (1)</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19,566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25,524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45,071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49,927</w:t>
            </w:r>
          </w:p>
        </w:tc>
      </w:tr>
      <w:tr>
        <w:trPr>
          <w:trHeight w:val="237"/>
        </w:trPr>
        <w:tc>
          <w:tcPr>
            <w:tcW w:w="5520" w:type="dxa"/>
            <w:vAlign w:val="bottom"/>
          </w:tcPr>
          <w:p>
            <w:pPr>
              <w:ind w:left="120"/>
              <w:spacing w:after="0"/>
              <w:rPr>
                <w:sz w:val="20"/>
                <w:szCs w:val="20"/>
                <w:color w:val="auto"/>
              </w:rPr>
            </w:pPr>
            <w:r>
              <w:rPr>
                <w:rFonts w:ascii="Arial" w:cs="Arial" w:eastAsia="Arial" w:hAnsi="Arial"/>
                <w:sz w:val="18"/>
                <w:szCs w:val="18"/>
                <w:color w:val="auto"/>
              </w:rPr>
              <w:t>Total Specialty Products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68,744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124,093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203,041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239,059</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Established Products: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PERCOCET®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27,578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28,878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55,281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59,638</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LIDODERM®</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17,120</w:t>
            </w: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EDEX®</w:t>
            </w:r>
          </w:p>
        </w:tc>
        <w:tc>
          <w:tcPr>
            <w:tcW w:w="2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6,604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7,662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15,172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13,633</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Established (2)</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19,539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39,329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45,821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83,088</w:t>
            </w:r>
          </w:p>
        </w:tc>
      </w:tr>
      <w:tr>
        <w:trPr>
          <w:trHeight w:val="237"/>
        </w:trPr>
        <w:tc>
          <w:tcPr>
            <w:tcW w:w="5520" w:type="dxa"/>
            <w:vAlign w:val="bottom"/>
          </w:tcPr>
          <w:p>
            <w:pPr>
              <w:ind w:left="120"/>
              <w:spacing w:after="0"/>
              <w:rPr>
                <w:sz w:val="20"/>
                <w:szCs w:val="20"/>
                <w:color w:val="auto"/>
              </w:rPr>
            </w:pPr>
            <w:r>
              <w:rPr>
                <w:rFonts w:ascii="Arial" w:cs="Arial" w:eastAsia="Arial" w:hAnsi="Arial"/>
                <w:sz w:val="18"/>
                <w:szCs w:val="18"/>
                <w:color w:val="auto"/>
              </w:rPr>
              <w:t>Total Established Products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60,777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84,920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130,553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173,479</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Branded Pharmaceuticals (3)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129,521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209,013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333,594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412,538</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i w:val="1"/>
                <w:iCs w:val="1"/>
                <w:color w:val="auto"/>
              </w:rPr>
              <w:t>Sterile Injectables:</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VASOSTRICT®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214,214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417,118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255,163</w:t>
            </w: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ADRENALIN®</w:t>
            </w:r>
          </w:p>
        </w:tc>
        <w:tc>
          <w:tcPr>
            <w:tcW w:w="2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33,161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45,835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89,673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93,157</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Ertapenem for injection</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25,547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57,766</w:t>
            </w: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APLISOL®</w:t>
            </w:r>
          </w:p>
        </w:tc>
        <w:tc>
          <w:tcPr>
            <w:tcW w:w="28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6,511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15,530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16,378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27,911</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Sterile Injectables (4)</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53,338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41,342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102,571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80,331</w:t>
            </w: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Sterile Injectables (3)</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319,214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244,280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655,604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514,328</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Generic Pharmaceuticals (5)</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215,879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217,784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467,162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436,310</w:t>
            </w: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International Pharmaceuticals (6)</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22,974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28,650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51,633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56,962</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687,588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699,727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1,507,993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1,420,138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80" w:hanging="310"/>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9"/>
          <w:szCs w:val="9"/>
          <w:color w:val="auto"/>
        </w:rPr>
        <w:t>®</w:t>
      </w:r>
      <w:r>
        <w:rPr>
          <w:rFonts w:ascii="Arial" w:cs="Arial" w:eastAsia="Arial" w:hAnsi="Arial"/>
          <w:sz w:val="14"/>
          <w:szCs w:val="14"/>
          <w:color w:val="auto"/>
        </w:rPr>
        <w:t xml:space="preserve"> Nasal Spray and AVEED</w:t>
      </w:r>
      <w:r>
        <w:rPr>
          <w:rFonts w:ascii="Arial" w:cs="Arial" w:eastAsia="Arial" w:hAnsi="Arial"/>
          <w:sz w:val="9"/>
          <w:szCs w:val="9"/>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TESTOPEL</w:t>
      </w:r>
      <w:r>
        <w:rPr>
          <w:rFonts w:ascii="Arial" w:cs="Arial" w:eastAsia="Arial" w:hAnsi="Arial"/>
          <w:sz w:val="9"/>
          <w:szCs w:val="9"/>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00" w:right="60" w:hanging="330"/>
        <w:spacing w:after="0" w:line="241"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six months ended June 30, 2020 and/or any product having revenues in excess of $25 million during any quarterly period in 2020 or 2019.</w:t>
      </w:r>
    </w:p>
    <w:p>
      <w:pPr>
        <w:ind w:left="480" w:hanging="310"/>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ephedrine sulfate injection and others.</w:t>
      </w:r>
    </w:p>
    <w:p>
      <w:pPr>
        <w:spacing w:after="0" w:line="1" w:lineRule="exact"/>
        <w:rPr>
          <w:rFonts w:ascii="Arial" w:cs="Arial" w:eastAsia="Arial" w:hAnsi="Arial"/>
          <w:sz w:val="14"/>
          <w:szCs w:val="14"/>
          <w:color w:val="auto"/>
        </w:rPr>
      </w:pPr>
    </w:p>
    <w:p>
      <w:pPr>
        <w:ind w:left="500" w:right="60" w:hanging="330"/>
        <w:spacing w:after="0" w:line="241"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Generic Pharmaceuticals segment is comprised of a portfolio of products that are generic versions of branded products, are distributed primarily through the same wholesalers, generally have no intellectual property protection and are sold within the U.S. During the three and six months ended June 30, 2019, colchicine tablets (the authorized generic of Takeda Pharmaceuticals U.S.A., Inc.’s (Takeda) Colcrys</w:t>
      </w:r>
      <w:r>
        <w:rPr>
          <w:rFonts w:ascii="Arial" w:cs="Arial" w:eastAsia="Arial" w:hAnsi="Arial"/>
          <w:sz w:val="9"/>
          <w:szCs w:val="9"/>
          <w:color w:val="auto"/>
        </w:rPr>
        <w:t>®</w:t>
      </w:r>
      <w:r>
        <w:rPr>
          <w:rFonts w:ascii="Arial" w:cs="Arial" w:eastAsia="Arial" w:hAnsi="Arial"/>
          <w:sz w:val="14"/>
          <w:szCs w:val="14"/>
          <w:color w:val="auto"/>
        </w:rPr>
        <w:t>), which launched in July 2018, made up 7% and 6% of consolidated total revenue, respectively. No other individual product within this segment has exceeded 5% of consolidated total revenues for the periods presented.</w:t>
      </w:r>
    </w:p>
    <w:p>
      <w:pPr>
        <w:spacing w:after="0" w:line="1" w:lineRule="exact"/>
        <w:rPr>
          <w:rFonts w:ascii="Arial" w:cs="Arial" w:eastAsia="Arial" w:hAnsi="Arial"/>
          <w:sz w:val="14"/>
          <w:szCs w:val="14"/>
          <w:color w:val="auto"/>
        </w:rPr>
      </w:pPr>
    </w:p>
    <w:p>
      <w:pPr>
        <w:ind w:left="500" w:right="180" w:hanging="330"/>
        <w:spacing w:after="0" w:line="248"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International Pharmaceuticals segment, which accounted for 3% of consolidated total revenues during both the three and six months ended June 30, 2020 and 4% of consolidated total revenues during both the three and six months ended June 30, 2019, includes a variety of specialty pharmaceutical products sold outside the U.S., primarily in Canada through our operating company Paladin.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financial instruments recorded in our Condensed Consolidated Balance Sheets include cash and cash equivalents, restricted cash and cash equivalents, accounts receivable, equity method investments,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short-term maturity, the carrying amounts of non-restricted and restricted cash and cash equivalents (including money market funds), accounts receivable, accounts payable and accrued expenses approximate their fair values.</w:t>
      </w:r>
    </w:p>
    <w:p>
      <w:pPr>
        <w:sectPr>
          <w:pgSz w:w="11900" w:h="16838" w:orient="portrait"/>
          <w:cols w:equalWidth="0" w:num="1">
            <w:col w:w="11240"/>
          </w:cols>
          <w:pgMar w:left="320" w:top="118" w:right="3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following table presents current and noncurrent restricted cash and cash equivalent balances at June 30, 2020 and December 31, 2019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r>
      <w:tr>
        <w:trPr>
          <w:trHeight w:val="249"/>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equivalents—current portion (1)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180,730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247,457</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Restricted cash and cash equivalents—noncurrent portion (2)</w:t>
            </w:r>
          </w:p>
        </w:tc>
        <w:tc>
          <w:tcPr>
            <w:tcW w:w="18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18,400</w:t>
            </w:r>
          </w:p>
        </w:tc>
      </w:tr>
      <w:tr>
        <w:trPr>
          <w:trHeight w:val="27"/>
        </w:trPr>
        <w:tc>
          <w:tcPr>
            <w:tcW w:w="8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Restricted cash and cash equivalents—total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199,130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265,857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amounts are reported in our Condensed Consolidated Balance Sheets as Restricted cash and cash equivalents.</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amounts are reported in our Condensed Consolidated Balance Sheets as Other assets.</w:t>
      </w:r>
    </w:p>
    <w:p>
      <w:pPr>
        <w:spacing w:after="0" w:line="1" w:lineRule="exact"/>
        <w:rPr>
          <w:rFonts w:ascii="Arial" w:cs="Arial" w:eastAsia="Arial" w:hAnsi="Arial"/>
          <w:sz w:val="14"/>
          <w:szCs w:val="14"/>
          <w:color w:val="auto"/>
        </w:rPr>
      </w:pPr>
    </w:p>
    <w:p>
      <w:pPr>
        <w:ind w:left="500" w:right="20" w:hanging="330"/>
        <w:spacing w:after="0" w:line="248" w:lineRule="auto"/>
        <w:tabs>
          <w:tab w:leader="none" w:pos="492"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$175.8 million and $242.8 million of our restricted cash and cash equivalents are held in Qualified Settlement Funds (QSFs) for mesh-related matters at June 30, 2020 and December 31, 2019, respectively. The remaining restricted cash and cash equivalents primarily relates to other litigation-related matters. See Note 12. Commitments and Contingencies for further information.</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35"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00" w:right="20" w:hanging="244"/>
        <w:spacing w:after="0" w:line="250"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00" w:right="660" w:hanging="244"/>
        <w:spacing w:after="0" w:line="260"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11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at June 30, 2020 and December 31, 2019 were as follows (in thousands):</w:t>
      </w:r>
    </w:p>
    <w:p>
      <w:pPr>
        <w:spacing w:after="0" w:line="94"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Fair Value Measurements at June 30, 2020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23495</wp:posOffset>
            </wp:positionV>
            <wp:extent cx="36347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395"/>
              <w:spacing w:after="0"/>
              <w:rPr>
                <w:sz w:val="20"/>
                <w:szCs w:val="20"/>
                <w:color w:val="auto"/>
              </w:rPr>
            </w:pPr>
            <w:r>
              <w:rPr>
                <w:rFonts w:ascii="Arial" w:cs="Arial" w:eastAsia="Arial" w:hAnsi="Arial"/>
                <w:sz w:val="14"/>
                <w:szCs w:val="14"/>
                <w:b w:val="1"/>
                <w:bCs w:val="1"/>
                <w:color w:val="auto"/>
              </w:rPr>
              <w:t>Total</w:t>
            </w:r>
          </w:p>
        </w:tc>
      </w:tr>
      <w:tr>
        <w:trPr>
          <w:trHeight w:val="236"/>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638,966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638,966</w:t>
            </w: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Acquisition-related contingent consideration—current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9,142</w:t>
            </w: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Acquisition-related contingent consideration—noncurrent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32,915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32,915</w:t>
            </w:r>
          </w:p>
        </w:tc>
      </w:tr>
      <w:tr>
        <w:trPr>
          <w:trHeight w:val="27"/>
        </w:trPr>
        <w:tc>
          <w:tcPr>
            <w:tcW w:w="5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26"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Fair Value Measurements at December 31, 2019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23495</wp:posOffset>
            </wp:positionV>
            <wp:extent cx="36347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 Inputs</w:t>
            </w: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 Inputs</w:t>
            </w: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20" w:type="dxa"/>
            <w:vAlign w:val="bottom"/>
          </w:tcPr>
          <w:p>
            <w:pPr>
              <w:spacing w:after="0"/>
              <w:rPr>
                <w:sz w:val="16"/>
                <w:szCs w:val="16"/>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236"/>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427,033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427,033</w:t>
            </w: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Acquisition-related contingent consideration—current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6,534</w:t>
            </w: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Acquisition-related contingent consideration—noncurrent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23,123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23,123</w:t>
            </w:r>
          </w:p>
        </w:tc>
      </w:tr>
      <w:tr>
        <w:trPr>
          <w:trHeight w:val="27"/>
        </w:trPr>
        <w:tc>
          <w:tcPr>
            <w:tcW w:w="5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At June 30, 2020 and December 31, 2019, money market funds include $40.4 million and $70.2 million, respectively, in QSFs to be disbursed to mesh-related or other product liability claimants. Amounts in QSFs are considered restricted cash equivalents. See Note 12. Commitments and Contingencies for further discussion of our product liability cases. At June 30, 2020 and December 31, 2019, the differences between the amortized cost and the fair value of our money market funds were not material, individually or in the aggregate.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Using Significant Unobservable Inputs</w:t>
      </w:r>
    </w:p>
    <w:p>
      <w:pPr>
        <w:spacing w:after="0" w:line="11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following table presents changes to the Company’s liability for acquisition-related contingent consideration, which is measured at fair value on a recurring basis using significant unobservable inputs (Level 3), for the three and six months ended June 30, 2020 and 2019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38,939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67,842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116,703</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Amounts settled</w:t>
            </w:r>
          </w:p>
        </w:tc>
        <w:tc>
          <w:tcPr>
            <w:tcW w:w="2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(3,221)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(9,574)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(5,682)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(21,165)</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18,507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(43,008)</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Effect of currency translation</w:t>
            </w:r>
          </w:p>
        </w:tc>
        <w:tc>
          <w:tcPr>
            <w:tcW w:w="28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400</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42,057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52,930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42,057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52,930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At June 30, 2020, the fair value measurements of the contingent consideration obligations were determined using risk-adjusted discount rates ranging from approximately 10.0% to 15.0% (weighted average rate of approximately 12.2%, weighted based on relative fair value). Changes in fair value recorded in earnings related to acquisition-related contingent consideration are included in our Condensed Consolidated Statements of Operations as Acquisition-related and integration items, net. Amounts recorded for the current and noncurrent portions of acquisition-related contingent consideration are included in Accounts payable and accrued expenses and Other liabilities, respectively, in our Condensed Consolidated Balance Sheets.</w:t>
      </w:r>
    </w:p>
    <w:p>
      <w:pPr>
        <w:spacing w:after="0" w:line="5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following table presents changes to the Company’s liability for acquisition-related contingent consideration during the six months ended June 30, 2020 by acquisition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Changes in Fair</w:t>
            </w: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Amounts Settled and</w:t>
            </w:r>
          </w:p>
        </w:tc>
        <w:tc>
          <w:tcPr>
            <w:tcW w:w="136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7"/>
              </w:rPr>
              <w:t>Balance as of June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Value Recorded in</w:t>
            </w:r>
          </w:p>
        </w:tc>
        <w:tc>
          <w:tcPr>
            <w:tcW w:w="1440" w:type="dxa"/>
            <w:vAlign w:val="bottom"/>
            <w:gridSpan w:val="3"/>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December 31, 2019</w:t>
            </w:r>
          </w:p>
        </w:tc>
        <w:tc>
          <w:tcPr>
            <w:tcW w:w="10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6"/>
                <w:szCs w:val="16"/>
                <w:color w:val="auto"/>
              </w:rPr>
            </w:pPr>
          </w:p>
        </w:tc>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rPr>
              <w:t>30, 2020</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Auxilium acquisition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13,207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2,119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14,624</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Lehigh Valley Technologies, Inc. acquisitions</w:t>
            </w:r>
          </w:p>
        </w:tc>
        <w:tc>
          <w:tcPr>
            <w:tcW w:w="18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6,800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58"/>
              <w:spacing w:after="0"/>
              <w:rPr>
                <w:sz w:val="20"/>
                <w:szCs w:val="20"/>
                <w:color w:val="auto"/>
              </w:rPr>
            </w:pPr>
            <w:r>
              <w:rPr>
                <w:rFonts w:ascii="Arial" w:cs="Arial" w:eastAsia="Arial" w:hAnsi="Arial"/>
                <w:sz w:val="18"/>
                <w:szCs w:val="18"/>
                <w:color w:val="auto"/>
              </w:rPr>
              <w:t>15,600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9,650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64"/>
        </w:trPr>
        <w:tc>
          <w:tcPr>
            <w:tcW w:w="552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29,657</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18,507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42,057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2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nonrecurring basis during the six months ended June 30, 2020 were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4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3"/>
              </w:rPr>
              <w:t>Fair Value Measurements during the Six Months Ended June 30,</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Total Expense for the</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2020 (1) using:</w:t>
            </w: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17"/>
              <w:spacing w:after="0" w:line="125" w:lineRule="exact"/>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1 Inputs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Level 2 Inputs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8"/>
              </w:rPr>
              <w:t>Level 3 Inputs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excluding goodwill (2)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(63,751)</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Certain property, plant and equipment</w:t>
            </w:r>
          </w:p>
        </w:tc>
        <w:tc>
          <w:tcPr>
            <w:tcW w:w="120" w:type="dxa"/>
            <w:vAlign w:val="bottom"/>
          </w:tcPr>
          <w:p>
            <w:pPr>
              <w:spacing w:after="0"/>
              <w:rPr>
                <w:sz w:val="21"/>
                <w:szCs w:val="21"/>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24,377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(64,999)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00" w:right="20" w:hanging="330"/>
        <w:spacing w:after="0" w:line="241" w:lineRule="auto"/>
        <w:tabs>
          <w:tab w:leader="none" w:pos="492"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jc w:val="both"/>
        <w:ind w:left="500" w:right="20" w:hanging="330"/>
        <w:spacing w:after="0" w:line="276" w:lineRule="auto"/>
        <w:tabs>
          <w:tab w:leader="none" w:pos="492"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These fair value measurements were determined using risk-adjusted discount rates ranging from approximately 10.0% to 12.0% (weighted average rate of approximately 11.1%, weighted based on relative fair value). The Company also performed fair value measurements in connection with its goodwill impairment tests. Refer to Note 8. Goodwill and Other Intangibles for additional information on goodwill and other intangible asset impairment tests, including information about the valuation methodologies utilized.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 of the following at June 30, 2020 and December 31, 2019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r>
      <w:tr>
        <w:trPr>
          <w:trHeight w:val="250"/>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114,884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124,171</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Work-in-process (1)</w:t>
            </w:r>
          </w:p>
        </w:tc>
        <w:tc>
          <w:tcPr>
            <w:tcW w:w="18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73,149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65,392</w:t>
            </w: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 (1)</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142,507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138,302</w:t>
            </w:r>
          </w:p>
        </w:tc>
      </w:tr>
      <w:tr>
        <w:trPr>
          <w:trHeight w:val="263"/>
        </w:trPr>
        <w:tc>
          <w:tcPr>
            <w:tcW w:w="844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330,540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327,865</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80" w:hanging="310"/>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components of inventory shown in the table above are net of allowance for obsolescence.</w:t>
      </w:r>
    </w:p>
    <w:p>
      <w:pPr>
        <w:spacing w:after="0" w:line="101"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Inventory that is in excess of the amount expected to be sold within one year is classified as noncurrent inventory and is not included in the table above. At June 30, 2020 and December 31, 2019, $34.3 million and $29.0 million, respectively, of noncurrent inventory was included in Other assets in the Condensed Consolidated Balance Sheets. As of June 30, 2020 and December 31, 2019, the Company’s Condensed Consolidated Balance Sheets included approximately $25.9 million and $17.6 million, respectively, of capitalized pre-launch inventories related to products that were not yet available to be sold.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information about the Company's right-of-use (ROU) assets and lease liabilities at June 30, 2020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50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Condensed Consolidated Balance Sheets Line Items</w:t>
            </w: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36"/>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49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20"/>
              <w:spacing w:after="0"/>
              <w:rPr>
                <w:sz w:val="20"/>
                <w:szCs w:val="20"/>
                <w:color w:val="auto"/>
              </w:rPr>
            </w:pPr>
            <w:r>
              <w:rPr>
                <w:rFonts w:ascii="Arial" w:cs="Arial" w:eastAsia="Arial" w:hAnsi="Arial"/>
                <w:sz w:val="18"/>
                <w:szCs w:val="18"/>
                <w:color w:val="auto"/>
              </w:rPr>
              <w:t>Operating lease ROU assets</w:t>
            </w: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47,535</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51,700</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 ROU assets</w:t>
            </w: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52,171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56,793</w:t>
            </w:r>
          </w:p>
        </w:tc>
        <w:tc>
          <w:tcPr>
            <w:tcW w:w="0" w:type="dxa"/>
            <w:vAlign w:val="bottom"/>
          </w:tcPr>
          <w:p>
            <w:pPr>
              <w:spacing w:after="0"/>
              <w:rPr>
                <w:sz w:val="1"/>
                <w:szCs w:val="1"/>
                <w:color w:val="auto"/>
              </w:rPr>
            </w:pPr>
          </w:p>
        </w:tc>
      </w:tr>
      <w:tr>
        <w:trPr>
          <w:trHeight w:val="263"/>
        </w:trPr>
        <w:tc>
          <w:tcPr>
            <w:tcW w:w="3400" w:type="dxa"/>
            <w:vAlign w:val="bottom"/>
          </w:tcPr>
          <w:p>
            <w:pPr>
              <w:ind w:left="220"/>
              <w:spacing w:after="0"/>
              <w:rPr>
                <w:sz w:val="20"/>
                <w:szCs w:val="20"/>
                <w:color w:val="auto"/>
              </w:rPr>
            </w:pPr>
            <w:r>
              <w:rPr>
                <w:rFonts w:ascii="Arial" w:cs="Arial" w:eastAsia="Arial" w:hAnsi="Arial"/>
                <w:sz w:val="18"/>
                <w:szCs w:val="18"/>
                <w:color w:val="auto"/>
              </w:rPr>
              <w:t>Total ROU assets</w:t>
            </w:r>
          </w:p>
        </w:tc>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99,706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108,493</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11,379</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Noncurrent operating lease liabilities</w:t>
            </w: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42,673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48,299</w:t>
            </w:r>
          </w:p>
        </w:tc>
        <w:tc>
          <w:tcPr>
            <w:tcW w:w="0" w:type="dxa"/>
            <w:vAlign w:val="bottom"/>
          </w:tcPr>
          <w:p>
            <w:pPr>
              <w:spacing w:after="0"/>
              <w:rPr>
                <w:sz w:val="1"/>
                <w:szCs w:val="1"/>
                <w:color w:val="auto"/>
              </w:rPr>
            </w:pPr>
          </w:p>
        </w:tc>
      </w:tr>
      <w:tr>
        <w:trPr>
          <w:trHeight w:val="263"/>
        </w:trPr>
        <w:tc>
          <w:tcPr>
            <w:tcW w:w="340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54,052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59,062</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4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20"/>
              <w:spacing w:after="0"/>
              <w:rPr>
                <w:sz w:val="20"/>
                <w:szCs w:val="20"/>
                <w:color w:val="auto"/>
              </w:rPr>
            </w:pPr>
            <w:r>
              <w:rPr>
                <w:rFonts w:ascii="Arial" w:cs="Arial" w:eastAsia="Arial" w:hAnsi="Arial"/>
                <w:sz w:val="18"/>
                <w:szCs w:val="18"/>
                <w:color w:val="auto"/>
              </w:rPr>
              <w:t>Current finance lease liabilities</w:t>
            </w: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Noncurrent finance lease liabilities</w:t>
            </w: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28,159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31,312</w:t>
            </w:r>
          </w:p>
        </w:tc>
        <w:tc>
          <w:tcPr>
            <w:tcW w:w="0" w:type="dxa"/>
            <w:vAlign w:val="bottom"/>
          </w:tcPr>
          <w:p>
            <w:pPr>
              <w:spacing w:after="0"/>
              <w:rPr>
                <w:sz w:val="1"/>
                <w:szCs w:val="1"/>
                <w:color w:val="auto"/>
              </w:rPr>
            </w:pPr>
          </w:p>
        </w:tc>
      </w:tr>
      <w:tr>
        <w:trPr>
          <w:trHeight w:val="263"/>
        </w:trPr>
        <w:tc>
          <w:tcPr>
            <w:tcW w:w="340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34,098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36,984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920" w:type="dxa"/>
            <w:vAlign w:val="bottom"/>
            <w:vMerge w:val="restart"/>
          </w:tcPr>
          <w:p>
            <w:pPr>
              <w:ind w:left="2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340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presents information about lease costs and expenses and sublease income for the three and six months ended June 30, 2020 and 2019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8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Condensed Consolidated Statements of</w:t>
            </w:r>
          </w:p>
        </w:tc>
        <w:tc>
          <w:tcPr>
            <w:tcW w:w="28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270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Operations Line Items</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49"/>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6,759</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ROU assets</w:t>
            </w:r>
          </w:p>
        </w:tc>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4,622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4,785</w:t>
            </w:r>
          </w:p>
        </w:tc>
      </w:tr>
      <w:tr>
        <w:trPr>
          <w:trHeight w:val="243"/>
        </w:trPr>
        <w:tc>
          <w:tcPr>
            <w:tcW w:w="270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282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985</w:t>
            </w:r>
          </w:p>
        </w:tc>
      </w:tr>
      <w:tr>
        <w:trPr>
          <w:trHeight w:val="27"/>
        </w:trPr>
        <w:tc>
          <w:tcPr>
            <w:tcW w:w="27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lease costs and income:</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120"/>
              <w:spacing w:after="0"/>
              <w:rPr>
                <w:sz w:val="20"/>
                <w:szCs w:val="20"/>
                <w:color w:val="auto"/>
              </w:rPr>
            </w:pPr>
            <w:r>
              <w:rPr>
                <w:rFonts w:ascii="Arial" w:cs="Arial" w:eastAsia="Arial" w:hAnsi="Arial"/>
                <w:sz w:val="18"/>
                <w:szCs w:val="18"/>
                <w:color w:val="auto"/>
              </w:rPr>
              <w:t>Variable lease costs (2)</w:t>
            </w:r>
          </w:p>
        </w:tc>
        <w:tc>
          <w:tcPr>
            <w:tcW w:w="2820" w:type="dxa"/>
            <w:vAlign w:val="bottom"/>
            <w:gridSpan w:val="2"/>
          </w:tcPr>
          <w:p>
            <w:pPr>
              <w:ind w:left="20"/>
              <w:spacing w:after="0"/>
              <w:rPr>
                <w:sz w:val="20"/>
                <w:szCs w:val="20"/>
                <w:color w:val="auto"/>
              </w:rPr>
            </w:pPr>
            <w:r>
              <w:rPr>
                <w:rFonts w:ascii="Arial" w:cs="Arial" w:eastAsia="Arial" w:hAnsi="Arial"/>
                <w:sz w:val="18"/>
                <w:szCs w:val="18"/>
                <w:color w:val="auto"/>
              </w:rPr>
              <w:t>Various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4,867</w:t>
            </w:r>
          </w:p>
        </w:tc>
      </w:tr>
      <w:tr>
        <w:trPr>
          <w:trHeight w:val="27"/>
        </w:trPr>
        <w:tc>
          <w:tcPr>
            <w:tcW w:w="27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2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Sublease income</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(1,896)</w:t>
            </w:r>
          </w:p>
        </w:tc>
      </w:tr>
      <w:tr>
        <w:trPr>
          <w:trHeight w:val="27"/>
        </w:trPr>
        <w:tc>
          <w:tcPr>
            <w:tcW w:w="27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00" w:right="600" w:hanging="330"/>
        <w:spacing w:after="0" w:line="255" w:lineRule="auto"/>
        <w:tabs>
          <w:tab w:leader="none" w:pos="492"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are included in the Condensed Consolidated Statements of Operations based on the function that the underlying leased asset supports. The following table presents the components of such aggregate amounts for the three and six months ended June 30, 2020 and 2019 (in thousands):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74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62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20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80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1"/>
              </w:rPr>
              <w:t>2,446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2,932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5,632</w:t>
            </w:r>
          </w:p>
        </w:tc>
      </w:tr>
      <w:tr>
        <w:trPr>
          <w:trHeight w:val="197"/>
        </w:trPr>
        <w:tc>
          <w:tcPr>
            <w:tcW w:w="462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w w:val="91"/>
              </w:rPr>
              <w:t>4,179</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4,629</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8,900</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8,798</w:t>
            </w:r>
          </w:p>
        </w:tc>
      </w:tr>
      <w:tr>
        <w:trPr>
          <w:trHeight w:val="208"/>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0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r>
    </w:tbl>
    <w:p>
      <w:pPr>
        <w:spacing w:after="0" w:line="76" w:lineRule="exact"/>
        <w:rPr>
          <w:sz w:val="20"/>
          <w:szCs w:val="20"/>
          <w:color w:val="auto"/>
        </w:rPr>
      </w:pPr>
    </w:p>
    <w:p>
      <w:pPr>
        <w:ind w:left="500" w:right="280" w:hanging="330"/>
        <w:spacing w:after="0" w:line="273" w:lineRule="auto"/>
        <w:tabs>
          <w:tab w:leader="none" w:pos="4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70"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following table provides certain cash flow and supplemental noncash information related to our lease liabilities for the six months ended June 30, 2020 and 2019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3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Operating cash payments for 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7,458</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cash payments for finance leases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942</w:t>
            </w: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Financing cash payments for finance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6,656</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 arising from obtaining 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623</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6,045</w:t>
            </w:r>
          </w:p>
        </w:tc>
      </w:tr>
      <w:tr>
        <w:trPr>
          <w:trHeight w:val="27"/>
        </w:trPr>
        <w:tc>
          <w:tcPr>
            <w:tcW w:w="8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carrying amount of our goodwill for the six months ended June 30, 2020 were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Branded</w:t>
            </w:r>
          </w:p>
        </w:tc>
        <w:tc>
          <w:tcPr>
            <w:tcW w:w="120" w:type="dxa"/>
            <w:vAlign w:val="bottom"/>
          </w:tcPr>
          <w:p>
            <w:pPr>
              <w:spacing w:after="0"/>
              <w:rPr>
                <w:sz w:val="14"/>
                <w:szCs w:val="14"/>
                <w:color w:val="auto"/>
              </w:rPr>
            </w:pPr>
          </w:p>
        </w:tc>
        <w:tc>
          <w:tcPr>
            <w:tcW w:w="12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Sterile Injectables</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Generic</w:t>
            </w:r>
          </w:p>
        </w:tc>
        <w:tc>
          <w:tcPr>
            <w:tcW w:w="1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4"/>
                <w:szCs w:val="14"/>
                <w:color w:val="auto"/>
              </w:rPr>
            </w:pPr>
          </w:p>
        </w:tc>
        <w:tc>
          <w:tcPr>
            <w:tcW w:w="10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Pharmaceuticals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Pharmaceuticals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as of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828,818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2,731,193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35,173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3,595,184</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Effect of currency translation</w:t>
            </w:r>
          </w:p>
        </w:tc>
        <w:tc>
          <w:tcPr>
            <w:tcW w:w="1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(32,786)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(32,786)</w:t>
            </w:r>
          </w:p>
        </w:tc>
        <w:tc>
          <w:tcPr>
            <w:tcW w:w="0" w:type="dxa"/>
            <w:vAlign w:val="bottom"/>
          </w:tcPr>
          <w:p>
            <w:pPr>
              <w:spacing w:after="0"/>
              <w:rPr>
                <w:sz w:val="1"/>
                <w:szCs w:val="1"/>
                <w:color w:val="auto"/>
              </w:rPr>
            </w:pPr>
          </w:p>
        </w:tc>
      </w:tr>
      <w:tr>
        <w:trPr>
          <w:trHeight w:val="264"/>
        </w:trPr>
        <w:tc>
          <w:tcPr>
            <w:tcW w:w="4060" w:type="dxa"/>
            <w:vAlign w:val="bottom"/>
          </w:tcPr>
          <w:p>
            <w:pPr>
              <w:ind w:left="20"/>
              <w:spacing w:after="0"/>
              <w:rPr>
                <w:sz w:val="20"/>
                <w:szCs w:val="20"/>
                <w:color w:val="auto"/>
              </w:rPr>
            </w:pPr>
            <w:r>
              <w:rPr>
                <w:rFonts w:ascii="Arial" w:cs="Arial" w:eastAsia="Arial" w:hAnsi="Arial"/>
                <w:sz w:val="18"/>
                <w:szCs w:val="18"/>
                <w:color w:val="auto"/>
              </w:rPr>
              <w:t>Goodwill as of June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828,818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2,731,193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3,560,011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carrying amounts of goodwill at June 30, 2020 and December 31, 2019 are net of the following accumulated impairments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Branded</w:t>
            </w:r>
          </w:p>
        </w:tc>
        <w:tc>
          <w:tcPr>
            <w:tcW w:w="12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Sterile Injectables</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Generic</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International</w:t>
            </w:r>
          </w:p>
        </w:tc>
        <w:tc>
          <w:tcPr>
            <w:tcW w:w="300" w:type="dxa"/>
            <w:vAlign w:val="bottom"/>
          </w:tcPr>
          <w:p>
            <w:pPr>
              <w:spacing w:after="0"/>
              <w:rPr>
                <w:sz w:val="14"/>
                <w:szCs w:val="14"/>
                <w:color w:val="auto"/>
              </w:rPr>
            </w:pPr>
          </w:p>
        </w:tc>
        <w:tc>
          <w:tcPr>
            <w:tcW w:w="106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Pharmaceuticals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Accumulated impairment losses as of December 31,</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855,810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3,142,657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500,417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4,498,884</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w w:val="96"/>
              </w:rPr>
              <w:t>Accumulated impairment losses as of June 30,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9"/>
              <w:spacing w:after="0"/>
              <w:rPr>
                <w:sz w:val="20"/>
                <w:szCs w:val="20"/>
                <w:color w:val="auto"/>
              </w:rPr>
            </w:pPr>
            <w:r>
              <w:rPr>
                <w:rFonts w:ascii="Arial" w:cs="Arial" w:eastAsia="Arial" w:hAnsi="Arial"/>
                <w:sz w:val="18"/>
                <w:szCs w:val="18"/>
                <w:color w:val="auto"/>
              </w:rPr>
              <w:t>855,810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3,142,657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9"/>
              <w:spacing w:after="0"/>
              <w:rPr>
                <w:sz w:val="20"/>
                <w:szCs w:val="20"/>
                <w:color w:val="auto"/>
              </w:rPr>
            </w:pPr>
            <w:r>
              <w:rPr>
                <w:rFonts w:ascii="Arial" w:cs="Arial" w:eastAsia="Arial" w:hAnsi="Arial"/>
                <w:sz w:val="18"/>
                <w:szCs w:val="18"/>
                <w:color w:val="auto"/>
              </w:rPr>
              <w:t>512,376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4,510,843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amount of other intangible assets for the six months ended June 30, 2020 were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basis:</w:t>
            </w:r>
          </w:p>
        </w:tc>
        <w:tc>
          <w:tcPr>
            <w:tcW w:w="20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Effect of Currency</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Balance as of June</w:t>
            </w:r>
          </w:p>
        </w:tc>
        <w:tc>
          <w:tcPr>
            <w:tcW w:w="0" w:type="dxa"/>
            <w:vAlign w:val="bottom"/>
          </w:tcPr>
          <w:p>
            <w:pPr>
              <w:spacing w:after="0"/>
              <w:rPr>
                <w:sz w:val="1"/>
                <w:szCs w:val="1"/>
                <w:color w:val="auto"/>
              </w:rPr>
            </w:pPr>
          </w:p>
        </w:tc>
      </w:tr>
      <w:tr>
        <w:trPr>
          <w:trHeight w:val="192"/>
        </w:trPr>
        <w:tc>
          <w:tcPr>
            <w:tcW w:w="2620" w:type="dxa"/>
            <w:vAlign w:val="bottom"/>
            <w:vMerge w:val="continue"/>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6"/>
                <w:szCs w:val="16"/>
                <w:color w:val="auto"/>
              </w:rPr>
            </w:pPr>
          </w:p>
        </w:tc>
        <w:tc>
          <w:tcPr>
            <w:tcW w:w="1100" w:type="dxa"/>
            <w:vAlign w:val="bottom"/>
          </w:tcPr>
          <w:p>
            <w:pPr>
              <w:jc w:val="center"/>
              <w:ind w:right="153"/>
              <w:spacing w:after="0"/>
              <w:rPr>
                <w:sz w:val="20"/>
                <w:szCs w:val="20"/>
                <w:color w:val="auto"/>
              </w:rPr>
            </w:pPr>
            <w:r>
              <w:rPr>
                <w:rFonts w:ascii="Arial" w:cs="Arial" w:eastAsia="Arial" w:hAnsi="Arial"/>
                <w:sz w:val="14"/>
                <w:szCs w:val="14"/>
                <w:b w:val="1"/>
                <w:bCs w:val="1"/>
                <w:color w:val="auto"/>
                <w:w w:val="91"/>
              </w:rPr>
              <w:t>30, 2020</w:t>
            </w:r>
          </w:p>
        </w:tc>
        <w:tc>
          <w:tcPr>
            <w:tcW w:w="0" w:type="dxa"/>
            <w:vAlign w:val="bottom"/>
          </w:tcPr>
          <w:p>
            <w:pPr>
              <w:spacing w:after="0"/>
              <w:rPr>
                <w:sz w:val="1"/>
                <w:szCs w:val="1"/>
                <w:color w:val="auto"/>
              </w:rPr>
            </w:pPr>
          </w:p>
        </w:tc>
      </w:tr>
      <w:tr>
        <w:trPr>
          <w:trHeight w:val="236"/>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120"/>
              <w:spacing w:after="0"/>
              <w:rPr>
                <w:sz w:val="20"/>
                <w:szCs w:val="20"/>
                <w:color w:val="auto"/>
              </w:rPr>
            </w:pPr>
            <w:r>
              <w:rPr>
                <w:rFonts w:ascii="Arial" w:cs="Arial" w:eastAsia="Arial" w:hAnsi="Arial"/>
                <w:sz w:val="18"/>
                <w:szCs w:val="18"/>
                <w:color w:val="auto"/>
              </w:rPr>
              <w:t>In-process research and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93,900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93,900</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8"/>
              </w:rPr>
              <w:t>Total indefinite-lived intangibles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93,900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93,900</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Finite-lived intangibles: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Licenses (weighted average life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457,402</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(8,700)</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448,702</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14 years)</w:t>
            </w:r>
          </w:p>
        </w:tc>
        <w:tc>
          <w:tcPr>
            <w:tcW w:w="20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120"/>
              <w:spacing w:after="0"/>
              <w:rPr>
                <w:sz w:val="20"/>
                <w:szCs w:val="20"/>
                <w:color w:val="auto"/>
              </w:rPr>
            </w:pPr>
            <w:r>
              <w:rPr>
                <w:rFonts w:ascii="Arial" w:cs="Arial" w:eastAsia="Arial" w:hAnsi="Arial"/>
                <w:sz w:val="18"/>
                <w:szCs w:val="18"/>
                <w:color w:val="auto"/>
              </w:rPr>
              <w:t>Tradenames</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Developed technology (weighted</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5,844,439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(55,051)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(104,531)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(11,310)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5,673,547</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life of 11 years)</w:t>
            </w:r>
          </w:p>
        </w:tc>
        <w:tc>
          <w:tcPr>
            <w:tcW w:w="2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140"/>
              <w:spacing w:after="0" w:line="156" w:lineRule="exact"/>
              <w:rPr>
                <w:sz w:val="20"/>
                <w:szCs w:val="20"/>
                <w:color w:val="auto"/>
              </w:rPr>
            </w:pPr>
            <w:r>
              <w:rPr>
                <w:rFonts w:ascii="Arial" w:cs="Arial" w:eastAsia="Arial" w:hAnsi="Arial"/>
                <w:sz w:val="18"/>
                <w:szCs w:val="18"/>
                <w:color w:val="auto"/>
              </w:rPr>
              <w:t>Total finite-lived intangibles</w:t>
            </w: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140"/>
              <w:spacing w:after="0" w:line="176" w:lineRule="exact"/>
              <w:rPr>
                <w:sz w:val="20"/>
                <w:szCs w:val="20"/>
                <w:color w:val="auto"/>
              </w:rPr>
            </w:pPr>
            <w:r>
              <w:rPr>
                <w:rFonts w:ascii="Arial" w:cs="Arial" w:eastAsia="Arial" w:hAnsi="Arial"/>
                <w:sz w:val="18"/>
                <w:szCs w:val="18"/>
                <w:color w:val="auto"/>
              </w:rPr>
              <w:t>(weighted average life of 11</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73"/>
              <w:spacing w:after="0"/>
              <w:rPr>
                <w:sz w:val="20"/>
                <w:szCs w:val="20"/>
                <w:color w:val="auto"/>
              </w:rPr>
            </w:pPr>
            <w:r>
              <w:rPr>
                <w:rFonts w:ascii="Arial" w:cs="Arial" w:eastAsia="Arial" w:hAnsi="Arial"/>
                <w:sz w:val="18"/>
                <w:szCs w:val="18"/>
                <w:color w:val="auto"/>
              </w:rPr>
              <w:t>6,308,250</w:t>
            </w:r>
          </w:p>
        </w:tc>
        <w:tc>
          <w:tcPr>
            <w:tcW w:w="10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ind w:left="8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3"/>
              <w:spacing w:after="0"/>
              <w:rPr>
                <w:sz w:val="20"/>
                <w:szCs w:val="20"/>
                <w:color w:val="auto"/>
              </w:rPr>
            </w:pPr>
            <w:r>
              <w:rPr>
                <w:rFonts w:ascii="Arial" w:cs="Arial" w:eastAsia="Arial" w:hAnsi="Arial"/>
                <w:sz w:val="18"/>
                <w:szCs w:val="18"/>
                <w:color w:val="auto"/>
              </w:rPr>
              <w:t>(63,751)</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(104,531)</w:t>
            </w:r>
          </w:p>
        </w:tc>
        <w:tc>
          <w:tcPr>
            <w:tcW w:w="120" w:type="dxa"/>
            <w:vAlign w:val="bottom"/>
          </w:tcPr>
          <w:p>
            <w:pPr>
              <w:spacing w:after="0"/>
              <w:rPr>
                <w:sz w:val="15"/>
                <w:szCs w:val="15"/>
                <w:color w:val="auto"/>
              </w:rPr>
            </w:pPr>
          </w:p>
        </w:tc>
        <w:tc>
          <w:tcPr>
            <w:tcW w:w="200" w:type="dxa"/>
            <w:vAlign w:val="bottom"/>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13"/>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5"/>
                <w:szCs w:val="15"/>
                <w:color w:val="auto"/>
              </w:rPr>
            </w:pPr>
          </w:p>
        </w:tc>
        <w:tc>
          <w:tcPr>
            <w:tcW w:w="260" w:type="dxa"/>
            <w:vAlign w:val="bottom"/>
            <w:vMerge w:val="restart"/>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73"/>
              <w:spacing w:after="0"/>
              <w:rPr>
                <w:sz w:val="20"/>
                <w:szCs w:val="20"/>
                <w:color w:val="auto"/>
              </w:rPr>
            </w:pPr>
            <w:r>
              <w:rPr>
                <w:rFonts w:ascii="Arial" w:cs="Arial" w:eastAsia="Arial" w:hAnsi="Arial"/>
                <w:sz w:val="18"/>
                <w:szCs w:val="18"/>
                <w:color w:val="auto"/>
              </w:rPr>
              <w:t>6,128,658</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years)</w:t>
            </w:r>
          </w:p>
        </w:tc>
        <w:tc>
          <w:tcPr>
            <w:tcW w:w="2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6,402,150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(63,751)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(104,531)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(11,310)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6,222,558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200" w:type="dxa"/>
            <w:vAlign w:val="bottom"/>
          </w:tcPr>
          <w:p>
            <w:pPr>
              <w:spacing w:after="0"/>
              <w:rPr>
                <w:sz w:val="13"/>
                <w:szCs w:val="13"/>
                <w:color w:val="auto"/>
              </w:rPr>
            </w:pPr>
          </w:p>
        </w:tc>
        <w:tc>
          <w:tcPr>
            <w:tcW w:w="1160" w:type="dxa"/>
            <w:vAlign w:val="bottom"/>
          </w:tcPr>
          <w:p>
            <w:pPr>
              <w:jc w:val="center"/>
              <w:ind w:right="113"/>
              <w:spacing w:after="0" w:line="154" w:lineRule="exact"/>
              <w:rPr>
                <w:sz w:val="20"/>
                <w:szCs w:val="20"/>
                <w:color w:val="auto"/>
              </w:rPr>
            </w:pPr>
            <w:r>
              <w:rPr>
                <w:rFonts w:ascii="Arial" w:cs="Arial" w:eastAsia="Arial" w:hAnsi="Arial"/>
                <w:sz w:val="14"/>
                <w:szCs w:val="14"/>
                <w:b w:val="1"/>
                <w:bCs w:val="1"/>
                <w:color w:val="auto"/>
                <w:w w:val="88"/>
              </w:rPr>
              <w:t>Balance as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40" w:type="dxa"/>
            <w:vAlign w:val="bottom"/>
            <w:gridSpan w:val="3"/>
          </w:tcPr>
          <w:p>
            <w:pPr>
              <w:jc w:val="right"/>
              <w:ind w:right="200"/>
              <w:spacing w:after="0" w:line="154" w:lineRule="exact"/>
              <w:rPr>
                <w:sz w:val="20"/>
                <w:szCs w:val="20"/>
                <w:color w:val="auto"/>
              </w:rPr>
            </w:pPr>
            <w:r>
              <w:rPr>
                <w:rFonts w:ascii="Arial" w:cs="Arial" w:eastAsia="Arial" w:hAnsi="Arial"/>
                <w:sz w:val="14"/>
                <w:szCs w:val="14"/>
                <w:b w:val="1"/>
                <w:bCs w:val="1"/>
                <w:color w:val="auto"/>
              </w:rPr>
              <w:t>Effect of Currency</w:t>
            </w:r>
          </w:p>
        </w:tc>
        <w:tc>
          <w:tcPr>
            <w:tcW w:w="13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w w:val="89"/>
              </w:rPr>
              <w:t>Balance as of June</w:t>
            </w:r>
          </w:p>
        </w:tc>
        <w:tc>
          <w:tcPr>
            <w:tcW w:w="0" w:type="dxa"/>
            <w:vAlign w:val="bottom"/>
          </w:tcPr>
          <w:p>
            <w:pPr>
              <w:spacing w:after="0"/>
              <w:rPr>
                <w:sz w:val="1"/>
                <w:szCs w:val="1"/>
                <w:color w:val="auto"/>
              </w:rPr>
            </w:pPr>
          </w:p>
        </w:tc>
      </w:tr>
      <w:tr>
        <w:trPr>
          <w:trHeight w:val="192"/>
        </w:trPr>
        <w:tc>
          <w:tcPr>
            <w:tcW w:w="2620" w:type="dxa"/>
            <w:vAlign w:val="bottom"/>
            <w:vMerge w:val="continue"/>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6"/>
                <w:szCs w:val="16"/>
                <w:color w:val="auto"/>
              </w:rPr>
            </w:pPr>
          </w:p>
        </w:tc>
        <w:tc>
          <w:tcPr>
            <w:tcW w:w="1100" w:type="dxa"/>
            <w:vAlign w:val="bottom"/>
          </w:tcPr>
          <w:p>
            <w:pPr>
              <w:jc w:val="center"/>
              <w:ind w:right="153"/>
              <w:spacing w:after="0"/>
              <w:rPr>
                <w:sz w:val="20"/>
                <w:szCs w:val="20"/>
                <w:color w:val="auto"/>
              </w:rPr>
            </w:pPr>
            <w:r>
              <w:rPr>
                <w:rFonts w:ascii="Arial" w:cs="Arial" w:eastAsia="Arial" w:hAnsi="Arial"/>
                <w:sz w:val="14"/>
                <w:szCs w:val="14"/>
                <w:b w:val="1"/>
                <w:bCs w:val="1"/>
                <w:color w:val="auto"/>
                <w:w w:val="91"/>
              </w:rPr>
              <w:t>30, 2020</w:t>
            </w:r>
          </w:p>
        </w:tc>
        <w:tc>
          <w:tcPr>
            <w:tcW w:w="0" w:type="dxa"/>
            <w:vAlign w:val="bottom"/>
          </w:tcPr>
          <w:p>
            <w:pPr>
              <w:spacing w:after="0"/>
              <w:rPr>
                <w:sz w:val="1"/>
                <w:szCs w:val="1"/>
                <w:color w:val="auto"/>
              </w:rPr>
            </w:pPr>
          </w:p>
        </w:tc>
      </w:tr>
      <w:tr>
        <w:trPr>
          <w:trHeight w:val="236"/>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120"/>
              <w:spacing w:after="0"/>
              <w:rPr>
                <w:sz w:val="20"/>
                <w:szCs w:val="20"/>
                <w:color w:val="auto"/>
              </w:rPr>
            </w:pPr>
            <w:r>
              <w:rPr>
                <w:rFonts w:ascii="Arial" w:cs="Arial" w:eastAsia="Arial" w:hAnsi="Arial"/>
                <w:sz w:val="18"/>
                <w:szCs w:val="18"/>
                <w:color w:val="auto"/>
              </w:rPr>
              <w:t>Licenses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(410,336)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(4,295)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(414,631)</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Tradenames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43"/>
        </w:trPr>
        <w:tc>
          <w:tcPr>
            <w:tcW w:w="2620" w:type="dxa"/>
            <w:vAlign w:val="bottom"/>
          </w:tcPr>
          <w:p>
            <w:pPr>
              <w:ind w:left="12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(3,414,138)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(217,440)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104,531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(3,520,346)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intangibles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(3,830,883)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(221,735)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104,531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6,701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(3,941,386)</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ind w:left="20"/>
              <w:spacing w:after="0"/>
              <w:rPr>
                <w:sz w:val="20"/>
                <w:szCs w:val="20"/>
                <w:color w:val="auto"/>
              </w:rPr>
            </w:pPr>
            <w:r>
              <w:rPr>
                <w:rFonts w:ascii="Arial" w:cs="Arial" w:eastAsia="Arial" w:hAnsi="Arial"/>
                <w:sz w:val="18"/>
                <w:szCs w:val="18"/>
                <w:color w:val="auto"/>
              </w:rPr>
              <w:t>Net other intangibles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2,571,267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2,281,172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80" w:hanging="31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adjustments relate to the removal of certain fully amortized intangible assets.</w:t>
      </w:r>
    </w:p>
    <w:p>
      <w:pPr>
        <w:spacing w:after="0" w:line="10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Amortization expense for the three and six months ended June 30, 2020 totaled $104.5 million and $221.7 million, respectively. Amortization expense for the three and six months ended June 30, 2019 totaled $140.4 million and $286.0 million, respectively. Amortization expense is included in Cost of revenues in the Condensed Consolidated Statements of Operations. For intangible assets subject to amortization, estimated amortization expense for the five fiscal years subsequent to December 31, 2019 is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2020</w:t>
            </w:r>
          </w:p>
        </w:tc>
        <w:tc>
          <w:tcPr>
            <w:tcW w:w="5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426,483</w:t>
            </w:r>
          </w:p>
        </w:tc>
      </w:tr>
      <w:tr>
        <w:trPr>
          <w:trHeight w:val="243"/>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2021</w:t>
            </w:r>
          </w:p>
        </w:tc>
        <w:tc>
          <w:tcPr>
            <w:tcW w:w="5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389,770</w:t>
            </w:r>
          </w:p>
        </w:tc>
      </w:tr>
      <w:tr>
        <w:trPr>
          <w:trHeight w:val="27"/>
        </w:trPr>
        <w:tc>
          <w:tcPr>
            <w:tcW w:w="5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jc w:val="right"/>
              <w:ind w:right="4670"/>
              <w:spacing w:after="0"/>
              <w:rPr>
                <w:sz w:val="20"/>
                <w:szCs w:val="20"/>
                <w:color w:val="auto"/>
              </w:rPr>
            </w:pPr>
            <w:r>
              <w:rPr>
                <w:rFonts w:ascii="Arial" w:cs="Arial" w:eastAsia="Arial" w:hAnsi="Arial"/>
                <w:sz w:val="18"/>
                <w:szCs w:val="18"/>
                <w:color w:val="auto"/>
                <w:w w:val="89"/>
              </w:rPr>
              <w:t>2022</w:t>
            </w:r>
          </w:p>
        </w:tc>
        <w:tc>
          <w:tcPr>
            <w:tcW w:w="5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375,039</w:t>
            </w:r>
          </w:p>
        </w:tc>
      </w:tr>
      <w:tr>
        <w:trPr>
          <w:trHeight w:val="243"/>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2023</w:t>
            </w:r>
          </w:p>
        </w:tc>
        <w:tc>
          <w:tcPr>
            <w:tcW w:w="5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331,947</w:t>
            </w:r>
          </w:p>
        </w:tc>
      </w:tr>
      <w:tr>
        <w:trPr>
          <w:trHeight w:val="27"/>
        </w:trPr>
        <w:tc>
          <w:tcPr>
            <w:tcW w:w="5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2024</w:t>
            </w:r>
          </w:p>
        </w:tc>
        <w:tc>
          <w:tcPr>
            <w:tcW w:w="5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293,417</w:t>
            </w:r>
          </w:p>
        </w:tc>
      </w:tr>
      <w:tr>
        <w:trPr>
          <w:trHeight w:val="27"/>
        </w:trPr>
        <w:tc>
          <w:tcPr>
            <w:tcW w:w="514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11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Goodwill and indefinite-lived intangible assets are tested for impairment annually and when events or changes in circumstances indicate that the asset might be impaired. Our annual assessment is performed as of October 1.</w:t>
      </w:r>
    </w:p>
    <w:p>
      <w:pPr>
        <w:spacing w:after="0" w:line="6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discounted cash flow models are dependent upon our estimates of future cash flows and other factors including estimates of (i) future operating performance, including future sales, long-term growth rates, operating margins, discount rates, variations in the amount and timing of cash flows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are based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58"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During the three and six months ended June 30, 2020 and 2019, the Company incurred the following goodwill and other intangible asset impairment charges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92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4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65,108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32,786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151,108</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Other intangible asset impairment charges</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21,699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63,751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100,399</w:t>
            </w:r>
          </w:p>
        </w:tc>
      </w:tr>
    </w:tbl>
    <w:p>
      <w:pPr>
        <w:spacing w:after="0" w:line="121"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Except as described below, pre-tax non-cash asset impairment charges related primarily to certain in-process research and development and/or developed technology intangible assets that were tested for impairment following changes in market conditions and certain other factors impacting recoverability.</w:t>
      </w:r>
    </w:p>
    <w:p>
      <w:pPr>
        <w:spacing w:after="0" w:line="76"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a result of certain business decisions that occurred during the first quarter of 2020, we tested the goodwill of our Paladin reporting unit for impairment as of March 31, 2020. The fair value of the reporting unit was estimated using an income approach that utilized a discounted cash flow model. The discount rate utilized in this test was 9.5%. This goodwill impairment test resulted in a pre-tax non-cash goodwill impairment charge of $32.8 million during the three months ended March 31, 2020, representing the remaining carrying amount. This impairment was primarily attributable to portfolio decisions and updated market expectations during the quarter.</w:t>
      </w:r>
    </w:p>
    <w:p>
      <w:pPr>
        <w:spacing w:after="0" w:line="8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a result of certain competitive events that occurred during the first quarter of 2019, we tested the goodwill of our Generic Pharmaceuticals reporting unit for impairment as of March 31, 2019. The fair value of the reporting unit was estimated using an income approach that utilized a discounted cash flow model. The discount rate utilized in this test was 10.5%. This goodwill impairment test resulted in a pre-tax non-cash goodwill impairment charge of $86.0 million during the three months ended March 31, 2019, representing the excess of this reporting unit’s carrying amount over its estimated fair value. This Generic Pharmaceuticals impairment can be primarily attributed to the impact of the competitive events referenced above and an increase in the discount rate used in the determination of fair value.</w:t>
      </w:r>
    </w:p>
    <w:p>
      <w:pPr>
        <w:spacing w:after="0" w:line="84"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During the second quarter of the 2019, unfavorable competitive and pricing events occurred that caused us to update certain assumptions from those used in our first-quarter 2019 Generic Pharmaceuticals goodwill impairment test. We considered these events, together with the fact that this reporting unit’s carrying amount equaled its fair value immediately subsequent to the first-quarter 2019 goodwill impairment charge, as part of our qualitative assessment of goodwill triggering events for the second quarter of 2019. As a result, we concluded that it was more likely than not that the fair value of this reporting unit was below its carrying amount as of June 30, 2019 and a goodwill impairment test was required. After performing this quantitative test, we determined that this reporting unit’s carrying amount exceeded its estimated fair value. The fair value of the reporting unit was estimated using an income approach that utilized a discounted cash flow model. The discount rate utilized in this test was 10.5%. Based on the excess of this reporting unit’s carrying amount over its estimated fair value, we recorded a pre-tax non-cash goodwill impairment charge of $65.1 million during the three months ended June 30, 2019, representing the entire remaining amount of this reporting unit’s goodwill.</w:t>
      </w:r>
    </w:p>
    <w:p>
      <w:pPr>
        <w:spacing w:after="0" w:line="73"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CONTRACT ASSETS AND LIABILITIES</w:t>
      </w:r>
    </w:p>
    <w:p>
      <w:pPr>
        <w:spacing w:after="0" w:line="12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Our revenue consists almost entirely of sales of our pharmaceutical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June 30, 2020,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460" w:firstLine="486"/>
        <w:spacing w:after="0" w:line="263" w:lineRule="auto"/>
        <w:rPr>
          <w:sz w:val="20"/>
          <w:szCs w:val="20"/>
          <w:color w:val="auto"/>
        </w:rPr>
      </w:pPr>
      <w:r>
        <w:rPr>
          <w:rFonts w:ascii="Arial" w:cs="Arial" w:eastAsia="Arial" w:hAnsi="Arial"/>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7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June 30, 2020</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net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12,125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12,125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Contract liabilities, net (2)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21"/>
                <w:szCs w:val="21"/>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 w:lineRule="exact"/>
        <w:rPr>
          <w:sz w:val="20"/>
          <w:szCs w:val="20"/>
          <w:color w:val="auto"/>
        </w:rPr>
      </w:pPr>
    </w:p>
    <w:p>
      <w:pPr>
        <w:ind w:left="500" w:hanging="330"/>
        <w:spacing w:after="0" w:line="241" w:lineRule="auto"/>
        <w:tabs>
          <w:tab w:leader="none" w:pos="492"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 June 30, 2020, approximately $0.8 million of this contract asset amount is classified as current and is included in Prepaid expenses and other current assets in the Company’s Condensed Consolidated Balance Sheets. The remaining amount is classified as noncurrent and is included in Other assets. The net increase in contract assets during the six months ended June 30, 2020 was primarily due to the Company’s estimated consideration for the sale of certain intellectual property rights.</w:t>
      </w:r>
    </w:p>
    <w:p>
      <w:pPr>
        <w:spacing w:after="0" w:line="1" w:lineRule="exact"/>
        <w:rPr>
          <w:rFonts w:ascii="Arial" w:cs="Arial" w:eastAsia="Arial" w:hAnsi="Arial"/>
          <w:sz w:val="14"/>
          <w:szCs w:val="14"/>
          <w:color w:val="auto"/>
        </w:rPr>
      </w:pPr>
    </w:p>
    <w:p>
      <w:pPr>
        <w:ind w:left="500" w:right="120" w:hanging="330"/>
        <w:spacing w:after="0" w:line="248" w:lineRule="auto"/>
        <w:tabs>
          <w:tab w:leader="none" w:pos="492"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 both June 30, 2020 and December 31, 2019, approximately $1.4 million of these contract liability amounts are classified as current and are included in Accounts payable and accrued expenses in the Company’s Condensed Consolidated Balance Sheets. The remaining amounts are classified as noncurrent and are included in Other liabilities. The decrease to contract liabilities was due to approximately $0.3 million in revenue recognized during the period.</w:t>
      </w:r>
    </w:p>
    <w:p>
      <w:pPr>
        <w:spacing w:after="0" w:line="87" w:lineRule="exact"/>
        <w:rPr>
          <w:sz w:val="20"/>
          <w:szCs w:val="20"/>
          <w:color w:val="auto"/>
        </w:rPr>
      </w:pPr>
    </w:p>
    <w:p>
      <w:pPr>
        <w:ind w:right="640" w:firstLine="486"/>
        <w:spacing w:after="0" w:line="308" w:lineRule="auto"/>
        <w:rPr>
          <w:sz w:val="20"/>
          <w:szCs w:val="20"/>
          <w:color w:val="auto"/>
        </w:rPr>
      </w:pPr>
      <w:r>
        <w:rPr>
          <w:rFonts w:ascii="Arial" w:cs="Arial" w:eastAsia="Arial" w:hAnsi="Arial"/>
          <w:sz w:val="17"/>
          <w:szCs w:val="17"/>
          <w:color w:val="auto"/>
        </w:rPr>
        <w:t>During the six months ended June 30, 2020, we recognized revenue of $7.0 million relating to performance obligations satisfied, or partially satisfied, in prior periods. Such revenue generally relates to changes in estimates with respect to our variable consideration.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include the following at June 30, 2020 and December 31, 2019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June 30, 2020</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3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113,049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101,532</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Returns and allowances</w:t>
            </w:r>
          </w:p>
        </w:tc>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217,198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206,248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Rebates</w:t>
            </w:r>
          </w:p>
        </w:tc>
        <w:tc>
          <w:tcPr>
            <w:tcW w:w="3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107,057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129,056</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Chargebacks</w:t>
            </w:r>
          </w:p>
        </w:tc>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3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56,783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112,860</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Accrued payroll and related benefits</w:t>
            </w:r>
          </w:p>
        </w:tc>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61,524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79,869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royalties and other distribution partner payables</w:t>
            </w:r>
          </w:p>
        </w:tc>
        <w:tc>
          <w:tcPr>
            <w:tcW w:w="3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70,953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115,816</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Acquisition-related contingent consideration—current</w:t>
            </w:r>
          </w:p>
        </w:tc>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117,994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146,440</w:t>
            </w:r>
          </w:p>
        </w:tc>
        <w:tc>
          <w:tcPr>
            <w:tcW w:w="0" w:type="dxa"/>
            <w:vAlign w:val="bottom"/>
          </w:tcPr>
          <w:p>
            <w:pPr>
              <w:spacing w:after="0"/>
              <w:rPr>
                <w:sz w:val="1"/>
                <w:szCs w:val="1"/>
                <w:color w:val="auto"/>
              </w:rPr>
            </w:pPr>
          </w:p>
        </w:tc>
      </w:tr>
      <w:tr>
        <w:trPr>
          <w:trHeight w:val="237"/>
        </w:trPr>
        <w:tc>
          <w:tcPr>
            <w:tcW w:w="4820" w:type="dxa"/>
            <w:vAlign w:val="bottom"/>
          </w:tcPr>
          <w:p>
            <w:pPr>
              <w:ind w:left="120"/>
              <w:spacing w:after="0"/>
              <w:rPr>
                <w:sz w:val="20"/>
                <w:szCs w:val="20"/>
                <w:color w:val="auto"/>
              </w:rPr>
            </w:pPr>
            <w:r>
              <w:rPr>
                <w:rFonts w:ascii="Arial" w:cs="Arial" w:eastAsia="Arial" w:hAnsi="Arial"/>
                <w:sz w:val="18"/>
                <w:szCs w:val="18"/>
                <w:color w:val="auto"/>
              </w:rPr>
              <w:t>Total</w:t>
            </w:r>
          </w:p>
        </w:tc>
        <w:tc>
          <w:tcPr>
            <w:tcW w:w="36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756,364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899,949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20" w:type="dxa"/>
            <w:vAlign w:val="bottom"/>
            <w:vMerge w:val="restart"/>
          </w:tcPr>
          <w:p>
            <w:pPr>
              <w:jc w:val="right"/>
              <w:ind w:right="263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8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information about the Company’s total indebtedness at June 30, 2020 and December 31, 2019 (dollars in thousands):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98"/>
              </w:rPr>
              <w:t>June 30, 2020</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9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Effective</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4"/>
          </w:tcPr>
          <w:p>
            <w:pPr>
              <w:jc w:val="center"/>
              <w:ind w:right="130"/>
              <w:spacing w:after="0" w:line="153" w:lineRule="exact"/>
              <w:rPr>
                <w:sz w:val="20"/>
                <w:szCs w:val="20"/>
                <w:color w:val="auto"/>
              </w:rPr>
            </w:pPr>
            <w:r>
              <w:rPr>
                <w:rFonts w:ascii="Arial" w:cs="Arial" w:eastAsia="Arial" w:hAnsi="Arial"/>
                <w:sz w:val="14"/>
                <w:szCs w:val="14"/>
                <w:b w:val="1"/>
                <w:bCs w:val="1"/>
                <w:color w:val="auto"/>
                <w:w w:val="92"/>
              </w:rPr>
              <w:t>Effective</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40" w:type="dxa"/>
            <w:vAlign w:val="bottom"/>
          </w:tcPr>
          <w:p>
            <w:pPr>
              <w:jc w:val="center"/>
              <w:ind w:left="74"/>
              <w:spacing w:after="0" w:line="149"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3"/>
              </w:rPr>
              <w:t>Principal Amount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Carrying Amount</w:t>
            </w:r>
          </w:p>
        </w:tc>
        <w:tc>
          <w:tcPr>
            <w:tcW w:w="120" w:type="dxa"/>
            <w:vAlign w:val="bottom"/>
          </w:tcPr>
          <w:p>
            <w:pPr>
              <w:spacing w:after="0"/>
              <w:rPr>
                <w:sz w:val="12"/>
                <w:szCs w:val="12"/>
                <w:color w:val="auto"/>
              </w:rPr>
            </w:pPr>
          </w:p>
        </w:tc>
        <w:tc>
          <w:tcPr>
            <w:tcW w:w="64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3"/>
              </w:rPr>
              <w:t>Principal Amount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92"/>
        </w:trPr>
        <w:tc>
          <w:tcPr>
            <w:tcW w:w="500" w:type="dxa"/>
            <w:vAlign w:val="bottom"/>
            <w:tcBorders>
              <w:bottom w:val="single" w:sz="8" w:color="CCEEFF"/>
            </w:tcBorders>
          </w:tcPr>
          <w:p>
            <w:pPr>
              <w:spacing w:after="0"/>
              <w:rPr>
                <w:sz w:val="16"/>
                <w:szCs w:val="16"/>
                <w:color w:val="auto"/>
              </w:rPr>
            </w:pPr>
          </w:p>
        </w:tc>
        <w:tc>
          <w:tcPr>
            <w:tcW w:w="31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7.25%</w:t>
            </w: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8,294</w:t>
            </w:r>
          </w:p>
        </w:tc>
        <w:tc>
          <w:tcPr>
            <w:tcW w:w="7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7.25</w:t>
            </w:r>
          </w:p>
        </w:tc>
        <w:tc>
          <w:tcPr>
            <w:tcW w:w="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8,294</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5.75%</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640" w:type="dxa"/>
            <w:vAlign w:val="bottom"/>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182,479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182,479</w:t>
            </w:r>
          </w:p>
        </w:tc>
        <w:tc>
          <w:tcPr>
            <w:tcW w:w="76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5.75</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182,479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182,479</w:t>
            </w:r>
          </w:p>
        </w:tc>
        <w:tc>
          <w:tcPr>
            <w:tcW w:w="0" w:type="dxa"/>
            <w:vAlign w:val="bottom"/>
          </w:tcPr>
          <w:p>
            <w:pPr>
              <w:spacing w:after="0"/>
              <w:rPr>
                <w:sz w:val="1"/>
                <w:szCs w:val="1"/>
                <w:color w:val="auto"/>
              </w:rPr>
            </w:pPr>
          </w:p>
        </w:tc>
      </w:tr>
      <w:tr>
        <w:trPr>
          <w:trHeight w:val="27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5.375% Senior Notes due 2023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6,091</w:t>
            </w:r>
          </w:p>
        </w:tc>
        <w:tc>
          <w:tcPr>
            <w:tcW w:w="7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5.62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210,440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209,018</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6.00%</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640" w:type="dxa"/>
            <w:vAlign w:val="bottom"/>
          </w:tcPr>
          <w:p>
            <w:pPr>
              <w:jc w:val="right"/>
              <w:spacing w:after="0"/>
              <w:rPr>
                <w:sz w:val="20"/>
                <w:szCs w:val="20"/>
                <w:color w:val="auto"/>
              </w:rPr>
            </w:pPr>
            <w:r>
              <w:rPr>
                <w:rFonts w:ascii="Arial" w:cs="Arial" w:eastAsia="Arial" w:hAnsi="Arial"/>
                <w:sz w:val="18"/>
                <w:szCs w:val="18"/>
                <w:color w:val="auto"/>
              </w:rPr>
              <w:t>6.28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56,436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55,996</w:t>
            </w:r>
          </w:p>
        </w:tc>
        <w:tc>
          <w:tcPr>
            <w:tcW w:w="76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6.28</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1,439,840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1,426,998</w:t>
            </w:r>
          </w:p>
        </w:tc>
        <w:tc>
          <w:tcPr>
            <w:tcW w:w="0" w:type="dxa"/>
            <w:vAlign w:val="bottom"/>
          </w:tcPr>
          <w:p>
            <w:pPr>
              <w:spacing w:after="0"/>
              <w:rPr>
                <w:sz w:val="1"/>
                <w:szCs w:val="1"/>
                <w:color w:val="auto"/>
              </w:rPr>
            </w:pPr>
          </w:p>
        </w:tc>
      </w:tr>
      <w:tr>
        <w:trPr>
          <w:trHeight w:val="27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5.875% Senior Secured Notes due 2024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296,952</w:t>
            </w:r>
          </w:p>
        </w:tc>
        <w:tc>
          <w:tcPr>
            <w:tcW w:w="7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6.14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296,647</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6.00%</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640" w:type="dxa"/>
            <w:vAlign w:val="bottom"/>
          </w:tcPr>
          <w:p>
            <w:pPr>
              <w:jc w:val="right"/>
              <w:spacing w:after="0"/>
              <w:rPr>
                <w:sz w:val="20"/>
                <w:szCs w:val="20"/>
                <w:color w:val="auto"/>
              </w:rPr>
            </w:pPr>
            <w:r>
              <w:rPr>
                <w:rFonts w:ascii="Arial" w:cs="Arial" w:eastAsia="Arial" w:hAnsi="Arial"/>
                <w:sz w:val="18"/>
                <w:szCs w:val="18"/>
                <w:color w:val="auto"/>
              </w:rPr>
              <w:t>6.27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21,343</w:t>
            </w:r>
          </w:p>
        </w:tc>
        <w:tc>
          <w:tcPr>
            <w:tcW w:w="76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6.27</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1,185,726</w:t>
            </w: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7.50%</w:t>
            </w: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 due 2027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2,015,479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1,993,899</w:t>
            </w:r>
          </w:p>
        </w:tc>
        <w:tc>
          <w:tcPr>
            <w:tcW w:w="7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7.71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1,482,212</w:t>
            </w:r>
          </w:p>
        </w:tc>
        <w:tc>
          <w:tcPr>
            <w:tcW w:w="0" w:type="dxa"/>
            <w:vAlign w:val="bottom"/>
          </w:tcPr>
          <w:p>
            <w:pPr>
              <w:spacing w:after="0"/>
              <w:rPr>
                <w:sz w:val="1"/>
                <w:szCs w:val="1"/>
                <w:color w:val="auto"/>
              </w:rPr>
            </w:pPr>
          </w:p>
        </w:tc>
      </w:tr>
      <w:tr>
        <w:trPr>
          <w:trHeight w:val="176"/>
        </w:trPr>
        <w:tc>
          <w:tcPr>
            <w:tcW w:w="500" w:type="dxa"/>
            <w:vAlign w:val="bottom"/>
          </w:tcPr>
          <w:p>
            <w:pPr>
              <w:ind w:left="20"/>
              <w:spacing w:after="0" w:line="176" w:lineRule="exact"/>
              <w:rPr>
                <w:sz w:val="20"/>
                <w:szCs w:val="20"/>
                <w:color w:val="auto"/>
              </w:rPr>
            </w:pPr>
            <w:r>
              <w:rPr>
                <w:rFonts w:ascii="Arial" w:cs="Arial" w:eastAsia="Arial" w:hAnsi="Arial"/>
                <w:sz w:val="18"/>
                <w:szCs w:val="18"/>
                <w:color w:val="auto"/>
                <w:w w:val="90"/>
              </w:rPr>
              <w:t>9.50%</w:t>
            </w:r>
          </w:p>
        </w:tc>
        <w:tc>
          <w:tcPr>
            <w:tcW w:w="3180" w:type="dxa"/>
            <w:vAlign w:val="bottom"/>
          </w:tcPr>
          <w:p>
            <w:pPr>
              <w:ind w:left="20"/>
              <w:spacing w:after="0" w:line="176" w:lineRule="exact"/>
              <w:rPr>
                <w:sz w:val="20"/>
                <w:szCs w:val="20"/>
                <w:color w:val="auto"/>
              </w:rPr>
            </w:pPr>
            <w:r>
              <w:rPr>
                <w:rFonts w:ascii="Arial" w:cs="Arial" w:eastAsia="Arial" w:hAnsi="Arial"/>
                <w:sz w:val="18"/>
                <w:szCs w:val="18"/>
                <w:color w:val="auto"/>
                <w:w w:val="99"/>
              </w:rPr>
              <w:t>Senior Secured Second Lien Notes due</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9.68 %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ind w:right="72"/>
              <w:spacing w:after="0"/>
              <w:rPr>
                <w:sz w:val="20"/>
                <w:szCs w:val="20"/>
                <w:color w:val="auto"/>
              </w:rPr>
            </w:pPr>
            <w:r>
              <w:rPr>
                <w:rFonts w:ascii="Arial" w:cs="Arial" w:eastAsia="Arial" w:hAnsi="Arial"/>
                <w:sz w:val="18"/>
                <w:szCs w:val="18"/>
                <w:color w:val="auto"/>
              </w:rPr>
              <w:t>940,590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ind w:right="51"/>
              <w:spacing w:after="0"/>
              <w:rPr>
                <w:sz w:val="20"/>
                <w:szCs w:val="20"/>
                <w:color w:val="auto"/>
              </w:rPr>
            </w:pPr>
            <w:r>
              <w:rPr>
                <w:rFonts w:ascii="Arial" w:cs="Arial" w:eastAsia="Arial" w:hAnsi="Arial"/>
                <w:sz w:val="18"/>
                <w:szCs w:val="18"/>
                <w:color w:val="auto"/>
              </w:rPr>
              <w:t>931,960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2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 w:type="dxa"/>
            <w:vAlign w:val="bottom"/>
          </w:tcPr>
          <w:p>
            <w:pPr>
              <w:ind w:left="20"/>
              <w:spacing w:after="0"/>
              <w:rPr>
                <w:sz w:val="20"/>
                <w:szCs w:val="20"/>
                <w:color w:val="auto"/>
              </w:rPr>
            </w:pPr>
            <w:r>
              <w:rPr>
                <w:rFonts w:ascii="Arial" w:cs="Arial" w:eastAsia="Arial" w:hAnsi="Arial"/>
                <w:sz w:val="18"/>
                <w:szCs w:val="18"/>
                <w:color w:val="auto"/>
              </w:rPr>
              <w:t>2027</w:t>
            </w:r>
          </w:p>
        </w:tc>
        <w:tc>
          <w:tcPr>
            <w:tcW w:w="31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6.00%</w:t>
            </w: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1,260,416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1,251,275</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Term Loan Facility</w:t>
            </w:r>
          </w:p>
        </w:tc>
        <w:tc>
          <w:tcPr>
            <w:tcW w:w="640" w:type="dxa"/>
            <w:vAlign w:val="bottom"/>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3,312,550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3,288,456</w:t>
            </w:r>
          </w:p>
        </w:tc>
        <w:tc>
          <w:tcPr>
            <w:tcW w:w="76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6.21</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3,329,625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3,302,675</w:t>
            </w:r>
          </w:p>
        </w:tc>
        <w:tc>
          <w:tcPr>
            <w:tcW w:w="0" w:type="dxa"/>
            <w:vAlign w:val="bottom"/>
          </w:tcPr>
          <w:p>
            <w:pPr>
              <w:spacing w:after="0"/>
              <w:rPr>
                <w:sz w:val="1"/>
                <w:szCs w:val="1"/>
                <w:color w:val="auto"/>
              </w:rPr>
            </w:pPr>
          </w:p>
        </w:tc>
      </w:tr>
      <w:tr>
        <w:trPr>
          <w:trHeight w:val="27"/>
        </w:trPr>
        <w:tc>
          <w:tcPr>
            <w:tcW w:w="36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300,000</w:t>
            </w:r>
          </w:p>
        </w:tc>
        <w:tc>
          <w:tcPr>
            <w:tcW w:w="760" w:type="dxa"/>
            <w:vAlign w:val="bottom"/>
            <w:tcBorders>
              <w:bottom w:val="single" w:sz="8" w:color="CCEEFF"/>
            </w:tcBorders>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4.25</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7"/>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Total long-term debt, net</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8,403,949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8,336,745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8,470,678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8,394,049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gridSpan w:val="2"/>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Less current portion, net</w:t>
            </w:r>
          </w:p>
        </w:tc>
        <w:tc>
          <w:tcPr>
            <w:tcW w:w="6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34,150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34,150</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34,150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63"/>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Total long-term debt, less current portion, net</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8,369,799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8,302,595</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8,436,528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8,359,899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The Company and its subsidiaries, with certain customary exceptions, guarantee or serve as issuers or borrowers of the debt instruments representing substantially all of the Company’s indebtedness at June 30, 2020. The obligations under (i) the 5.875% Senior Secured Notes due 2024, (ii) the 7.50% Senior Secured Notes due 2027 and (iii) the Credit Agreement (as defined below) and related loan documents are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by a perfected first priority lien (subject to certain permitted liens) on the collateral securing such instruments, which collateral represents substantially all of the assets of the issuers or borrowers and the guarantors party thereto (subject to customary exceptions). The obligations under the 9.50% Senior Secured Second Lien Notes due 2027 are secured by a second priority lien (subject to certain permitted liens) on, and on a junior basis with respect to, the collateral securing the obligations under the Credit Agreement, the 5.875% Senior Secured Notes due 2024 and the 7.50% Senior Secured Notes due 2027 and the related guarantees. Our senior unsecured notes are unsecured and effectively subordinated in right of priority to the Credit Agreement, the 5.875% Senior Secured Notes due 2024, the 7.50% Senior Secured Notes due 2027 and the 9.50% Senior Secured Second Lien Notes due 2027, in each case to the extent of the value of the collateral securing such instruments.</w:t>
      </w:r>
    </w:p>
    <w:p>
      <w:pPr>
        <w:spacing w:after="0" w:line="7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aggregate estimated fair value of the Company’s long-term debt, which was estimated using inputs based on quoted market prices for the same or similar debt issuances, was $7.9 billion and $7.4 billion at June 30, 2020 and December 31, 2019, respectively. Based on this valuation methodology, we determined these debt instruments represent Level 2 measurements within the fair value hierarchy.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Company and certain of its subsidiaries are party to a credit agreement (as amended from time to time, the Credit Agreement), which provides for (i) a $1,000.0 million senior secured revolving credit facility (the Revolving Credit Facility) and (ii) a senior secured term loan facility in an initial principal amount of $3,415.0 million (the Term Loan Facility and, together with the Revolving Credit Facility, the Credit Facilities). Current amounts outstanding under the Credit Facilities are set forth in the table above. After giving effect to borrowings under the Revolving Credit Facility and issued and outstanding letters of credit, approximately $696.3 million of remaining credit is available under the Revolving Credit Facility as of June 30, 2020. The Company’s outstanding debt agreements contain a number of restrictive covenants, including certain limitations on the Company’s ability to incur additional indebtedness.</w:t>
      </w:r>
    </w:p>
    <w:p>
      <w:pPr>
        <w:spacing w:after="0" w:line="87" w:lineRule="exact"/>
        <w:rPr>
          <w:sz w:val="20"/>
          <w:szCs w:val="20"/>
          <w:color w:val="auto"/>
        </w:rPr>
      </w:pPr>
    </w:p>
    <w:p>
      <w:pPr>
        <w:ind w:right="2000" w:firstLine="526"/>
        <w:spacing w:after="0" w:line="375" w:lineRule="auto"/>
        <w:rPr>
          <w:sz w:val="20"/>
          <w:szCs w:val="20"/>
          <w:color w:val="auto"/>
        </w:rPr>
      </w:pPr>
      <w:r>
        <w:rPr>
          <w:rFonts w:ascii="Arial" w:cs="Arial" w:eastAsia="Arial" w:hAnsi="Arial"/>
          <w:sz w:val="18"/>
          <w:szCs w:val="18"/>
          <w:color w:val="auto"/>
        </w:rPr>
        <w:t xml:space="preserve">At June 30, 2020 and December 31, 2019, we were in compliance with all covenants contained in the Credit Agreement. </w:t>
      </w:r>
      <w:r>
        <w:rPr>
          <w:rFonts w:ascii="Arial" w:cs="Arial" w:eastAsia="Arial" w:hAnsi="Arial"/>
          <w:sz w:val="18"/>
          <w:szCs w:val="18"/>
          <w:b w:val="1"/>
          <w:bCs w:val="1"/>
          <w:i w:val="1"/>
          <w:iCs w:val="1"/>
          <w:color w:val="auto"/>
        </w:rPr>
        <w:t>Senior Notes and Senior Secured Notes</w:t>
      </w:r>
    </w:p>
    <w:p>
      <w:pPr>
        <w:spacing w:after="0" w:line="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June 2020 Refinancing Transactions (as defined below) resulted in certain changes to our senior notes and senior secured notes that are further described under the heading “Debt Financing Transactions” below.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60" w:firstLine="486"/>
        <w:spacing w:after="0" w:line="255" w:lineRule="auto"/>
        <w:rPr>
          <w:sz w:val="20"/>
          <w:szCs w:val="20"/>
          <w:color w:val="auto"/>
        </w:rPr>
      </w:pPr>
      <w:r>
        <w:rPr>
          <w:rFonts w:ascii="Arial" w:cs="Arial" w:eastAsia="Arial" w:hAnsi="Arial"/>
          <w:sz w:val="18"/>
          <w:szCs w:val="18"/>
          <w:color w:val="auto"/>
        </w:rPr>
        <w:t>Following the June 2020 Refinancing Transactions, our various senior notes and senior secured notes mature between 2022 and 2028. The indentures governing these notes generally allow for redemption prior to maturity, in whole or in part, subject to certain restrictions and limitations described therein, in the following ways:</w:t>
      </w:r>
    </w:p>
    <w:p>
      <w:pPr>
        <w:spacing w:after="0" w:line="3" w:lineRule="exact"/>
        <w:rPr>
          <w:sz w:val="20"/>
          <w:szCs w:val="20"/>
          <w:color w:val="auto"/>
        </w:rPr>
      </w:pPr>
    </w:p>
    <w:p>
      <w:pPr>
        <w:ind w:left="900" w:right="20" w:hanging="244"/>
        <w:spacing w:after="0" w:line="281" w:lineRule="auto"/>
        <w:tabs>
          <w:tab w:leader="none" w:pos="8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Until a date specified in each indenture (the Non-Call Period), the notes may be redeemed, in whole or in part, by paying the sum of: (i) 100% of the principal amount being redeemed, (ii) an applicable make-whole premium as described in each indenture and (iii) accrued and unpaid interest to, but excluding, the redemption date. As of June 30, 2020, the Non-Call Period has expired for each of our notes except for the 7.50% Senior Secured Notes due 2027, the 9.50% Senior Secured Second Lien Notes due 2027 and the 6.00% Senior Notes due 2028.</w:t>
      </w:r>
    </w:p>
    <w:p>
      <w:pPr>
        <w:spacing w:after="0" w:line="2" w:lineRule="exact"/>
        <w:rPr>
          <w:rFonts w:ascii="Arial" w:cs="Arial" w:eastAsia="Arial" w:hAnsi="Arial"/>
          <w:sz w:val="16"/>
          <w:szCs w:val="16"/>
          <w:color w:val="auto"/>
        </w:rPr>
      </w:pPr>
    </w:p>
    <w:p>
      <w:pPr>
        <w:ind w:left="900" w:right="100" w:hanging="244"/>
        <w:spacing w:after="0" w:line="250"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After the Non-Call Period specified in each indenture, the notes may be redeemed, in whole or in part, at redemption prices set forth in each indenture, plus accrued and unpaid interest to, but excluding, the redemption date. The redemption prices for each of our notes vary over time. The redemption prices pursuant to this clause range from 100.000% to 107.125% of principal at June 30, 2020; however, these redemption prices generally decrease to 100% of the principal amount of the applicable notes over time as the notes approach maturity pursuant to a step-down schedule set forth in each of the indentures.</w:t>
      </w:r>
    </w:p>
    <w:p>
      <w:pPr>
        <w:spacing w:after="0" w:line="1" w:lineRule="exact"/>
        <w:rPr>
          <w:rFonts w:ascii="Arial" w:cs="Arial" w:eastAsia="Arial" w:hAnsi="Arial"/>
          <w:sz w:val="18"/>
          <w:szCs w:val="18"/>
          <w:color w:val="auto"/>
        </w:rPr>
      </w:pPr>
    </w:p>
    <w:p>
      <w:pPr>
        <w:ind w:left="900" w:hanging="244"/>
        <w:spacing w:after="0" w:line="271" w:lineRule="auto"/>
        <w:tabs>
          <w:tab w:leader="none" w:pos="8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Until a date specified in each indenture, the notes may be redeemed, in part (up to 35% or 40% of the principal amount outstanding as specified in each indenture), with the net cash proceeds from specified equity offerings at redemption prices set forth in each indenture, plus accrued and unpaid interest to, but excluding, the redemption date. As of June 30, 2020, this clause has expired for each of our notes except for the 7.50% Senior Secured Notes due 2027, the 9.50% Senior Secured Second Lien Notes due 2027 and the 6.00% Senior Notes due 2028, for which the specified redemption premiums are 107.500%, 109.500% and 106.000%, respectively.</w:t>
      </w:r>
    </w:p>
    <w:p>
      <w:pPr>
        <w:spacing w:after="0" w:line="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Following the June 2020 Refinancing Transactions, the indentures governing our various senior secured notes and the 6.00% Senior Notes due 2028 contain affirmative and negative covenants that the Company believes to be usual and customary for similar indentures. Under the senior secured notes indentures, the negative covenants, among other things, restrict the Company’s ability and the ability of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These covenants are subject to a number of exceptions and qualifications, including the fall away or revision of certain of these covenants and release of collateral in the case of the senior secured notes, upon the notes receiving investment grade credit ratings. At June 30, 2020 and December 31, 2019, we were in compliance with all covenants contained in the indentures governing our various senior notes and senior secured notes. As further described under the heading “Debt Financing Transactions” below, we have eliminated substantially all of the restrictive covenants and certain events of default in the indentures governing our senior unsecured notes, except for those in the 6.00% Senior Notes due 2028 indenture.</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other significant changes to our senior notes and senior secured notes since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Transactions</w:t>
      </w:r>
    </w:p>
    <w:p>
      <w:pPr>
        <w:spacing w:after="0" w:line="117" w:lineRule="exact"/>
        <w:rPr>
          <w:sz w:val="20"/>
          <w:szCs w:val="20"/>
          <w:color w:val="auto"/>
        </w:rPr>
      </w:pPr>
    </w:p>
    <w:p>
      <w:pPr>
        <w:ind w:right="260" w:firstLine="526"/>
        <w:spacing w:after="0" w:line="277" w:lineRule="auto"/>
        <w:rPr>
          <w:sz w:val="20"/>
          <w:szCs w:val="20"/>
          <w:color w:val="auto"/>
        </w:rPr>
      </w:pPr>
      <w:r>
        <w:rPr>
          <w:rFonts w:ascii="Arial" w:cs="Arial" w:eastAsia="Arial" w:hAnsi="Arial"/>
          <w:sz w:val="18"/>
          <w:szCs w:val="18"/>
          <w:color w:val="auto"/>
        </w:rPr>
        <w:t>Set forth below are certain disclosures relating to debt financing transactions that occurred during the six months ended June 30, 2020 or the year ended December 31, 2019.</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March 2019 Refinancing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2019, the Company executed certain transactions (the March 2019 Refinancing Transactions) that included:</w:t>
      </w:r>
    </w:p>
    <w:p>
      <w:pPr>
        <w:spacing w:after="0" w:line="23" w:lineRule="exact"/>
        <w:rPr>
          <w:sz w:val="20"/>
          <w:szCs w:val="20"/>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entry into an amendment (the Revolving Credit Facility Amendment) to the Credit Agreement;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$1,500.0 million of 7.50% Senior Secured Notes due 2027;</w:t>
      </w:r>
    </w:p>
    <w:p>
      <w:pPr>
        <w:spacing w:after="0" w:line="9" w:lineRule="exact"/>
        <w:rPr>
          <w:rFonts w:ascii="Arial" w:cs="Arial" w:eastAsia="Arial" w:hAnsi="Arial"/>
          <w:sz w:val="18"/>
          <w:szCs w:val="18"/>
          <w:color w:val="auto"/>
        </w:rPr>
      </w:pPr>
    </w:p>
    <w:p>
      <w:pPr>
        <w:ind w:left="900" w:right="240" w:hanging="244"/>
        <w:spacing w:after="0" w:line="250"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repurchase of $1,642.2 million aggregate principal amount ($1,624.0 million aggregate carrying amount) of certain of the Company’s senior unsecured notes for $1,500.0 million in cash, excluding accrued interest (the Notes Repurchases); and</w:t>
      </w:r>
    </w:p>
    <w:p>
      <w:pPr>
        <w:ind w:left="900" w:right="280" w:hanging="244"/>
        <w:spacing w:after="0" w:line="255"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solicitation of consents from the holders of the existing 7.25% Senior Notes due 2022 and 5.75% Senior Notes due 2022 to certain amendments to the indentures governing such notes, which eliminated substantially all of the restrictive covenants, certain events of default and other provisions contained in each such indenture.</w:t>
      </w:r>
    </w:p>
    <w:p>
      <w:pPr>
        <w:spacing w:after="0" w:line="8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difference between the cash paid and the carrying amount of notes repurchased in the Notes Repurchases resulted in a $124.0 million gain. In connection with the March 2019 Refinancing Transactions, we also incurred costs and fees totaling $26.2 million, of which $4.2 million related to the Notes Repurchases, $19.1 million related to the 7.50% Senior Secured Notes due 2027 issuance and $2.9 million related to the Revolving Credit Facility Amendment. The costs incurred in connection with the Notes Repurchases were charged to expense in the first quarter of 2019 and recorded as a partial offset to the gain. The costs incurred in connection with the 7.50% Senior Secured Notes due 2027 issuance and the Revolving Credit Facility Amendment, together with previously deferred debt issuance costs associated with the Revolving Credit Facility, have been deferred to be amortized as interest expense over the terms of the respective instruments. The net gain resulting from the March 2019 Refinancing Transactions was included in the Gain on extinguishment of debt line item in the Condensed Consolidated Statements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June 2019 Revolving Credit Facility Borrowing</w:t>
      </w:r>
    </w:p>
    <w:p>
      <w:pPr>
        <w:spacing w:after="0" w:line="11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In June 2019, the Company borrowed $300.0 million under the Revolving Credit Facility to be used for purposes consistent with the Company’s capital allocation priorities, including for general corporate purposes.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June 2020 Refinancing</w:t>
      </w:r>
    </w:p>
    <w:p>
      <w:pPr>
        <w:spacing w:after="0" w:line="11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June 2020, the Company executed certain transactions (the June 2020 Refinancing Transactions) that included: (i) the solicitation of consents from the holders of the Old Notes (defined below) to certain amendments to the indentures governing such notes, which, pursuant to a supplemental indenture to each such indenture executed by the respective issuers and guarantors, eliminated substantially all of the restrictive covenants, certain events of default and other provisions contained in each such indenture and (ii) the exchanges (collectively, the Exchange Offers), by certain of the Company’s wholly-owned subsidiaries, of the following:</w:t>
      </w:r>
    </w:p>
    <w:p>
      <w:pPr>
        <w:spacing w:after="0" w:line="3" w:lineRule="exact"/>
        <w:rPr>
          <w:sz w:val="20"/>
          <w:szCs w:val="20"/>
          <w:color w:val="auto"/>
        </w:rPr>
      </w:pPr>
    </w:p>
    <w:p>
      <w:pPr>
        <w:ind w:left="900" w:right="260" w:hanging="244"/>
        <w:spacing w:after="0" w:line="250"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$204.3 million aggregate principal amount of outstanding 5.375% Senior Notes due 2023, issued by Endo Finance LLC (Endo Finance) and Endo Finco Inc. (Endo Finco) (the Old 5.375% 2023 Notes);</w:t>
      </w:r>
    </w:p>
    <w:p>
      <w:pPr>
        <w:ind w:left="900" w:right="200" w:hanging="244"/>
        <w:spacing w:after="0" w:line="250"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$1,383.4 million aggregate principal amount of outstanding 6.00% Senior Notes due 2023, co-issued by Endo Designated Activity Company (Endo DAC), Endo Finance and Endo Finco (the Old 6.00% 2023 Notes); and</w:t>
      </w:r>
    </w:p>
    <w:p>
      <w:pPr>
        <w:ind w:left="900" w:right="200" w:hanging="244"/>
        <w:spacing w:after="0" w:line="290" w:lineRule="auto"/>
        <w:tabs>
          <w:tab w:leader="none" w:pos="8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$1,178.4 million aggregate principal amount of outstanding 6.00% Senior Notes due 2025, co-issued by Endo DAC, Endo Finance and Endo Finco (the Old 6.00% 2025 Notes, and collectively with the Old 5.375% 2023 Notes and Old 6.00% 2023 Notes, the Old Notes)</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ind w:left="900" w:right="220" w:hanging="244"/>
        <w:spacing w:after="0" w:line="250"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$515.5 million aggregate principal amount of additional 7.50% Senior Secured Notes due 2027 issued by Par Pharmaceutical, Inc. (PPI) (the Additional 7.50% Senior Secured Notes due 2027);</w:t>
      </w:r>
    </w:p>
    <w:p>
      <w:pPr>
        <w:ind w:left="900" w:right="80" w:hanging="244"/>
        <w:spacing w:after="0" w:line="250"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$940.6 million aggregate principal amount of new 9.50% Senior Secured Second Lien Notes due 2027 co-issued by Endo DAC, Endo Finance and Endo Finco (together with the Additional 7.50% Senior Secured Notes due 2027, the New Secured Notes);</w:t>
      </w:r>
    </w:p>
    <w:p>
      <w:pPr>
        <w:ind w:left="900" w:right="140" w:hanging="244"/>
        <w:spacing w:after="0" w:line="250"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$1,260.4 million aggregate principal amount of new 6.00% Senior Notes due 2028 co-issued by Endo DAC, Endo Finance and Endo Finco (collectively with the Additional 7.50% Senior Secured Notes due 2027 and the 9.50% Senior Secured Second Lien Notes due 2027, the New Senior Notes); and</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$47.2 million in cash.</w:t>
      </w:r>
    </w:p>
    <w:p>
      <w:pPr>
        <w:spacing w:after="0" w:line="10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New Senior Notes were issued in a private offering to “qualified institutional buyers” (as defined in Rule 144A under the Securities Act) and outside the U.S. to non-U.S. persons in compliance with Regulation S under the Securities Act.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Additional 7.50% Senior Secured Notes due 2027 are an additional issuance of our existing $1,500.0 million aggregate principal amount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7.50% Senior Secured Notes due 2027 issued on March 28, 2019, which we refer to collectively as the 7.50% Senior Secured Notes due 2027. The 7.50%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Notes due 2027 are guaranteed on a senior secured basis by the Company and its subsidiaries that also guarantee the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Guarantors). The 7.50% Senior Secured Notes due 2027 are senior secured obligations of PPI and the Guarantors and are secured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same collateral that secures the Credit Agreement and the Company’s existing senior secured notes. Interest on the Additional 7.50% Senior Secured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2027 is payable semiannually in arrears on April 1 and October 1 of each year, beginning on October 1, 2020.</w:t>
      </w:r>
    </w:p>
    <w:p>
      <w:pPr>
        <w:spacing w:after="0" w:line="103" w:lineRule="exact"/>
        <w:rPr>
          <w:sz w:val="20"/>
          <w:szCs w:val="20"/>
          <w:color w:val="auto"/>
        </w:rPr>
      </w:pPr>
    </w:p>
    <w:p>
      <w:pPr>
        <w:ind w:right="700" w:firstLine="486"/>
        <w:spacing w:after="0" w:line="291" w:lineRule="auto"/>
        <w:rPr>
          <w:sz w:val="20"/>
          <w:szCs w:val="20"/>
          <w:color w:val="auto"/>
        </w:rPr>
      </w:pPr>
      <w:r>
        <w:rPr>
          <w:rFonts w:ascii="Arial" w:cs="Arial" w:eastAsia="Arial" w:hAnsi="Arial"/>
          <w:sz w:val="16"/>
          <w:szCs w:val="16"/>
          <w:color w:val="auto"/>
        </w:rPr>
        <w:t>The 7.50% Senior Secured Notes due 2027 will mature on April 1, 2027; however, the indenture governing these notes generally allows for redemption prior to maturity, in whole or in part, subject to certain restrictions and limitations described therein, in the following ways:</w:t>
      </w:r>
    </w:p>
    <w:p>
      <w:pPr>
        <w:ind w:left="900" w:right="20" w:hanging="244"/>
        <w:spacing w:after="0" w:line="250"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Before April 1, 2022, the 7.50% Senior Secured Notes due 2027 may be redeemed, in whole or in part, by paying the sum of: (i) 100% of the principal amount being redeemed, (ii) an applicable make-whole premium as described in the indenture and (iii) accrued and unpaid interest to, but excluding, the redemption date.</w:t>
      </w:r>
    </w:p>
    <w:p>
      <w:pPr>
        <w:spacing w:after="0" w:line="1" w:lineRule="exact"/>
        <w:rPr>
          <w:rFonts w:ascii="Arial" w:cs="Arial" w:eastAsia="Arial" w:hAnsi="Arial"/>
          <w:sz w:val="18"/>
          <w:szCs w:val="18"/>
          <w:color w:val="auto"/>
        </w:rPr>
      </w:pPr>
    </w:p>
    <w:p>
      <w:pPr>
        <w:ind w:left="900" w:right="40" w:hanging="244"/>
        <w:spacing w:after="0" w:line="250"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or after April 1, 2022, the 7.50% Senior Secured Notes due 2027 may be redeemed, in whole or in part, at redemption prices set forth in the indenture, plus accrued and unpaid interest to, but excluding, the redemption date. The redemption prices for the 7.50% Senior Secured Notes due 2027 vary over time pursuant to a step-down schedule set forth in the indenture, beginning at 105.625% of the principal amount redeemed and decreasing to 100% by April 1, 2025.</w:t>
      </w:r>
    </w:p>
    <w:p>
      <w:pPr>
        <w:spacing w:after="0" w:line="1" w:lineRule="exact"/>
        <w:rPr>
          <w:rFonts w:ascii="Arial" w:cs="Arial" w:eastAsia="Arial" w:hAnsi="Arial"/>
          <w:sz w:val="18"/>
          <w:szCs w:val="18"/>
          <w:color w:val="auto"/>
        </w:rPr>
      </w:pPr>
    </w:p>
    <w:p>
      <w:pPr>
        <w:ind w:left="900" w:right="100" w:hanging="244"/>
        <w:spacing w:after="0" w:line="255"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Before April 1, 2022, the 7.50% Senior Secured Notes due 2027 may be redeemed, in part (up to 35% of the principal amount outstanding) with the net cash proceeds from specified equity offerings at 107.500% of the principal amount redeemed, plus accrued and unpaid interest to, but excluding, the redemption date.</w:t>
      </w:r>
    </w:p>
    <w:p>
      <w:pPr>
        <w:spacing w:after="0" w:line="8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9.50% Senior Secured Second Lien Notes due 2027 are guaranteed on a senior secured second lien basis by the Company and the Guarantors. The 9.50% Senior Secured Second Lien Notes due 2027 are senior secured second lien obligations of Endo DAC, Endo Finance, Endo Finco and the Guarantors and are secured by a second priority lien on, and on a junior basis with respect to, the same collateral that secures the Credit Agreement and the Company’s existing senior secured notes. Interest on the 9.50% Senior Secured Second Lien Notes due 2027 is payable semiannually in arrears on January 31 and July 31 of each year, beginning on January 31, 2021.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00" w:firstLine="486"/>
        <w:spacing w:after="0" w:line="291" w:lineRule="auto"/>
        <w:rPr>
          <w:sz w:val="20"/>
          <w:szCs w:val="20"/>
          <w:color w:val="auto"/>
        </w:rPr>
      </w:pPr>
      <w:r>
        <w:rPr>
          <w:rFonts w:ascii="Arial" w:cs="Arial" w:eastAsia="Arial" w:hAnsi="Arial"/>
          <w:sz w:val="16"/>
          <w:szCs w:val="16"/>
          <w:color w:val="auto"/>
        </w:rPr>
        <w:t>The 9.50% Senior Secured Second Lien Notes due 2027 will mature on July 31, 2027; however, the indenture governing these notes generally allows for redemption prior to maturity, in whole or in part, subject to certain restrictions and limitations described therein, in the following ways:</w:t>
      </w:r>
    </w:p>
    <w:p>
      <w:pPr>
        <w:ind w:left="900" w:right="140" w:hanging="244"/>
        <w:spacing w:after="0" w:line="250"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Before July 31, 2023, the 9.50% Senior Secured Second Lien Notes due 2027 may be redeemed, in whole or in part, by paying the sum of: (i) 100% of the principal amount being redeemed, (ii) an applicable make-whole premium as described in the indenture and (iii) accrued and unpaid interest to, but excluding, the redemption date.</w:t>
      </w:r>
    </w:p>
    <w:p>
      <w:pPr>
        <w:spacing w:after="0" w:line="1" w:lineRule="exact"/>
        <w:rPr>
          <w:rFonts w:ascii="Arial" w:cs="Arial" w:eastAsia="Arial" w:hAnsi="Arial"/>
          <w:sz w:val="18"/>
          <w:szCs w:val="18"/>
          <w:color w:val="auto"/>
        </w:rPr>
      </w:pPr>
    </w:p>
    <w:p>
      <w:pPr>
        <w:ind w:left="900" w:right="60" w:hanging="244"/>
        <w:spacing w:after="0" w:line="250"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or after July 31, 2023, the 9.50% Senior Secured Second Lien Notes due 2027 may be redeemed, in whole or in part, at redemption prices set forth in the indenture, plus accrued and unpaid interest to, but excluding, the redemption date. The redemption prices for the 9.50% Senior Secured Second Lien Notes due 2027 vary over time pursuant to a step-down schedule set forth in the indenture, beginning at 107.125% of the principal amount redeemed and decreasing to 100% by July 31, 2026.</w:t>
      </w:r>
    </w:p>
    <w:p>
      <w:pPr>
        <w:spacing w:after="0" w:line="1" w:lineRule="exact"/>
        <w:rPr>
          <w:rFonts w:ascii="Arial" w:cs="Arial" w:eastAsia="Arial" w:hAnsi="Arial"/>
          <w:sz w:val="18"/>
          <w:szCs w:val="18"/>
          <w:color w:val="auto"/>
        </w:rPr>
      </w:pPr>
    </w:p>
    <w:p>
      <w:pPr>
        <w:ind w:left="900" w:right="320" w:hanging="244"/>
        <w:spacing w:after="0" w:line="255"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Before July 31, 2023, the 9.50% Senior Secured Second Lien Notes due 2027 may be redeemed, in part (up to 40% of the principal amount outstanding) with the net cash proceeds from specified equity offerings at 109.500% of the principal amount redeemed, plus accrued and unpaid interest to, but excluding, the redemption date.</w:t>
      </w:r>
    </w:p>
    <w:p>
      <w:pPr>
        <w:spacing w:after="0" w:line="82"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The 6.00% Senior Notes due 2028 are unsecured and effectively subordinated to all of our existing and future secured indebtedness (including the obligations under the Credit Agreement, the existing secured notes and the New Secured Notes) to the extent of the value of the collateral securing such instruments. Interest on the 6.00% Senior Notes due 2028 is payable semiannually in arrears on June 30 and December 30 of each year, beginning on December 30, 2020.</w:t>
      </w:r>
    </w:p>
    <w:p>
      <w:pPr>
        <w:spacing w:after="0" w:line="79"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The 6.00% Senior Notes due 2028 will mature on June 30, 2028; however, the indenture governing these notes generally allows for redemption prior to maturity, in whole or in part, subject to certain restrictions and limitations described therein, in the following ways:</w:t>
      </w:r>
    </w:p>
    <w:p>
      <w:pPr>
        <w:spacing w:after="0" w:line="1" w:lineRule="exact"/>
        <w:rPr>
          <w:sz w:val="20"/>
          <w:szCs w:val="20"/>
          <w:color w:val="auto"/>
        </w:rPr>
      </w:pPr>
    </w:p>
    <w:p>
      <w:pPr>
        <w:ind w:left="900" w:right="80" w:hanging="244"/>
        <w:spacing w:after="0" w:line="250"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June 30, 2023, the 6.00% Senior Notes due 2028 may be redeemed, in whole or in part, by paying the sum of: (i) 100% of the principal amount being redeemed, (ii) an applicable make-whole premium as described in the indenture and (iii) accrued and unpaid interest to, but excluding, the redemption date.</w:t>
      </w:r>
    </w:p>
    <w:p>
      <w:pPr>
        <w:spacing w:after="0" w:line="1" w:lineRule="exact"/>
        <w:rPr>
          <w:rFonts w:ascii="Arial" w:cs="Arial" w:eastAsia="Arial" w:hAnsi="Arial"/>
          <w:sz w:val="18"/>
          <w:szCs w:val="18"/>
          <w:color w:val="auto"/>
        </w:rPr>
      </w:pPr>
    </w:p>
    <w:p>
      <w:pPr>
        <w:ind w:left="900" w:right="40" w:hanging="244"/>
        <w:spacing w:after="0" w:line="250"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or after June 30, 2023, the 6.00% Senior Notes due 2028 may be redeemed, in whole or in part, at redemption prices set forth in the indenture, plus accrued and unpaid interest to, but excluding, the redemption date. The redemption prices for the 6.00% Senior Notes due 2028 vary over time pursuant to a step-down schedule set forth in the indenture, beginning at 104.500% of the principal amount redeemed and decreasing to 100% by June 30, 2026.</w:t>
      </w:r>
    </w:p>
    <w:p>
      <w:pPr>
        <w:spacing w:after="0" w:line="1" w:lineRule="exact"/>
        <w:rPr>
          <w:rFonts w:ascii="Arial" w:cs="Arial" w:eastAsia="Arial" w:hAnsi="Arial"/>
          <w:sz w:val="18"/>
          <w:szCs w:val="18"/>
          <w:color w:val="auto"/>
        </w:rPr>
      </w:pPr>
    </w:p>
    <w:p>
      <w:pPr>
        <w:ind w:left="900" w:right="20" w:hanging="244"/>
        <w:spacing w:after="0" w:line="255"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June 30, 2023, the 6.00% Senior Notes due 2028 may be redeemed, in part (up to 40% of the principal amount outstanding) with the net cash proceeds from specified equity offerings at 106.000% of the principal amount redeemed, plus accrued and unpaid interest to, but excluding, the redemption date.</w:t>
      </w:r>
    </w:p>
    <w:p>
      <w:pPr>
        <w:spacing w:after="0" w:line="82"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June 2020 Refinancing Transactions were accounted for as debt modifications. Previously deferred and unamortized amounts associated with the Old Notes exchanged will be amortized over the respective terms of the New Senior Notes. In connection with the June 2020 Refinancing Transactions, we incurred fees to third parties of approximately $30.7 million, which were charged to expense in the second quarter of 2020 and included in Selling, general and administrative expenses in the Condensed Consolidated Statements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as of June 30, 2020, the maturities on our long-term debt for each of the five fiscal years subsequent to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9"/>
              </w:rPr>
              <w:t>Maturities (1)(2)</w:t>
            </w:r>
          </w:p>
        </w:tc>
      </w:tr>
      <w:tr>
        <w:trPr>
          <w:trHeight w:val="249"/>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34,150</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34,150</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247,723</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96,713</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3,770,225</w:t>
            </w:r>
          </w:p>
        </w:tc>
      </w:tr>
      <w:tr>
        <w:trPr>
          <w:trHeight w:val="27"/>
        </w:trPr>
        <w:tc>
          <w:tcPr>
            <w:tcW w:w="9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00" w:right="20" w:hanging="330"/>
        <w:spacing w:after="0" w:line="241" w:lineRule="auto"/>
        <w:tabs>
          <w:tab w:leader="none" w:pos="492" w:val="left"/>
        </w:tabs>
        <w:numPr>
          <w:ilvl w:val="0"/>
          <w:numId w:val="21"/>
        </w:numPr>
        <w:rPr>
          <w:rFonts w:ascii="Arial" w:cs="Arial" w:eastAsia="Arial" w:hAnsi="Arial"/>
          <w:sz w:val="14"/>
          <w:szCs w:val="14"/>
          <w:color w:val="auto"/>
        </w:rPr>
      </w:pPr>
      <w:r>
        <w:rPr>
          <w:rFonts w:ascii="Arial" w:cs="Arial" w:eastAsia="Arial" w:hAnsi="Arial"/>
          <w:sz w:val="14"/>
          <w:szCs w:val="14"/>
          <w:color w:val="auto"/>
        </w:rPr>
        <w:t>Certain amounts borrowed pursuant to the Credit Facilities will immediately mature if certain of our senior notes are not refinanced or repaid in full prior to the date that is 91 days prior to the respective stated maturity dates thereof. Accordingly, we may seek to repay or refinance certain senior notes prior to their stated maturity dates. The amounts in this maturities table do not reflect any such early repayment or refinancing; rather, they reflect stated maturity dates.</w:t>
      </w:r>
    </w:p>
    <w:p>
      <w:pPr>
        <w:spacing w:after="0" w:line="1" w:lineRule="exact"/>
        <w:rPr>
          <w:rFonts w:ascii="Arial" w:cs="Arial" w:eastAsia="Arial" w:hAnsi="Arial"/>
          <w:sz w:val="14"/>
          <w:szCs w:val="14"/>
          <w:color w:val="auto"/>
        </w:rPr>
      </w:pPr>
    </w:p>
    <w:p>
      <w:pPr>
        <w:ind w:left="500" w:right="440" w:hanging="330"/>
        <w:spacing w:after="0" w:line="241" w:lineRule="auto"/>
        <w:tabs>
          <w:tab w:leader="none" w:pos="492" w:val="left"/>
        </w:tabs>
        <w:numPr>
          <w:ilvl w:val="0"/>
          <w:numId w:val="21"/>
        </w:numPr>
        <w:rPr>
          <w:rFonts w:ascii="Arial" w:cs="Arial" w:eastAsia="Arial" w:hAnsi="Arial"/>
          <w:sz w:val="14"/>
          <w:szCs w:val="14"/>
          <w:color w:val="auto"/>
        </w:rPr>
      </w:pPr>
      <w:r>
        <w:rPr>
          <w:rFonts w:ascii="Arial" w:cs="Arial" w:eastAsia="Arial" w:hAnsi="Arial"/>
          <w:sz w:val="14"/>
          <w:szCs w:val="14"/>
          <w:color w:val="auto"/>
        </w:rPr>
        <w:t>With respect to the notes issued or exchanged as part of the Exchange Offers, amounts included in the table above represent maturities as of June 30, 2020 after giving effect to the Exchange Offers.</w:t>
      </w:r>
    </w:p>
    <w:p>
      <w:pPr>
        <w:ind w:left="480" w:hanging="310"/>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With respect to the Term Loan Facility, amounts in 2020 include both payments made through June 30, 2020 and expected payments for the remainder of 2020.</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on the Company’s borrowings under the Revolving Credit Facility that were outstanding at June 30, 2020, $22.8 million will mature in 2022, with the remainder maturing in 2024.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Investigations</w:t>
      </w:r>
    </w:p>
    <w:p>
      <w:pPr>
        <w:spacing w:after="0" w:line="117"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We and certain of our subsidiaries are involved in various claims, legal proceedings and internal and governmental investigations (collectively, proceedings) that arise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 adverse outcome in any of these proceedings could have a material adverse effect on our business, financial condition, results of operations and cash flows. Matters that are not being disclosed herein are, in the opinion of our management, immaterial both individually and in the aggregate with respect to our financial position, results of operations and cash flows. If and when such matters, in the opinion of our management, become material, either individually or in the aggregate, we will disclose them.</w:t>
      </w:r>
    </w:p>
    <w:p>
      <w:pPr>
        <w:spacing w:after="0" w:line="8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 xml:space="preserve">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 Amounts recovered under our insurance policies could be materially less than stated coverage limits and may not be adequate to cover damages, other relief and/or costs relating to claims. In addition, there is no guarantee that insurers will pay claims or that coverage will otherwise be available. </w:t>
      </w:r>
      <w:r>
        <w:rPr>
          <w:rFonts w:ascii="Arial" w:cs="Arial" w:eastAsia="Arial" w:hAnsi="Arial"/>
          <w:sz w:val="17"/>
          <w:szCs w:val="17"/>
          <w:color w:val="212529"/>
        </w:rPr>
        <w:t>See the risk factor “We may not have and may be unable to obtain or maintain insurance adequate to cover potential liabilities”</w:t>
      </w:r>
      <w:r>
        <w:rPr>
          <w:rFonts w:ascii="Arial" w:cs="Arial" w:eastAsia="Arial" w:hAnsi="Arial"/>
          <w:sz w:val="17"/>
          <w:szCs w:val="17"/>
          <w:color w:val="auto"/>
        </w:rPr>
        <w:t xml:space="preserve"> in the Annual Report for more information.</w:t>
      </w:r>
    </w:p>
    <w:p>
      <w:pPr>
        <w:spacing w:after="0" w:line="70"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As of June 30, 2020, our accrual for loss contingencies totaled $418.9 million, the most significant components of which relate to product liability and related matters associated with transvaginal surgical mesh products, which we have not sold since March 2016. Although we believe there is a reasonable possibility that a loss in excess of the amount recognized exists, we are unable to estimate the possible loss or range of loss in excess of the amount recognized at this time. While the timing of the resolution of certain of the matters accrued for as loss contingencies remains uncertain and could extend beyond 12 months, as of June 30, 2020, the entire liability accrual amount is classified in the Current portion of legal settlement accrual in the Condensed Consolidated Balance Sheets.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Vaginal Mesh Matters</w:t>
      </w:r>
    </w:p>
    <w:p>
      <w:pPr>
        <w:spacing w:after="0" w:line="117" w:lineRule="exact"/>
        <w:rPr>
          <w:sz w:val="20"/>
          <w:szCs w:val="20"/>
          <w:color w:val="auto"/>
        </w:rPr>
      </w:pPr>
    </w:p>
    <w:p>
      <w:pPr>
        <w:ind w:right="220" w:firstLine="486"/>
        <w:spacing w:after="0" w:line="272" w:lineRule="auto"/>
        <w:rPr>
          <w:sz w:val="20"/>
          <w:szCs w:val="20"/>
          <w:color w:val="auto"/>
        </w:rPr>
      </w:pPr>
      <w:r>
        <w:rPr>
          <w:rFonts w:ascii="Arial" w:cs="Arial" w:eastAsia="Arial" w:hAnsi="Arial"/>
          <w:sz w:val="17"/>
          <w:szCs w:val="17"/>
          <w:color w:val="auto"/>
        </w:rPr>
        <w:t xml:space="preserve">Since 2008, we and certain of our subsidiaries, including American Medical Systems Holdings, Inc. (AMS) (subsequently converted to Astora Women’s Health Holding LLC and merged into Astora Women’s Health LLC and referred to herein as AMS and/or Astora), have been named as defendants in multiple lawsuits in various state and federal courts in the U.S. (including a federal multidistrict litigation (MDL) in the U.S. District Court for the Southern District of West Virginia), and in Canada, Australia and other countries, alleging personal injury resulting from the use of transvaginal surgical mesh products designed to treat pelvic organ prolapse (POP) and stress urinary incontinence (SUI). Our subsidiaries have not sold such products </w:t>
      </w:r>
      <w:r>
        <w:rPr>
          <w:rFonts w:ascii="Arial" w:cs="Arial" w:eastAsia="Arial" w:hAnsi="Arial"/>
          <w:sz w:val="17"/>
          <w:szCs w:val="17"/>
          <w:color w:val="212529"/>
        </w:rPr>
        <w:t xml:space="preserve">since March 2016. </w:t>
      </w:r>
      <w:r>
        <w:rPr>
          <w:rFonts w:ascii="Arial" w:cs="Arial" w:eastAsia="Arial" w:hAnsi="Arial"/>
          <w:sz w:val="17"/>
          <w:szCs w:val="17"/>
          <w:color w:val="000000"/>
        </w:rPr>
        <w:t>Plaintiffs claim a variety of personal injuries, including chronic pain, incontinence, inability to control bowel function and permanent</w:t>
      </w:r>
      <w:r>
        <w:rPr>
          <w:rFonts w:ascii="Arial" w:cs="Arial" w:eastAsia="Arial" w:hAnsi="Arial"/>
          <w:sz w:val="17"/>
          <w:szCs w:val="17"/>
          <w:color w:val="212529"/>
        </w:rPr>
        <w:t xml:space="preserve"> </w:t>
      </w:r>
      <w:r>
        <w:rPr>
          <w:rFonts w:ascii="Arial" w:cs="Arial" w:eastAsia="Arial" w:hAnsi="Arial"/>
          <w:sz w:val="17"/>
          <w:szCs w:val="17"/>
          <w:color w:val="000000"/>
        </w:rPr>
        <w:t>deformities, and seek compensatory and punitive damages, where available.</w:t>
      </w:r>
    </w:p>
    <w:p>
      <w:pPr>
        <w:spacing w:after="0" w:line="6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Various Master Settlement Agreements (MSAs) and other agreements have resolved approximately 71,000 filed and unfiled U.S. mesh claims. These MSAs and other agreements were entered into at various times between June 2013 and the present, were solely by way of compromise and settlement and were not in any way an admission of liability or fault by us or any of our subsidiaries. All MSAs are subject to a process that includes guidelines and procedures for administering the settlements and the release of funds. In certain cases, the MSAs provide for the creation of QSFs into which the settlement funds will be deposited, establish participation requirements and allow for a reduction of the total settlement payment in the event participation thresholds are not met.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agreements.</w:t>
      </w:r>
    </w:p>
    <w:p>
      <w:pPr>
        <w:spacing w:after="0" w:line="77"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In October 2019, the Ontario Superior Court of Justice approved a class action settlement covering unresolved claims by Canadian women implanted with an AMS vaginal mesh device. Astora funded the settlement in February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changes in the QSFs and mesh liability accrual balances during the six months ended June 30, 2020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Qualified Settlement</w:t>
            </w:r>
          </w:p>
        </w:tc>
        <w:tc>
          <w:tcPr>
            <w:tcW w:w="180" w:type="dxa"/>
            <w:vAlign w:val="bottom"/>
          </w:tcPr>
          <w:p>
            <w:pPr>
              <w:spacing w:after="0"/>
              <w:rPr>
                <w:sz w:val="14"/>
                <w:szCs w:val="14"/>
                <w:color w:val="auto"/>
              </w:rPr>
            </w:pPr>
          </w:p>
        </w:tc>
        <w:tc>
          <w:tcPr>
            <w:tcW w:w="1180" w:type="dxa"/>
            <w:vAlign w:val="bottom"/>
          </w:tcPr>
          <w:p>
            <w:pPr>
              <w:jc w:val="right"/>
              <w:ind w:right="135"/>
              <w:spacing w:after="0"/>
              <w:rPr>
                <w:sz w:val="20"/>
                <w:szCs w:val="20"/>
                <w:color w:val="auto"/>
              </w:rPr>
            </w:pPr>
            <w:r>
              <w:rPr>
                <w:rFonts w:ascii="Arial" w:cs="Arial" w:eastAsia="Arial" w:hAnsi="Arial"/>
                <w:sz w:val="14"/>
                <w:szCs w:val="14"/>
                <w:b w:val="1"/>
                <w:bCs w:val="1"/>
                <w:color w:val="auto"/>
              </w:rPr>
              <w:t>Mesh Liability</w:t>
            </w:r>
          </w:p>
        </w:tc>
      </w:tr>
      <w:tr>
        <w:trPr>
          <w:trHeight w:val="192"/>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Funds</w:t>
            </w:r>
          </w:p>
        </w:tc>
        <w:tc>
          <w:tcPr>
            <w:tcW w:w="180" w:type="dxa"/>
            <w:vAlign w:val="bottom"/>
          </w:tcPr>
          <w:p>
            <w:pPr>
              <w:spacing w:after="0"/>
              <w:rPr>
                <w:sz w:val="16"/>
                <w:szCs w:val="16"/>
                <w:color w:val="auto"/>
              </w:rPr>
            </w:pPr>
          </w:p>
        </w:tc>
        <w:tc>
          <w:tcPr>
            <w:tcW w:w="1180" w:type="dxa"/>
            <w:vAlign w:val="bottom"/>
          </w:tcPr>
          <w:p>
            <w:pPr>
              <w:jc w:val="right"/>
              <w:ind w:right="355"/>
              <w:spacing w:after="0"/>
              <w:rPr>
                <w:sz w:val="20"/>
                <w:szCs w:val="20"/>
                <w:color w:val="auto"/>
              </w:rPr>
            </w:pPr>
            <w:r>
              <w:rPr>
                <w:rFonts w:ascii="Arial" w:cs="Arial" w:eastAsia="Arial" w:hAnsi="Arial"/>
                <w:sz w:val="14"/>
                <w:szCs w:val="14"/>
                <w:b w:val="1"/>
                <w:bCs w:val="1"/>
                <w:color w:val="auto"/>
              </w:rPr>
              <w:t>Accrual</w:t>
            </w:r>
          </w:p>
        </w:tc>
      </w:tr>
      <w:tr>
        <w:trPr>
          <w:trHeight w:val="249"/>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242,842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454,031</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Additional charges</w:t>
            </w:r>
          </w:p>
        </w:tc>
        <w:tc>
          <w:tcPr>
            <w:tcW w:w="2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30,454</w:t>
            </w: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distributions to settle disputes from Qualified Settlement Funds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(67,733)</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Cash distributions to settle disputes</w:t>
            </w:r>
          </w:p>
        </w:tc>
        <w:tc>
          <w:tcPr>
            <w:tcW w:w="2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(18,165)</w:t>
            </w: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(1)</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w:t>
            </w:r>
          </w:p>
        </w:tc>
      </w:tr>
      <w:tr>
        <w:trPr>
          <w:trHeight w:val="263"/>
        </w:trPr>
        <w:tc>
          <w:tcPr>
            <w:tcW w:w="8440" w:type="dxa"/>
            <w:vAlign w:val="bottom"/>
          </w:tcPr>
          <w:p>
            <w:pPr>
              <w:ind w:left="20"/>
              <w:spacing w:after="0"/>
              <w:rPr>
                <w:sz w:val="20"/>
                <w:szCs w:val="20"/>
                <w:color w:val="auto"/>
              </w:rPr>
            </w:pPr>
            <w:r>
              <w:rPr>
                <w:rFonts w:ascii="Arial" w:cs="Arial" w:eastAsia="Arial" w:hAnsi="Arial"/>
                <w:sz w:val="18"/>
                <w:szCs w:val="18"/>
                <w:color w:val="auto"/>
              </w:rPr>
              <w:t>Balance as of June 30, 2020</w:t>
            </w: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175,793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398,463</w:t>
            </w:r>
          </w:p>
        </w:tc>
      </w:tr>
      <w:tr>
        <w:trPr>
          <w:trHeight w:val="21"/>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jc w:val="both"/>
        <w:ind w:left="500" w:right="140" w:hanging="330"/>
        <w:spacing w:after="0" w:line="248" w:lineRule="auto"/>
        <w:tabs>
          <w:tab w:leader="none" w:pos="492"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deposited in the QSFs may earn interest, which is generally used to pay administrative costs of the fund and is reflected in the table above as an increase to the QSF and Mesh Liability Accrual balances.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87"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6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As of June 30, 2020, the Company has made total cumulative mesh liability payments of approximately $3.6 billion, $175.8 million of which remains in the QSFs as of June 30, 2020. We currently expect to fund the remaining payments under all previously executed settlement agreements into the QSFs during 2020. As funds are disbursed out of the QSFs from time to time, the liability accrual will be reduced accordingly with a corresponding reduction to restricted cash and cash equivalents. In addition, we may pay cash distributions to settle disputes separate from the QSFs, which will also decrease the liability accrual and decrease cash and cash equivalents.</w:t>
      </w:r>
    </w:p>
    <w:p>
      <w:pPr>
        <w:spacing w:after="0" w:line="80"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have subsequently received additional subpoenas from California and other states. We are cooperating with the investigations.</w:t>
      </w:r>
    </w:p>
    <w:p>
      <w:pPr>
        <w:spacing w:after="0" w:line="41"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The MDL court has been remanding MDL cases to their districts of origin for further proceedings. Other cases are proceeding in various state and federal courts. The earliest trial is currently scheduled for November 2020; however, trials may occur earlier or later as timing remains uncertain due to the impact of COVID-19 and other factors. 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68"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Although the Company believes it has appropriately estimated the probable total amount of loss associated with all mesh-related matters as of the date of this report, litigation is ongoing in certain cases that have not settled, and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Opioid-Related Matters</w:t>
      </w:r>
    </w:p>
    <w:p>
      <w:pPr>
        <w:spacing w:after="0" w:line="117"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Since 2014, multiple U.S. states as well as other governmental persons or entities and private plaintiffs in the U.S. and Canada have filed suit against us and/or certain of our subsidiaries, including Endo Health Solutions Inc. (EHSI), Endo Pharmaceuticals Inc. (EPI), PPI, Par Pharmaceutical Companies, Inc. (PPCI), Endo Generics Holdings, Inc. (EGHI), Vintage Pharmaceuticals, LLC, Generics Bidco I, LLC and DAVA Pharmaceuticals, LLC, and in Canada, Paladin, as well as various other manufacturers, distributors, pharmacies and/or others, asserting claims relating to defendants’ alleged sales, marketing and/or distribution practices with respect to prescription opioid medications, including certain of our products. As of July 30, 2020, filed cases in the U.S. of which we were aware include, but are not limited to, approximately 20 cases filed by or on behalf of states; approximately 2,840 cases filed by counties, cities, Native American tribes and/or other government-related persons or entities; approximately 290 cases filed by hospitals, health systems, unions, health and welfare funds or other third-party payers and approximately 165 cases filed by individuals. Certain of the cases have been filed as putative class actions. The Canadian cases include an action filed by British Columbia on behalf of a proposed class of all federal, provincial and territorial governments and agencies in Canada that paid healthcare, pharmaceutical and treatment costs related to opioids, an action filed by the City of Grand Prairie, Alberta on behalf of a proposed class of all local or municipal governments in Canada, as well as three additional putative class actions, filed in Ontario, Quebec and British Columbia, seeking relief on behalf of Canadian residents who were prescribed and/or consumed opioid medications.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45" w:lineRule="auto"/>
        <w:rPr>
          <w:sz w:val="20"/>
          <w:szCs w:val="20"/>
          <w:color w:val="auto"/>
        </w:rPr>
      </w:pPr>
      <w:r>
        <w:rPr>
          <w:rFonts w:ascii="Arial" w:cs="Arial" w:eastAsia="Arial" w:hAnsi="Arial"/>
          <w:sz w:val="18"/>
          <w:szCs w:val="18"/>
          <w:color w:val="auto"/>
        </w:rPr>
        <w:t>Many of the U.S. cases have been coordinated in a federal MDL pending in the U.S. District Court for the Northern District of Ohio. Other cases are pending in various federal or state courts. The cases are at various stages in the litigation process. The first MDL trial, relating to the claims of two Ohio counties (Track One plaintiffs), was set for October 2019 but did not go forward after most defendants settled. EPI, EHSI, PPI and PPCI executed a settlement agreement with the Track One plaintiffs in September 2019 which provided for payments totaling $10 million and up to $1 million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and/or ADRENALIN</w:t>
      </w:r>
      <w:r>
        <w:rPr>
          <w:rFonts w:ascii="Arial" w:cs="Arial" w:eastAsia="Arial" w:hAnsi="Arial"/>
          <w:sz w:val="23"/>
          <w:szCs w:val="23"/>
          <w:color w:val="auto"/>
          <w:vertAlign w:val="superscript"/>
        </w:rPr>
        <w:t>®</w:t>
      </w:r>
      <w:r>
        <w:rPr>
          <w:rFonts w:ascii="Arial" w:cs="Arial" w:eastAsia="Arial" w:hAnsi="Arial"/>
          <w:sz w:val="18"/>
          <w:szCs w:val="18"/>
          <w:color w:val="auto"/>
        </w:rPr>
        <w:t>. Under the settlement agreement, the Track One plaintiffs may be entitled to additional payments in the event of a comprehensive resolution of government-related opioid claims. The settlement agreement was solely by way of compromise and settlement and was not in any way an admission of liability or fault by us or any of our subsidiaries. The earliest trial is currently scheduled for September 2020; however, trials may occur earlier or later as timing remains uncertain due to the impact of COVID-19 and other factors. Most cases remain at the pleading and/or discovery stage.</w:t>
      </w:r>
    </w:p>
    <w:p>
      <w:pPr>
        <w:spacing w:after="0" w:line="9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have generally sought various remedies including, without limitation, declaratory and/or injunctive relief; compensatory, punitive and/or treble damages; restitution, disgorgement, civil penalties, abatement, attorneys’ fees, costs and/or other relief.</w:t>
      </w:r>
    </w:p>
    <w:p>
      <w:pPr>
        <w:spacing w:after="0" w:line="8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to the lawsuits described above, the Company and/or its subsidiaries have received certain subpoenas, civil investigative demands (CIDs)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informal requests for information concerning the sale, marketing and/or distribution of prescription opioid medications, including the following:</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Various state attorneys general have served subpoenas and/or CIDs on EHSI and/or EPI. We are cooperating with the investigations.</w:t>
      </w:r>
    </w:p>
    <w:p>
      <w:pPr>
        <w:spacing w:after="0" w:line="117" w:lineRule="exact"/>
        <w:rPr>
          <w:sz w:val="20"/>
          <w:szCs w:val="20"/>
          <w:color w:val="auto"/>
        </w:rPr>
      </w:pPr>
    </w:p>
    <w:p>
      <w:pPr>
        <w:ind w:right="40" w:firstLine="486"/>
        <w:spacing w:after="0" w:line="313" w:lineRule="auto"/>
        <w:rPr>
          <w:sz w:val="20"/>
          <w:szCs w:val="20"/>
          <w:color w:val="auto"/>
        </w:rPr>
      </w:pPr>
      <w:r>
        <w:rPr>
          <w:rFonts w:ascii="Arial" w:cs="Arial" w:eastAsia="Arial" w:hAnsi="Arial"/>
          <w:sz w:val="16"/>
          <w:szCs w:val="16"/>
          <w:color w:val="auto"/>
        </w:rPr>
        <w:t>In January 2018, EPI received a federal grand jury subpoena from the U.S. District Court for the Southern District of Florida seeking documents and information related to OPANA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ER, other oxymorphone products and marketing of opioid medications. We are cooperating with the investigation.</w:t>
      </w:r>
    </w:p>
    <w:p>
      <w:pPr>
        <w:ind w:firstLine="486"/>
        <w:spacing w:after="0" w:line="255" w:lineRule="auto"/>
        <w:rPr>
          <w:sz w:val="20"/>
          <w:szCs w:val="20"/>
          <w:color w:val="auto"/>
        </w:rPr>
      </w:pPr>
      <w:r>
        <w:rPr>
          <w:rFonts w:ascii="Arial" w:cs="Arial" w:eastAsia="Arial" w:hAnsi="Arial"/>
          <w:sz w:val="18"/>
          <w:szCs w:val="18"/>
          <w:color w:val="auto"/>
        </w:rPr>
        <w:t>In September 2019, EPI, EHSI, PPI and PPCI received subpoenas from the New York State Department of Financial Services (DFS) seeking documents and information regarding the marketing, sale and distribution of opioid medications in New York. In June 2020, DFS commenced an administrative action against the Company, EPI, EHSI, PPI and PPCI alleging violations of the New York Insurance Law and New York Financial Services Law. The statement of charges alleges that fraudulent or otherwise wrongful conduct in the marketing, sale and/or distribution of opioid medications caused false claims to be submitted to insurers and seeks civil penalties for each allegedly fraudulent prescription as well as injunctive relief. The action is currently set for hearing in October 2020.</w:t>
      </w:r>
    </w:p>
    <w:p>
      <w:pPr>
        <w:spacing w:after="0" w:line="84"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 January 2020, EPI and PPI executed a settlement agreement with the state of Oklahoma providing for a payment of approximately $8.75 million in resolution of potential opioid-related claims. The settlement agreement was solely by way of compromise and settlement and was not in any way an admission of liability or fault by us or any of our subsidiaries.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Ranitidine Matters</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 xml:space="preserve">In June 2020, an MDL pending in the U.S. District Court for the Southern District of Florida, </w:t>
      </w:r>
      <w:r>
        <w:rPr>
          <w:rFonts w:ascii="Arial" w:cs="Arial" w:eastAsia="Arial" w:hAnsi="Arial"/>
          <w:sz w:val="18"/>
          <w:szCs w:val="18"/>
          <w:i w:val="1"/>
          <w:iCs w:val="1"/>
          <w:color w:val="auto"/>
        </w:rPr>
        <w:t>In re Zantac (Ranitidine) Products Liability Litigation</w:t>
      </w:r>
      <w:r>
        <w:rPr>
          <w:rFonts w:ascii="Arial" w:cs="Arial" w:eastAsia="Arial" w:hAnsi="Arial"/>
          <w:sz w:val="18"/>
          <w:szCs w:val="18"/>
          <w:color w:val="auto"/>
        </w:rPr>
        <w:t>, was expanded to add PPI and numerous other manufacturers and distributors of generic ranitidine as defendants. The claims are generally based on allegations that under certain conditions the active ingredient in Zantac and generic ranitidine medications can break down to form an alleged carcinogen known as N-Nitrosodimethylamine (NDMA). PPI has not manufactured or sold ranitidine since 2016.</w:t>
      </w:r>
    </w:p>
    <w:p>
      <w:pPr>
        <w:spacing w:after="0" w:line="79" w:lineRule="exact"/>
        <w:rPr>
          <w:sz w:val="20"/>
          <w:szCs w:val="20"/>
          <w:color w:val="auto"/>
        </w:rPr>
      </w:pPr>
    </w:p>
    <w:p>
      <w:pPr>
        <w:jc w:val="both"/>
        <w:ind w:right="280" w:firstLine="486"/>
        <w:spacing w:after="0" w:line="259" w:lineRule="auto"/>
        <w:rPr>
          <w:sz w:val="20"/>
          <w:szCs w:val="20"/>
          <w:color w:val="auto"/>
        </w:rPr>
      </w:pPr>
      <w:r>
        <w:rPr>
          <w:rFonts w:ascii="Arial" w:cs="Arial" w:eastAsia="Arial" w:hAnsi="Arial"/>
          <w:sz w:val="18"/>
          <w:szCs w:val="18"/>
          <w:color w:val="auto"/>
        </w:rPr>
        <w:t>The MDL includes individual plaintiffs as well as putative classes of consumers and third party payers. The complaints assert a variety of claims, including but not limited to various products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MDL court has issued various case management orders, including a scheduling order for briefing of defendants’ motions to dismiss and orders allowing certain discovery to commence.</w:t>
      </w:r>
    </w:p>
    <w:p>
      <w:pPr>
        <w:spacing w:after="0" w:line="6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Generic Drug Pricing Matters</w:t>
      </w:r>
    </w:p>
    <w:p>
      <w:pPr>
        <w:spacing w:after="0" w:line="11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Since March 2016, various private plaintiffs, state attorneys general and other governmental entities have filed cases against our subsidiary PPI and/or, in some instances, the Company, Generics Bidco I, LLC, DAVA Pharmaceuticals,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There is also a proposed class action filed in the Federal Court of Canada on behalf of a proposed class of Canadian purchasers.</w:t>
      </w:r>
    </w:p>
    <w:p>
      <w:pPr>
        <w:spacing w:after="0" w:line="87"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and other claims allege broader, multiple-product conspiracies. Under these overarching conspiracy theories, plaintiffs seek to hold all alleged participants in a particular conspiracy jointly and severally liable for all harms caused by the alleged conspiracy, not just harms related to the products manufactured and/or sold by a particular defendant.</w:t>
      </w:r>
    </w:p>
    <w:p>
      <w:pPr>
        <w:spacing w:after="0" w:line="6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MDL court has issued various case management and substantive orders, including orders denying certain motions to dismiss, and discovery is ongoing.</w:t>
      </w:r>
    </w:p>
    <w:p>
      <w:pPr>
        <w:spacing w:after="0" w:line="6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In December 2014, our subsidiary PPI received from the Antitrust Division of the U.S. Department of Justice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 (digoxin) oral tablets and generic doxycycline products, and on communications with competitors and others regarding those products. We are cooperating with the investigation.</w:t>
      </w:r>
    </w:p>
    <w:p>
      <w:pPr>
        <w:spacing w:after="0" w:line="49"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76"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Antitrust Matters</w:t>
      </w:r>
    </w:p>
    <w:p>
      <w:pPr>
        <w:spacing w:after="0" w:line="117" w:lineRule="exact"/>
        <w:rPr>
          <w:sz w:val="20"/>
          <w:szCs w:val="20"/>
          <w:color w:val="auto"/>
        </w:rPr>
      </w:pPr>
    </w:p>
    <w:p>
      <w:pPr>
        <w:ind w:right="120" w:firstLine="486"/>
        <w:spacing w:after="0" w:line="261" w:lineRule="auto"/>
        <w:rPr>
          <w:sz w:val="20"/>
          <w:szCs w:val="20"/>
          <w:color w:val="auto"/>
        </w:rPr>
      </w:pPr>
      <w:r>
        <w:rPr>
          <w:rFonts w:ascii="Arial" w:cs="Arial" w:eastAsia="Arial" w:hAnsi="Arial"/>
          <w:sz w:val="17"/>
          <w:szCs w:val="17"/>
          <w:color w:val="auto"/>
        </w:rPr>
        <w:t>Beginning in November 2013, multiple alleged purchasers of LIDODERM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sued our subsidiary EPI and other pharmaceutical companies alleging violations of antitrust law arising out of the defendants’ settlement of certain patent infringement litigation. The various complaints asserted claims under Sections 1 and 2 of the Sherman Act, state antitrust and consumer protection statutes and/or state common law and sought damages, treble damages, disgorgement of profits, restitution, injunctive relief and attorneys’ fees. These cases were consolidated and/or coordinated in a federal MDL in the U.S. District Court for the Northern District of California. The last cases remaining in the MDL were dismissed with prejudice in September 2018, when the court approved EPI’s settlements with direct and indirect purchaser classes. Those settlement agreements provided for aggregate payments of approximately $100 million. Of this total, EPI paid approximately $60 million in 2018, $30 million in the first quarter of 2019 and $10 million in the first quarter of 2020. In September 2019, Blue Cross Blue Shield of Michigan and Blue Care Network of Michigan filed a complaint against EPI and other pharmaceutical companies in the Third Judicial Circuit Court, Wayne County, Michigan, asserting claims substantially similar to those asserted in the MDL. In October 2019, certain defendants removed the case to federal court; in April 2020, the case was remanded back to state court. In June 2020, defendants filed a motion for summary disposition.</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2" w:lineRule="auto"/>
        <w:rPr>
          <w:sz w:val="20"/>
          <w:szCs w:val="20"/>
          <w:color w:val="auto"/>
        </w:rPr>
      </w:pPr>
      <w:r>
        <w:rPr>
          <w:rFonts w:ascii="Arial" w:cs="Arial" w:eastAsia="Arial" w:hAnsi="Arial"/>
          <w:sz w:val="17"/>
          <w:szCs w:val="17"/>
          <w:color w:val="auto"/>
        </w:rPr>
        <w:t>Beginning in June 2014, multiple alleged purchasers of OPANA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ER sued our subsidiaries EHSI and EPI and other pharmaceutical companies including Impax Laboratories, LLC (formerly Impax Laboratories, Inc. and referred to herein as Impax) and Penwest Pharmaceuticals Co., which our subsidiary EPI had acquired, alleging violations of antitrust law arising out of an agreement reached by EPI and Impax to settle certain patent infringement litigation and EPI’s introduction of reformulated OPANA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ER. Some cases were filed on behalf of putative classes of direct and indirect purchasers, while others were filed on behalf of individual retailers or health care benefit plans. The cases have been consolidated and/or coordinated for pretrial proceedings in a federal MDL pending in the U.S. District Court for the Northern District of Illinois. The various complaints assert claims under Sections 1 and 2 of the Sherman Act, state antitrust and consumer protection statutes and/or state common law. Plaintiffs generally seek damages, treble damages, disgorgement of profits, restitution, injunctive relief and attorneys’ fees. In March 2019, direct and indirect purchaser plaintiffs filed motions for class certification, which remain pending. In April 2020, defendants filed motions for summary judgment.</w:t>
      </w:r>
    </w:p>
    <w:p>
      <w:pPr>
        <w:spacing w:after="0" w:line="84" w:lineRule="exact"/>
        <w:rPr>
          <w:sz w:val="20"/>
          <w:szCs w:val="20"/>
          <w:color w:val="auto"/>
        </w:rPr>
      </w:pPr>
    </w:p>
    <w:p>
      <w:pPr>
        <w:ind w:firstLine="486"/>
        <w:spacing w:after="0" w:line="275" w:lineRule="auto"/>
        <w:rPr>
          <w:sz w:val="20"/>
          <w:szCs w:val="20"/>
          <w:color w:val="auto"/>
        </w:rPr>
      </w:pPr>
      <w:r>
        <w:rPr>
          <w:rFonts w:ascii="Arial" w:cs="Arial" w:eastAsia="Arial" w:hAnsi="Arial"/>
          <w:sz w:val="16"/>
          <w:szCs w:val="16"/>
          <w:color w:val="auto"/>
        </w:rPr>
        <w:t>Beginning in February 2009, the Federal Trade Commission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1.62%. In July 2018, the court denied certain plaintiffs’ motion for certification of a direct purchaser class. In November 2019, PPI and PPCI entered into settlement agreements with all but one of the remaining plaintiffs in the MDL. The settlement agreements were solely by way of compromise and settlement and were not in any way an admission of liability or fault. Separately, in August 2019, several alleged direct purchasers filed suit in the U.S. District Court for the Eastern District of Pennsylvania asserting claims substantially similar to those asserted in the MDL, as well as additional claims against other defendants relating to other alleged conduct. In January 2020, the U.S. District Court for the Eastern District of Pennsylvania denied defendants’ motion to transfer venue to the Northern District of Georgia.</w:t>
      </w:r>
    </w:p>
    <w:p>
      <w:pPr>
        <w:spacing w:after="0" w:line="70" w:lineRule="exact"/>
        <w:rPr>
          <w:sz w:val="20"/>
          <w:szCs w:val="20"/>
          <w:color w:val="auto"/>
        </w:rPr>
      </w:pPr>
    </w:p>
    <w:p>
      <w:pPr>
        <w:ind w:right="120" w:firstLine="486"/>
        <w:spacing w:after="0" w:line="280" w:lineRule="auto"/>
        <w:rPr>
          <w:sz w:val="20"/>
          <w:szCs w:val="20"/>
          <w:color w:val="auto"/>
        </w:rPr>
      </w:pPr>
      <w:r>
        <w:rPr>
          <w:rFonts w:ascii="Arial" w:cs="Arial" w:eastAsia="Arial" w:hAnsi="Arial"/>
          <w:sz w:val="16"/>
          <w:szCs w:val="16"/>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which was granted in August 2019. The cases are currently in discovery.</w:t>
      </w:r>
    </w:p>
    <w:p>
      <w:pPr>
        <w:spacing w:after="0" w:line="64" w:lineRule="exact"/>
        <w:rPr>
          <w:sz w:val="20"/>
          <w:szCs w:val="20"/>
          <w:color w:val="auto"/>
        </w:rPr>
      </w:pPr>
    </w:p>
    <w:p>
      <w:pPr>
        <w:ind w:right="80" w:firstLine="486"/>
        <w:spacing w:after="0" w:line="280" w:lineRule="auto"/>
        <w:rPr>
          <w:sz w:val="20"/>
          <w:szCs w:val="20"/>
          <w:color w:val="auto"/>
        </w:rPr>
      </w:pPr>
      <w:r>
        <w:rPr>
          <w:rFonts w:ascii="Arial" w:cs="Arial" w:eastAsia="Arial" w:hAnsi="Arial"/>
          <w:sz w:val="16"/>
          <w:szCs w:val="16"/>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(extended 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October 2019, the defendants filed various motions to dismiss and, in the alternative, moved to transfer the litigation to the U.S. District Court for the District of Delaware.</w:t>
      </w:r>
    </w:p>
    <w:p>
      <w:pPr>
        <w:spacing w:after="0" w:line="65"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Beginning in June 2020, several alleged indirect purchasers filed proposed class actions against Jazz Pharmaceuticals and other pharmaceutical companies, including PPI, alleging violations of state and federal antitrust laws in connection with the settlement of certain patent litigations concerning generic versions of Xyrem (sodium oxybate). Certain of the complaints were filed in the U.S. District Court for the Northern District of Illinois while others were filed in the U.S. District Court for the Northern District of California or the U.S. District Court for the Southern District of New York. In July, plaintiffs in the Northern District of Illinois cases naming PPI voluntarily dismissed their cases and re-filed them in the Northern District of California. The complaints allege that Jazz entered into a series of “reverse-payment” settlements, including with PPI, to delay generic competition for Xyrem. The various complaints assert claims under Sections 1 and 2 of the Sherman Act, Section 16 of the Clayton Act, state antitrust and consumer protection statutes and/or state common law. Plaintiffs generally seek damages, treble damages, equitable relief and attorneys’ fees and costs.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3" w:lineRule="exact"/>
        <w:rPr>
          <w:sz w:val="20"/>
          <w:szCs w:val="20"/>
          <w:color w:val="auto"/>
        </w:rPr>
      </w:pPr>
    </w:p>
    <w:p>
      <w:pPr>
        <w:ind w:right="140" w:firstLine="486"/>
        <w:spacing w:after="0" w:line="260" w:lineRule="auto"/>
        <w:rPr>
          <w:sz w:val="20"/>
          <w:szCs w:val="20"/>
          <w:color w:val="auto"/>
        </w:rPr>
      </w:pPr>
      <w:r>
        <w:rPr>
          <w:rFonts w:ascii="Arial" w:cs="Arial" w:eastAsia="Arial" w:hAnsi="Arial"/>
          <w:sz w:val="17"/>
          <w:szCs w:val="17"/>
          <w:color w:val="auto"/>
        </w:rPr>
        <w:t>In February 2015, EGHI and affiliates received a CID from the Office of the Attorney General for the state of Alaska seeking documents and information regarding EGHI’s settlement of AndroGel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patent litigation as well as documents produced in the aforementioned litigation filed by the FTC. Also in February 2015, EHSI received a CID from Alaska’s Office of the Attorney General seeking production of certain documents and information concerning agreements with Actavis and Impax settling OPANA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ER patent litigation. We are cooperating with the investigations.</w:t>
      </w:r>
    </w:p>
    <w:p>
      <w:pPr>
        <w:ind w:right="160" w:firstLine="486"/>
        <w:spacing w:after="0" w:line="277" w:lineRule="auto"/>
        <w:rPr>
          <w:sz w:val="20"/>
          <w:szCs w:val="20"/>
          <w:color w:val="auto"/>
        </w:rPr>
      </w:pPr>
      <w:r>
        <w:rPr>
          <w:rFonts w:ascii="Arial" w:cs="Arial" w:eastAsia="Arial" w:hAnsi="Arial"/>
          <w:sz w:val="18"/>
          <w:szCs w:val="18"/>
          <w:color w:val="auto"/>
        </w:rPr>
        <w:t>In July 2019, EPI received a CID from the FTC seeking documents and information regarding oxymorphone ER and EPI’s settlement of a contract dispute with Impax (now Amneal) in August 2017. We are cooperating with the investigation.</w:t>
      </w:r>
    </w:p>
    <w:p>
      <w:pPr>
        <w:spacing w:after="0" w:line="62"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Similar investigations may be brought by others or the foregoing matters may be expanded or result in litigation.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In February 2017, a putative class action entitled </w:t>
      </w:r>
      <w:r>
        <w:rPr>
          <w:rFonts w:ascii="Arial" w:cs="Arial" w:eastAsia="Arial" w:hAnsi="Arial"/>
          <w:sz w:val="17"/>
          <w:szCs w:val="17"/>
          <w:i w:val="1"/>
          <w:iCs w:val="1"/>
          <w:color w:val="auto"/>
        </w:rPr>
        <w:t>Public Employees’ Retirement System of Mississippi v. Endo International plc</w:t>
      </w:r>
      <w:r>
        <w:rPr>
          <w:rFonts w:ascii="Arial" w:cs="Arial" w:eastAsia="Arial" w:hAnsi="Arial"/>
          <w:sz w:val="17"/>
          <w:szCs w:val="17"/>
          <w:color w:val="auto"/>
        </w:rPr>
        <w:t xml:space="preserve"> was filed in the Court of Common Pleas of Chester County, Pennsylvania by an institutional purchaser of shares in our June 2, 2015 public offering. The complaint alleged violations of Sections 11, 12(a)(2) and 15 of the Securities Act of 1933 against us, certain of our current and former directors and officers, and the underwriters who participated in the offering, based on certain disclosures about Endo’s generics business. In June 2019, the parties entered into a settlement providing for, among other things, a $50 million payment to the investor class in exchange for a release of their claims. In December 2019, the court denied a petition to intervene filed by the lead plaintiff in the </w:t>
      </w:r>
      <w:r>
        <w:rPr>
          <w:rFonts w:ascii="Arial" w:cs="Arial" w:eastAsia="Arial" w:hAnsi="Arial"/>
          <w:sz w:val="17"/>
          <w:szCs w:val="17"/>
          <w:i w:val="1"/>
          <w:iCs w:val="1"/>
          <w:color w:val="auto"/>
        </w:rPr>
        <w:t>Pelletier</w:t>
      </w:r>
      <w:r>
        <w:rPr>
          <w:rFonts w:ascii="Arial" w:cs="Arial" w:eastAsia="Arial" w:hAnsi="Arial"/>
          <w:sz w:val="17"/>
          <w:szCs w:val="17"/>
          <w:color w:val="auto"/>
        </w:rPr>
        <w:t xml:space="preserve"> litigation described below, and granted final approval of the settlement. In December 2019, the putative intervenor appealed the denial of its petition to intervene and the final approval order to Pennsylvania Superior Court. That appeal remains pending. As a result of the settlement, during the first quarter of 2019, the Company recorded an increase of approximately $50 million to its accrual for loss contingencies. As the Company’s insurers agreed to fund the settlement, the Company also recorded a corresponding insurance receivable of approximately $50 million during the first quarter of 2019, which was recorded as Prepaid expenses and other current assets in the Condensed Consolidated Balance Sheets. The Company’s insurers funded the settlement during the third quarter of 2019, resulting in corresponding decreases to the Company’s accrual for loss contingencies and insurance receivable.</w:t>
      </w:r>
    </w:p>
    <w:p>
      <w:pPr>
        <w:spacing w:after="0" w:line="71" w:lineRule="exact"/>
        <w:rPr>
          <w:sz w:val="20"/>
          <w:szCs w:val="20"/>
          <w:color w:val="auto"/>
        </w:rPr>
      </w:pPr>
    </w:p>
    <w:p>
      <w:pPr>
        <w:ind w:firstLine="486"/>
        <w:spacing w:after="0" w:line="262" w:lineRule="auto"/>
        <w:rPr>
          <w:sz w:val="20"/>
          <w:szCs w:val="20"/>
          <w:color w:val="auto"/>
        </w:rPr>
      </w:pPr>
      <w:r>
        <w:rPr>
          <w:rFonts w:ascii="Arial" w:cs="Arial" w:eastAsia="Arial" w:hAnsi="Arial"/>
          <w:sz w:val="17"/>
          <w:szCs w:val="17"/>
          <w:color w:val="auto"/>
        </w:rPr>
        <w:t xml:space="preserve">In April 2017, a putative class action entitled </w:t>
      </w:r>
      <w:r>
        <w:rPr>
          <w:rFonts w:ascii="Arial" w:cs="Arial" w:eastAsia="Arial" w:hAnsi="Arial"/>
          <w:sz w:val="17"/>
          <w:szCs w:val="17"/>
          <w:i w:val="1"/>
          <w:iCs w:val="1"/>
          <w:color w:val="auto"/>
        </w:rPr>
        <w:t>Phaedra A. Makris v. Endo International plc, Rajiv Kanishka Liyanaarchchie de Silva and Suketu 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Upadhyay </w:t>
      </w:r>
      <w:r>
        <w:rPr>
          <w:rFonts w:ascii="Arial" w:cs="Arial" w:eastAsia="Arial" w:hAnsi="Arial"/>
          <w:sz w:val="17"/>
          <w:szCs w:val="17"/>
          <w:color w:val="auto"/>
        </w:rPr>
        <w:t>was filed in the Superior Court of Justice in Ontario, Canada by an individual shareholder on behalf of herself and similarly-situated Canadian-based investors who purchased Endo’s securities between January 11 and May 5, 2016. The statement of claim sought class certification, declaratory relief, damages, interest and costs based on alleged violations of the Ontario Securities Act arising out of alleged negligent misrepresentations concerning the Company’s revenues, profit margins and earnings per share; its receipt of a subpoena from the state of Connecticut regarding doxycycline hyclate, amitriptyline hydrochloride, doxazosin mesylate, methotrexate sodium and oxybutynin chloride; and the erosion of the Company’s U.S. generic pharmaceuticals business. In January 2019, plaintiff amended her statement of claim to add a claim on behalf of herself and similarly-situated Canadian investors who purchased Endo’s securities between January 11, 2016 and June 8, 2017, based on our decision to voluntarily remove reformulated OPANA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ER from the market. In April 2020, the parties reached a settlement in principle, which has been submitted for court approval. The amount of the settlement is not material to the Company and is expected to be funded by the Company’s insurers.</w:t>
      </w:r>
    </w:p>
    <w:p>
      <w:pPr>
        <w:spacing w:after="0" w:line="7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 xml:space="preserve">In November 2017, a putative class action entitled </w:t>
      </w:r>
      <w:r>
        <w:rPr>
          <w:rFonts w:ascii="Arial" w:cs="Arial" w:eastAsia="Arial" w:hAnsi="Arial"/>
          <w:sz w:val="18"/>
          <w:szCs w:val="18"/>
          <w:i w:val="1"/>
          <w:iCs w:val="1"/>
          <w:color w:val="auto"/>
        </w:rPr>
        <w:t>Pelletier v. Endo International plc, Rajiv Kanishka Liyanaarchchie De Silva, Suketu P. Upadhyay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Paul V. Campanelli </w:t>
      </w:r>
      <w:r>
        <w:rPr>
          <w:rFonts w:ascii="Arial" w:cs="Arial" w:eastAsia="Arial" w:hAnsi="Arial"/>
          <w:sz w:val="18"/>
          <w:szCs w:val="18"/>
          <w:color w:val="auto"/>
        </w:rPr>
        <w:t>was filed in the U.S. District Court for the Eastern District of Pennsylvania by an individual shareholder on behalf of himself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similarly situated shareholders. The lawsuit alleges violations of Section 10(b) and 20(a) of the Exchange Act and Rule 10b-5 promulgated thereunder relating to the pricing of various generic pharmaceutical products. In June 2018, the court appointed Park Employees’ and Retirement Board Employees’ Annuity Benefit Fund of Chicago lead plaintiff in the action. In September 2018, the defendants filed a motion to dismiss, which the court granted in part and denied in part in February 2020. In particular, the court granted the motion and dismissed the claims with prejudice insofar as they were based on an alleged price-fixing conspiracy; the court otherwise denied the motion to dismiss, allowing other aspects of lead plaintiff’s claims to proceed. In June 2020, the lead plaintiff moved for class certification.</w:t>
      </w:r>
    </w:p>
    <w:p>
      <w:pPr>
        <w:spacing w:after="0" w:line="84"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 xml:space="preserve">In June 2020, a putative class action entitled </w:t>
      </w:r>
      <w:r>
        <w:rPr>
          <w:rFonts w:ascii="Arial" w:cs="Arial" w:eastAsia="Arial" w:hAnsi="Arial"/>
          <w:sz w:val="16"/>
          <w:szCs w:val="16"/>
          <w:i w:val="1"/>
          <w:iCs w:val="1"/>
          <w:color w:val="auto"/>
        </w:rPr>
        <w:t>Benoit Albiges v. Endo International plc, Paul V. Campanelli, Blaise Coleman, and Mark T. Bradley</w:t>
      </w:r>
      <w:r>
        <w:rPr>
          <w:rFonts w:ascii="Arial" w:cs="Arial" w:eastAsia="Arial" w:hAnsi="Arial"/>
          <w:sz w:val="16"/>
          <w:szCs w:val="16"/>
          <w:color w:val="auto"/>
        </w:rPr>
        <w:t xml:space="preserve"> was filed in the U.S. District Court for the District of New Jersey by an individual shareholder on behalf of himself and all similarly situated shareholders. The lawsuit alleges violations of Section 10(b) and 20(a) of the Exchange Act and Rule 10b-5 promulgated thereunder, relating to the marketing and sale of opioid medications and the New York Department of Financial Services’ administrative action against the Company, EPI, EHSI, PPI and PPCI.</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VASOSTRICT</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Related Matters</w:t>
      </w:r>
    </w:p>
    <w:p>
      <w:pPr>
        <w:spacing w:after="0" w:line="60" w:lineRule="exact"/>
        <w:rPr>
          <w:sz w:val="20"/>
          <w:szCs w:val="20"/>
          <w:color w:val="auto"/>
        </w:rPr>
      </w:pPr>
    </w:p>
    <w:p>
      <w:pPr>
        <w:ind w:right="80" w:firstLine="486"/>
        <w:spacing w:after="0" w:line="280" w:lineRule="auto"/>
        <w:rPr>
          <w:sz w:val="20"/>
          <w:szCs w:val="20"/>
          <w:color w:val="auto"/>
        </w:rPr>
      </w:pPr>
      <w:r>
        <w:rPr>
          <w:rFonts w:ascii="Arial" w:cs="Arial" w:eastAsia="Arial" w:hAnsi="Arial"/>
          <w:sz w:val="16"/>
          <w:szCs w:val="16"/>
          <w:color w:val="auto"/>
        </w:rPr>
        <w:t>In July 2016, Fresenius Kabi USA, LLC (Fresenius) sued our subsidiaries PPCI and Par Sterile Products, LLC (PSP LLC) in the U.S. District Court for the District of New Jersey alleging an anticompetitive scheme to exclude competition for PPCI’s VASOSTRICT</w:t>
      </w:r>
      <w:r>
        <w:rPr>
          <w:rFonts w:ascii="Arial" w:cs="Arial" w:eastAsia="Arial" w:hAnsi="Arial"/>
          <w:sz w:val="20"/>
          <w:szCs w:val="20"/>
          <w:color w:val="auto"/>
          <w:vertAlign w:val="superscript"/>
        </w:rPr>
        <w:t>®</w:t>
      </w:r>
      <w:r>
        <w:rPr>
          <w:rFonts w:ascii="Arial" w:cs="Arial" w:eastAsia="Arial" w:hAnsi="Arial"/>
          <w:sz w:val="16"/>
          <w:szCs w:val="16"/>
          <w:color w:val="auto"/>
        </w:rPr>
        <w:t>, a vasopressin-based cardiopulmonary drug. In particular, Fresenius alleged violations of Sections 1 and 2 of the Sherman Antitrust Act, as well as state antitrust and common law, based on assertions that our subsidiaries entered into exclusive supply agreements with one or more active pharmaceutical ingredient (API) manufacturers and that, as a result, Fresenius could not obtain vasopressin API in order to file an Abbreviated New Drug Application (ANDA) to obtain U.S. Food and Drug Administration (FDA) approval for its own vasopressin product. Fresenius sought actual, treble and punitive damages, attorneys’ fees and costs and injunctive relief. In February 2020, the court granted our subsidiaries’ motion for summary judgment on all claims and denied Fresenius’s cross-motion for partial summary judgment. In March 2020, Fresenius filed a notice of appeal to the U.S. Court of Appeals for the Third Circuit.</w:t>
      </w:r>
    </w:p>
    <w:p>
      <w:pPr>
        <w:spacing w:after="0" w:line="65" w:lineRule="exact"/>
        <w:rPr>
          <w:sz w:val="20"/>
          <w:szCs w:val="20"/>
          <w:color w:val="auto"/>
        </w:rPr>
      </w:pPr>
    </w:p>
    <w:p>
      <w:pPr>
        <w:ind w:firstLine="486"/>
        <w:spacing w:after="0" w:line="263" w:lineRule="auto"/>
        <w:rPr>
          <w:sz w:val="20"/>
          <w:szCs w:val="20"/>
          <w:color w:val="auto"/>
        </w:rPr>
      </w:pPr>
      <w:r>
        <w:rPr>
          <w:rFonts w:ascii="Arial" w:cs="Arial" w:eastAsia="Arial" w:hAnsi="Arial"/>
          <w:sz w:val="17"/>
          <w:szCs w:val="17"/>
          <w:color w:val="auto"/>
        </w:rPr>
        <w:t>In August 2017, our subsidiaries PPI and PSP LLC filed a complaint for actual, exemplary and punitive damages, injunctive relief and other relief against QuVa Pharma, Inc. (QuVa), Stuart Hinchen, Peter Jenkins and Mike Rutkowski in the U.S. District Court for the District of New Jersey. The complaint alleges misappropriation in violation of the federal Defend Trade Secrets Act, New Jersey’s Trade Secrets Act and New Jersey common law, as well as unfair competition, breach of contract, breach of fiduciary duty, breach of the duty of loyalty, tortious interference with contractual relations and breach of the duty of confidence in connection with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November 2017, we filed a motion for preliminary injunction seeking various forms of relief. In March 2018, the court granted in part our motion for preliminary injunction and enjoined QuVa from marketing and releasing its planned vasopressin product through the conclusion of trial. We subsequently deposited a bond to the court’s interest-bearing account to secure the preliminary injunction. In May 2018, defendants filed a notice of appeal to the Third Circuit Court of Appeals indicating intent to appeal the court’s preliminary injunction. In February 2019, the defendants filed counterclaims for defamation, tortious interference with contract, tortious interference with prospective business relations and witness interference. The counterclaims seek actual, exemplary and punitive damages and other relief. In March 2019, we filed a motion to dismiss all of the defendants’ counterclaims. In April 2019, the Third Circuit Court of Appeals affirmed the court’s preliminary injunction but remanded for additional fact-finding concerning the duration of the preliminary injunction and, if needed, consideration of the additional trade secrets raised in our motion for preliminary injunction but not addressed by the preliminary injunction order. In September 2019, following the decision in </w:t>
      </w:r>
      <w:r>
        <w:rPr>
          <w:rFonts w:ascii="Arial" w:cs="Arial" w:eastAsia="Arial" w:hAnsi="Arial"/>
          <w:sz w:val="17"/>
          <w:szCs w:val="17"/>
          <w:i w:val="1"/>
          <w:iCs w:val="1"/>
          <w:color w:val="auto"/>
        </w:rPr>
        <w:t>Athenex</w:t>
      </w:r>
      <w:r>
        <w:rPr>
          <w:rFonts w:ascii="Arial" w:cs="Arial" w:eastAsia="Arial" w:hAnsi="Arial"/>
          <w:sz w:val="17"/>
          <w:szCs w:val="17"/>
          <w:color w:val="auto"/>
        </w:rPr>
        <w:t xml:space="preserve"> </w:t>
      </w:r>
      <w:r>
        <w:rPr>
          <w:rFonts w:ascii="Arial" w:cs="Arial" w:eastAsia="Arial" w:hAnsi="Arial"/>
          <w:sz w:val="17"/>
          <w:szCs w:val="17"/>
          <w:i w:val="1"/>
          <w:iCs w:val="1"/>
          <w:color w:val="auto"/>
        </w:rPr>
        <w:t>Inc. v. Azar</w:t>
      </w:r>
      <w:r>
        <w:rPr>
          <w:rFonts w:ascii="Arial" w:cs="Arial" w:eastAsia="Arial" w:hAnsi="Arial"/>
          <w:sz w:val="17"/>
          <w:szCs w:val="17"/>
          <w:color w:val="auto"/>
        </w:rPr>
        <w:t>, No. 19-cv-00603, 2019 WL 3501811 (D.D.C. Aug. 1, 2019), which upheld the FDA’s determination that there is no clinical need for</w:t>
      </w:r>
      <w:r>
        <w:rPr>
          <w:rFonts w:ascii="Arial" w:cs="Arial" w:eastAsia="Arial" w:hAnsi="Arial"/>
          <w:sz w:val="17"/>
          <w:szCs w:val="17"/>
          <w:i w:val="1"/>
          <w:iCs w:val="1"/>
          <w:color w:val="auto"/>
        </w:rPr>
        <w:t xml:space="preserve"> </w:t>
      </w:r>
      <w:r>
        <w:rPr>
          <w:rFonts w:ascii="Arial" w:cs="Arial" w:eastAsia="Arial" w:hAnsi="Arial"/>
          <w:sz w:val="17"/>
          <w:szCs w:val="17"/>
          <w:color w:val="auto"/>
        </w:rPr>
        <w:t>outsourcing facilities to compound drugs using bulk vasopressin, the parties submitted a proposed consent order to the district court agreeing to a lifting of the preliminary injunction against QuVa but reserving PPI and PSP LLC’s right to seek return or reduction of the bond. In January 2020, the court granted our motion to dismiss the defendants’ counterclaims and ordered the preliminary injunction lifted while the bond remains in place pending an adjudication on the merits. In March 2020, we filed a motion for partial summary judgment on the merits of PPI and PSP LLC’s breach of contract claims. That motion is pending.</w:t>
      </w:r>
    </w:p>
    <w:p>
      <w:pPr>
        <w:spacing w:after="0" w:line="79" w:lineRule="exact"/>
        <w:rPr>
          <w:sz w:val="20"/>
          <w:szCs w:val="20"/>
          <w:color w:val="auto"/>
        </w:rPr>
      </w:pPr>
    </w:p>
    <w:p>
      <w:pPr>
        <w:ind w:right="20" w:firstLine="486"/>
        <w:spacing w:after="0" w:line="280" w:lineRule="auto"/>
        <w:rPr>
          <w:sz w:val="20"/>
          <w:szCs w:val="20"/>
          <w:color w:val="auto"/>
        </w:rPr>
      </w:pPr>
      <w:r>
        <w:rPr>
          <w:rFonts w:ascii="Arial" w:cs="Arial" w:eastAsia="Arial" w:hAnsi="Arial"/>
          <w:sz w:val="16"/>
          <w:szCs w:val="16"/>
          <w:color w:val="auto"/>
        </w:rPr>
        <w:t>Beginning in April 2018, PSP LLC and PPI received notice letters from Eagle Pharmaceuticals, Inc., Sandoz, Inc., Amphastar Pharmaceuticals, Inc., Amneal Pharmaceuticals LLC, American Regent, Fresenius, Dr. Reddy’s Laboratories, Inc. and Aurobindo Pharma Limited advising of the filing by such companies of ANDAs/New Drug Applications (NDAs) for generic versions of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(vasopressin IV solution (infusion)) 20 units/ml and/or 200 units/10 ml. Beginning in May 2018, PSP LLC, PPI and Endo Par Innovation Company, LLC filed lawsuits against Eagle Pharmaceuticals, Inc., Sandoz, Inc., Amphastar Pharmaceuticals, Inc., Amneal Pharmaceuticals LLC, American Regent and Fresenius in the U.S. District Court for the District of Delaware or New Jersey within the 45-day deadline to invoke a 30-month stay of FDA approval pursuant to the Hatch-Waxman legislative scheme. In May 2020 we reached a settlement with American Regent. In June 2020 we reached a settlement with Sandoz. As a result of settling the Sandoz case, all remaining cases are pending in the U.S. District Court for the District of Delaware. The earliest trial is presently scheduled for January 2021; however, a trial may occur earlier or later as timing remains uncertain due to the impact of COVID-19 and other factors.</w:t>
      </w:r>
    </w:p>
    <w:p>
      <w:pPr>
        <w:spacing w:after="0" w:line="66" w:lineRule="exact"/>
        <w:rPr>
          <w:sz w:val="20"/>
          <w:szCs w:val="20"/>
          <w:color w:val="auto"/>
        </w:rPr>
      </w:pPr>
    </w:p>
    <w:p>
      <w:pPr>
        <w:jc w:val="both"/>
        <w:ind w:right="260" w:firstLine="486"/>
        <w:spacing w:after="0" w:line="257" w:lineRule="auto"/>
        <w:rPr>
          <w:sz w:val="20"/>
          <w:szCs w:val="20"/>
          <w:color w:val="auto"/>
        </w:rPr>
      </w:pPr>
      <w:r>
        <w:rPr>
          <w:rFonts w:ascii="Arial" w:cs="Arial" w:eastAsia="Arial" w:hAnsi="Arial"/>
          <w:sz w:val="18"/>
          <w:szCs w:val="18"/>
          <w:color w:val="auto"/>
        </w:rPr>
        <w:t>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7" w:lineRule="exact"/>
        <w:rPr>
          <w:sz w:val="20"/>
          <w:szCs w:val="20"/>
          <w:color w:val="auto"/>
        </w:rPr>
      </w:pPr>
    </w:p>
    <w:p>
      <w:pPr>
        <w:ind w:right="460" w:firstLine="486"/>
        <w:spacing w:after="0" w:line="259"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COMPREHENSIVE INCOME (LOSS)</w:t>
      </w:r>
    </w:p>
    <w:p>
      <w:pPr>
        <w:spacing w:after="0" w:line="121" w:lineRule="exact"/>
        <w:rPr>
          <w:sz w:val="20"/>
          <w:szCs w:val="20"/>
          <w:color w:val="auto"/>
        </w:rPr>
      </w:pPr>
    </w:p>
    <w:p>
      <w:pPr>
        <w:ind w:right="380" w:firstLine="486"/>
        <w:spacing w:after="0" w:line="311" w:lineRule="auto"/>
        <w:rPr>
          <w:sz w:val="20"/>
          <w:szCs w:val="20"/>
          <w:color w:val="auto"/>
        </w:rPr>
      </w:pPr>
      <w:r>
        <w:rPr>
          <w:rFonts w:ascii="Arial" w:cs="Arial" w:eastAsia="Arial" w:hAnsi="Arial"/>
          <w:sz w:val="16"/>
          <w:szCs w:val="16"/>
          <w:color w:val="auto"/>
        </w:rPr>
        <w:t>During the three and six months ended June 30, 2020 and 2019, there were no tax effects allocated to any component of Other comprehensive income (loss) and there were no reclassifications out of Accumulated other comprehensive loss. Substantially all of the Company’s Accumulated other comprehensive loss balances at June 30, 2020 and December 31, 2019 consist of Foreign currency translation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SHAREHOLDERS' DEFICIT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reconciliation of the beginning and ending balances in Total shareholders' deficit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Euro Deferred</w:t>
            </w: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Ordinary</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Additional Paid-in</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6"/>
                <w:szCs w:val="16"/>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Capital</w:t>
            </w:r>
          </w:p>
        </w:tc>
        <w:tc>
          <w:tcPr>
            <w:tcW w:w="146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49"/>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8,904,692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(9,552,214)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(866,544)</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129,930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129,930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(14,437)</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Compensation related to share-based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awards</w:t>
            </w:r>
          </w:p>
        </w:tc>
        <w:tc>
          <w:tcPr>
            <w:tcW w:w="2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17,645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17,645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withholding for restricted shares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8,917,927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(9,422,284)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(737,817)</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10,558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10,558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Compensation related to share-based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awards</w:t>
            </w:r>
          </w:p>
        </w:tc>
        <w:tc>
          <w:tcPr>
            <w:tcW w:w="2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9,222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9,222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withholding for restricted shares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8,924,694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(9,411,726)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(227,903)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(714,867)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28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reconciliation of the beginning and ending balances in Total shareholders' deficit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Euro Deferred</w:t>
            </w: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Ordinary</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Additional Paid-in</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146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2"/>
        </w:trPr>
        <w:tc>
          <w:tcPr>
            <w:tcW w:w="322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BALANCE, DECEMBER 31, 2018,</w:t>
            </w: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PRIOR TO THE ADOPTION OF ASC</w:t>
            </w: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8,855,810</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(9,124,932)</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(229,229)</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(498,283)</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842, LEASES</w:t>
            </w: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220" w:type="dxa"/>
            <w:vAlign w:val="bottom"/>
          </w:tcPr>
          <w:p>
            <w:pPr>
              <w:ind w:left="20"/>
              <w:spacing w:after="0"/>
              <w:rPr>
                <w:sz w:val="20"/>
                <w:szCs w:val="20"/>
                <w:color w:val="auto"/>
              </w:rPr>
            </w:pPr>
            <w:r>
              <w:rPr>
                <w:rFonts w:ascii="Arial" w:cs="Arial" w:eastAsia="Arial" w:hAnsi="Arial"/>
                <w:sz w:val="18"/>
                <w:szCs w:val="18"/>
                <w:color w:val="auto"/>
              </w:rPr>
              <w:t>Effect of adopting ASC 842, Leases</w:t>
            </w:r>
          </w:p>
        </w:tc>
        <w:tc>
          <w:tcPr>
            <w:tcW w:w="220" w:type="dxa"/>
            <w:vAlign w:val="bottom"/>
          </w:tcPr>
          <w:p>
            <w:pPr>
              <w:spacing w:after="0"/>
              <w:rPr>
                <w:sz w:val="23"/>
                <w:szCs w:val="23"/>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63"/>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2019</w:t>
            </w: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8,855,810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(9,129,578)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(502,929)</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(18,573)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(18,573)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Compensation related to share-based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awards</w:t>
            </w:r>
          </w:p>
        </w:tc>
        <w:tc>
          <w:tcPr>
            <w:tcW w:w="220" w:type="dxa"/>
            <w:vAlign w:val="bottom"/>
          </w:tcPr>
          <w:p>
            <w:pPr>
              <w:spacing w:after="0"/>
              <w:rPr>
                <w:sz w:val="20"/>
                <w:szCs w:val="20"/>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24,733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24,733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options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Tax withholding for restricted shares</w:t>
            </w:r>
          </w:p>
        </w:tc>
        <w:tc>
          <w:tcPr>
            <w:tcW w:w="220" w:type="dxa"/>
            <w:vAlign w:val="bottom"/>
          </w:tcPr>
          <w:p>
            <w:pPr>
              <w:spacing w:after="0"/>
              <w:rPr>
                <w:sz w:val="21"/>
                <w:szCs w:val="21"/>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BALANCE, MARCH 31, 2019</w:t>
            </w: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8,878,133</w:t>
            </w:r>
          </w:p>
        </w:tc>
        <w:tc>
          <w:tcPr>
            <w:tcW w:w="12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(9,148,151)</w:t>
            </w:r>
          </w:p>
        </w:tc>
        <w:tc>
          <w:tcPr>
            <w:tcW w:w="12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(224,499)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(494,450)</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(106,005)</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related to share-based</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12,600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12,600</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Tax withholding for restricted shares</w:t>
            </w:r>
          </w:p>
        </w:tc>
        <w:tc>
          <w:tcPr>
            <w:tcW w:w="220" w:type="dxa"/>
            <w:vAlign w:val="bottom"/>
          </w:tcPr>
          <w:p>
            <w:pPr>
              <w:spacing w:after="0"/>
              <w:rPr>
                <w:sz w:val="21"/>
                <w:szCs w:val="21"/>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(7,013)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20" w:type="dxa"/>
            <w:vAlign w:val="bottom"/>
          </w:tcPr>
          <w:p>
            <w:pPr>
              <w:ind w:left="20"/>
              <w:spacing w:after="0"/>
              <w:rPr>
                <w:sz w:val="20"/>
                <w:szCs w:val="20"/>
                <w:color w:val="auto"/>
              </w:rPr>
            </w:pPr>
            <w:r>
              <w:rPr>
                <w:rFonts w:ascii="Arial" w:cs="Arial" w:eastAsia="Arial" w:hAnsi="Arial"/>
                <w:sz w:val="18"/>
                <w:szCs w:val="18"/>
                <w:color w:val="auto"/>
              </w:rPr>
              <w:t>BALANCE, JUNE 30, 2019</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8,883,720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(9,254,156)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(220,104)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(590,472)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240" w:firstLine="486"/>
        <w:spacing w:after="0" w:line="311" w:lineRule="auto"/>
        <w:rPr>
          <w:sz w:val="20"/>
          <w:szCs w:val="20"/>
          <w:color w:val="auto"/>
        </w:rPr>
      </w:pPr>
      <w:r>
        <w:rPr>
          <w:rFonts w:ascii="Arial" w:cs="Arial" w:eastAsia="Arial" w:hAnsi="Arial"/>
          <w:sz w:val="16"/>
          <w:szCs w:val="16"/>
          <w:color w:val="auto"/>
        </w:rPr>
        <w:t>The Company recognized share-based compensation expense of $9.2 million and $12.6 million during the three months ended June 30, 2020 and 2019, respectively, and $26.9 million and $37.3 million during the six months ended June 30, 2020 and 2019, respectively. As of June 30, 2020, the total remaining unrecognized compensation cost related to non-vested share-based compensation awards amounted to $40.0 million.</w:t>
      </w:r>
    </w:p>
    <w:p>
      <w:pPr>
        <w:spacing w:after="0" w:line="41"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As of June 30, 2020, the weighted average remaining requisite service period for non-vested stock options was 0.3 years and for non-vested restricted stock units was 1.7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Other (income) expense, net for the three and six months ended June 30, 2020 and 2019 are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4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on sale of business and other assets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(1,168)</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Foreign currency loss (gain), net (2)</w:t>
            </w:r>
          </w:p>
        </w:tc>
        <w:tc>
          <w:tcPr>
            <w:tcW w:w="28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3,757</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Net (gain) loss from our investments in the equity of other companies (3)</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2,355</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Other miscellaneous, net</w:t>
            </w:r>
          </w:p>
        </w:tc>
        <w:tc>
          <w:tcPr>
            <w:tcW w:w="2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(739)</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(4,150)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(18,124)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4,205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80" w:hanging="310"/>
        <w:spacing w:after="0"/>
        <w:tabs>
          <w:tab w:leader="none" w:pos="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primarily relate to the sales of various ANDAs.</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relate to the remeasurement of the Company’s foreign currency denominated assets and liabilities.</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relate to the income statement impacts of our investments in the equity of other companies, including investments accounted for under the equity method.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displays our Income (loss) from continuing operations before income tax, Income tax expense (benefit) and Effective tax rate for the three and six months ended June 30, 2020 and 2019 (dollars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4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25,252</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(94,584)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46,501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(96,293)</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7,642</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(128,690)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14,371</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Effective tax rate</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(14.9)%</w:t>
            </w:r>
          </w:p>
        </w:tc>
      </w:tr>
      <w:tr>
        <w:trPr>
          <w:trHeight w:val="27"/>
        </w:trPr>
        <w:tc>
          <w:tcPr>
            <w:tcW w:w="5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The income tax expense for the three months ended June 30, 2020 primarily relates to the discrete tax adjustment related to the Coronavirus Aid, Relief, and Economic Security Act (CARES Act). The income tax expense for the comparable 2019 period primarily relates to accrued interest on uncertain tax positions.</w:t>
      </w:r>
    </w:p>
    <w:p>
      <w:pPr>
        <w:spacing w:after="0" w:line="7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income tax benefit for the six months ended June 30, 2020 primarily relates to the discrete tax benefit arising from the CARES Act, as discussed below. The income tax expense for the comparable 2019 period primarily relates to a taxable gain arising from the extinguishment of debt in the March 2019 Refinancing Transactions and accrued interest on uncertain tax positions.</w:t>
      </w:r>
    </w:p>
    <w:p>
      <w:pPr>
        <w:spacing w:after="0" w:line="76"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We have valuation allowances established against our deferred tax assets in most jurisdictions in which we operate, with the exception of Canada and India.</w:t>
      </w:r>
    </w:p>
    <w:p>
      <w:pPr>
        <w:spacing w:after="0" w:line="6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On March 27, 2020, the CARES Act was enacted by the U.S. government in response to the COVID-19 pandemic. The CARES Act, among other things, permits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During the six months ended June 30, 2020, the Company recorded a discrete tax benefit in continuing operations of $127.9 million as a result of the change in the NOL carryback period.</w:t>
      </w:r>
    </w:p>
    <w:p>
      <w:pPr>
        <w:spacing w:after="0" w:line="8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On June 3, 2020, in connection with the Internal Revenue Service's (IRS) examination of our U.S. income tax return for the fiscal year ended December 31, 2015 (2015 Return), we received an acknowledgement of facts (AoF) from the IRS related to transfer pricing positions taken by Endo U.S., Inc. and its subsidiaries (Endo U.S.). The AoF asserts that Endo U.S. overpaid for certain pharmaceutical products that it purchased from certain non-U.S. related parties and proposes a specific adjustment to our 2015 U.S. income tax return position. We believe that the terms of the subject transactions are consistent with comparable transactions for similarly situated unrelated parties, and we intend to contest the proposed adjustment. While we believe the proposed adjustment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73"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In connection with the IRS’s examination of the 2015 Return, we understand that the IRS intends to issue a Technical Advice Memorandum (TAM) regarding the portion of our 2015 NOL relating to our worthless stock deduction that we believe qualifies as a specified product liability loss. Based on our discussions with the IRS, we expect the views expressed in the TAM to be contrary to the positions taken on our 2015 Return. If the IRS’s position is in whole or in part sustained, we could be required to repay a portion of the $760 million tax refund we disclosed in our 2016 Annual Report on Form 10-K, exclusive of interest. This result could have a material adverse effect on our business, financial condition, results of operations and cash flows. We disagree with the IRS’s expected position in the TAM and, if necessary, intend to contest any proposed adjustment. Although the timing of the outcome of this matter is uncertain, it is possible any final resolution of the matter could take a number of years.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NET INCOME (LOSS) PER SHARE</w:t>
      </w:r>
    </w:p>
    <w:p>
      <w:pPr>
        <w:spacing w:after="0" w:line="121"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following is a reconciliation of the numerator and denominator of basic and diluted net income (loss) per share for the three and six months ended June 30, 2020 and 2019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3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17,610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(98,052)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175,191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(110,664)</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(34,703)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(13,914)</w:t>
            </w:r>
          </w:p>
        </w:tc>
      </w:tr>
      <w:tr>
        <w:trPr>
          <w:trHeight w:val="264"/>
        </w:trPr>
        <w:tc>
          <w:tcPr>
            <w:tcW w:w="552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10,558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(106,005)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140,488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(124,578)</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For basic per share data—weighted average shares</w:t>
            </w:r>
          </w:p>
        </w:tc>
        <w:tc>
          <w:tcPr>
            <w:tcW w:w="28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229,716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226,221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228,457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225,408</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ordinary share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3,965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4,891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63"/>
        </w:trPr>
        <w:tc>
          <w:tcPr>
            <w:tcW w:w="5520" w:type="dxa"/>
            <w:vAlign w:val="bottom"/>
          </w:tcPr>
          <w:p>
            <w:pPr>
              <w:ind w:left="120"/>
              <w:spacing w:after="0"/>
              <w:rPr>
                <w:sz w:val="20"/>
                <w:szCs w:val="20"/>
                <w:color w:val="auto"/>
              </w:rPr>
            </w:pPr>
            <w:r>
              <w:rPr>
                <w:rFonts w:ascii="Arial" w:cs="Arial" w:eastAsia="Arial" w:hAnsi="Arial"/>
                <w:sz w:val="18"/>
                <w:szCs w:val="18"/>
                <w:color w:val="auto"/>
              </w:rPr>
              <w:t>For diluted per share data—weighted average shares</w:t>
            </w: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233,681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226,221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233,348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225,408</w:t>
            </w:r>
          </w:p>
        </w:tc>
      </w:tr>
      <w:tr>
        <w:trPr>
          <w:trHeight w:val="21"/>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76"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dilutive effect of ordinary share equivalents is measured using the treasury stock method. Stock options and awards that have been issued but for which a grant date has not yet been established are not considered in the calculation of basic or diluted weighted average shares.</w:t>
      </w:r>
    </w:p>
    <w:p>
      <w:pPr>
        <w:spacing w:after="0" w:line="3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For the three months ended June 30, 2020, aggregate stock options and stock awards of 7.1 million and 6.6 million, respectively, were excluded from the diluted share calculation because their effect would have been anti-dilutive. For the six months ended June 30, 2020, aggregate stock options and stock awards of 7.2 million and 5.9 million, respectively, were excluded from the diluted share calculation because their effect would have been anti-dilutive. All potentially dilutive items were excluded from the diluted share calculation for the three and six months ended June 30, 2019 because their effect would have been anti-dilutive as the Company was in a loss 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69"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Endo International plc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quarterly results have fluctuated in the past and may continue to fluctuate. These fluctuations are primarily due to (1) the timing of new product launches, (2) purchasing patterns of our customers, (3) market acceptance of our products, (4) the impact of competitive products and products we recently acquired, (5) pricing of our products, (6) the timing of mergers, acquisitions, divestitures and other related activity and (7) other actions taken by the Company which may impact the availability of our products. These fluctuations are also attributable to charges incurred for compensation related to share-based payments, amortization of intangible assets, asset impairment charges, litigation-related charges, restructuring charges and certain upfront, milestone and other payments made or accrued pursuant to acquisition or licensing agreements.</w:t>
      </w:r>
    </w:p>
    <w:p>
      <w:pPr>
        <w:spacing w:after="0" w:line="70"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For example, on July 6, 2020, we announced that we had received FDA approval of Qwo™ (collagenase clostridium histolyticum-aaes) for the treatment of moderate to severe cellulite in the buttocks of adult women. As further described below, the anticipated launch of QWO is in 2021. We have incurred and expect to continue to incur costs associated with the planned commercial launch of QWO.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Additionally, as further described below, the impact on our results of COVID-19 and related changes in economic conditions, including changes to consumer spending resulting from the rapid rise in local and national unemployment rates, are highly uncertain and, in many instances, outside of our control. The duration and severity of the direct and indirect effects of COVID-19 are evolving rapidly and in ways that are difficult to anticipate. There are numerous uncertainties related to the COVID-19 pandemic that have impacted our ability to forecast our future operations. The extent to which COVID-19 will affect our business, financial position and operating results in the future cannot be predicted with certainty; however, any such impact could be material. In addition, because COVID-19 did not begin to affect our financial results until late in the first quarter of 2020, its impact on our consolidated results and the results of our business segments to date may not be directly comparable to any historical period and are not necessarily indicative of its impact on our results for the remainder of 2020 or any subsequent periods. COVID-19 could also increase the degree to which our quarterly results, including the results of our business segments, fluctuate in the future. Refer to “Risk Factors” in Part II, Item 1A of this report for further details.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 and Other Key Trends</w:t>
      </w:r>
    </w:p>
    <w:p>
      <w:pPr>
        <w:spacing w:after="0" w:line="12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December 2019, COVID-19 was reported to have surfaced in Wuhan, China. In March 2020, the World Health Organization declared the COVID-19 outbreak a global pandemic. Many countries and localities announced aggressive actions to reduce the spread of the disease, including limiting non-essential gatherings of people, suspending all non-essential travel, ordering certain businesses and government agencies to cease non-essential operations at physical locations and issuing shelter-in-place orders (subject to limited exceptions). Since then, restrictions have evolved rapidly and are likely to continue to do so. We are closely monitoring the impact of COVID-19 on all aspects of our business, the pharmaceutical industry and the economy as a whole, including how it has and will continue to impact our workforce, our customers and the patients they serve, our manufacturing and supply chain operations, our research and development (R&amp;D) programs and regulatory approval processes and our liquidity and access to capital. In addition to our existing business continuity plans, our executive leadership team has developed and implemented a range of proactive measures to address the risks, uncertainties and operational challenges associated with COVID-19. We continue to closely monitor the rapidly evolving situation and implement plans intended to limit the impact of COVID-19 on our business so that we can continue to produce the critical care medicines that hospitals and healthcare providers need to treat patients, including those with COVID-19. Actions we have taken to date and expected key trends are further described below.</w:t>
      </w:r>
    </w:p>
    <w:p>
      <w:pPr>
        <w:spacing w:after="0" w:line="6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b w:val="1"/>
          <w:bCs w:val="1"/>
          <w:i w:val="1"/>
          <w:iCs w:val="1"/>
          <w:color w:val="auto"/>
        </w:rPr>
        <w:t xml:space="preserve">Workforce. </w:t>
      </w:r>
      <w:r>
        <w:rPr>
          <w:rFonts w:ascii="Arial" w:cs="Arial" w:eastAsia="Arial" w:hAnsi="Arial"/>
          <w:sz w:val="17"/>
          <w:szCs w:val="17"/>
          <w:color w:val="auto"/>
        </w:rPr>
        <w:t>We have taken, and will continue to take, proactive measures to provide for the well-being of our workforce around the globe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continuing to safely produce products upon which patients and their healthcare providers rely. We have implemented alternative working practices and work-from-home requirements for appropriate employees, inclusive of our executive leadership team, and are continuing to pay full wages to our workforce. We have suspended international and domestic travel, increased our already-thorough cleaning protocols throughout our facilities and prohibited non-essential visitors from our sites. We have also implemented various social distancing, modified schedules, shift rotation and other similar policies at our manufacturing facilities. We have launched a hybrid approach selling model as of June 1, 2020 for our field employees, which allows virtual and/or live engagement with healthcare providers and other customers. Certain of these measures have resulted in increased and unexpected costs and, as further described below, resulted in the prioritization of certain products in our production plans.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 xml:space="preserve">Customers and the Patients They Serve. </w:t>
      </w:r>
      <w:r>
        <w:rPr>
          <w:rFonts w:ascii="Arial" w:cs="Arial" w:eastAsia="Arial" w:hAnsi="Arial"/>
          <w:sz w:val="15"/>
          <w:szCs w:val="15"/>
          <w:color w:val="auto"/>
        </w:rPr>
        <w:t>We have experienced, and expect to continue to experience, changes in customer demand as the COVID-19</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pandemic evolves. Beginning in late first-quarter 2020 and during the second quarter of 2020, we experienced an increase in sales volumes for certain of</w:t>
      </w:r>
    </w:p>
    <w:p>
      <w:pPr>
        <w:spacing w:after="0" w:line="236" w:lineRule="auto"/>
        <w:rPr>
          <w:sz w:val="20"/>
          <w:szCs w:val="20"/>
          <w:color w:val="auto"/>
        </w:rPr>
      </w:pPr>
      <w:r>
        <w:rPr>
          <w:rFonts w:ascii="Arial" w:cs="Arial" w:eastAsia="Arial" w:hAnsi="Arial"/>
          <w:sz w:val="17"/>
          <w:szCs w:val="17"/>
          <w:color w:val="auto"/>
        </w:rPr>
        <w:t>our critical care products, including VASOSTRICT</w:t>
      </w:r>
      <w:r>
        <w:rPr>
          <w:rFonts w:ascii="Arial" w:cs="Arial" w:eastAsia="Arial" w:hAnsi="Arial"/>
          <w:sz w:val="22"/>
          <w:szCs w:val="22"/>
          <w:color w:val="auto"/>
          <w:vertAlign w:val="superscript"/>
        </w:rPr>
        <w:t>®</w:t>
      </w:r>
      <w:r>
        <w:rPr>
          <w:rFonts w:ascii="Arial" w:cs="Arial" w:eastAsia="Arial" w:hAnsi="Arial"/>
          <w:sz w:val="17"/>
          <w:szCs w:val="17"/>
          <w:color w:val="auto"/>
        </w:rPr>
        <w:t>. These higher volumes resulted from significant channel inventory stocking of these products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anticipation of treating certain patients infected with COVID-19. Additionally, beginning during the last two weeks of the first quarter of 2020 and</w:t>
      </w:r>
    </w:p>
    <w:p>
      <w:pPr>
        <w:spacing w:after="0" w:line="224" w:lineRule="auto"/>
        <w:rPr>
          <w:sz w:val="20"/>
          <w:szCs w:val="20"/>
          <w:color w:val="auto"/>
        </w:rPr>
      </w:pPr>
      <w:r>
        <w:rPr>
          <w:rFonts w:ascii="Arial" w:cs="Arial" w:eastAsia="Arial" w:hAnsi="Arial"/>
          <w:sz w:val="17"/>
          <w:szCs w:val="17"/>
          <w:color w:val="auto"/>
        </w:rPr>
        <w:t>continuing into the second quarter of 2020, certain of our products that are physician administered,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SUPPRELIN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 and</w:t>
      </w:r>
    </w:p>
    <w:p>
      <w:pPr>
        <w:spacing w:after="0" w:line="225" w:lineRule="auto"/>
        <w:rPr>
          <w:sz w:val="20"/>
          <w:szCs w:val="20"/>
          <w:color w:val="auto"/>
        </w:rPr>
      </w:pPr>
      <w:r>
        <w:rPr>
          <w:rFonts w:ascii="Arial" w:cs="Arial" w:eastAsia="Arial" w:hAnsi="Arial"/>
          <w:sz w:val="16"/>
          <w:szCs w:val="16"/>
          <w:color w:val="auto"/>
        </w:rPr>
        <w:t>AVEED</w:t>
      </w:r>
      <w:r>
        <w:rPr>
          <w:rFonts w:ascii="Arial" w:cs="Arial" w:eastAsia="Arial" w:hAnsi="Arial"/>
          <w:sz w:val="20"/>
          <w:szCs w:val="20"/>
          <w:color w:val="auto"/>
          <w:vertAlign w:val="superscript"/>
        </w:rPr>
        <w:t>®</w:t>
      </w:r>
      <w:r>
        <w:rPr>
          <w:rFonts w:ascii="Arial" w:cs="Arial" w:eastAsia="Arial" w:hAnsi="Arial"/>
          <w:sz w:val="16"/>
          <w:szCs w:val="16"/>
          <w:color w:val="auto"/>
        </w:rPr>
        <w:t>, began experiencing significantly decreased sales volumes due to reduced physician office activity and patient office visits compared to prior year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because of the COVID-19 pandemic. During the second quarter of 2020, sales volumes began to recover as certain physician offices reopened.</w:t>
      </w:r>
    </w:p>
    <w:p>
      <w:pPr>
        <w:spacing w:after="0" w:line="113" w:lineRule="exact"/>
        <w:rPr>
          <w:sz w:val="20"/>
          <w:szCs w:val="20"/>
          <w:color w:val="auto"/>
        </w:rPr>
      </w:pPr>
    </w:p>
    <w:p>
      <w:pPr>
        <w:ind w:firstLine="486"/>
        <w:spacing w:after="0" w:line="280" w:lineRule="auto"/>
        <w:rPr>
          <w:sz w:val="20"/>
          <w:szCs w:val="20"/>
          <w:color w:val="auto"/>
        </w:rPr>
      </w:pPr>
      <w:r>
        <w:rPr>
          <w:rFonts w:ascii="Arial" w:cs="Arial" w:eastAsia="Arial" w:hAnsi="Arial"/>
          <w:sz w:val="16"/>
          <w:szCs w:val="16"/>
          <w:b w:val="1"/>
          <w:bCs w:val="1"/>
          <w:i w:val="1"/>
          <w:iCs w:val="1"/>
          <w:color w:val="auto"/>
        </w:rPr>
        <w:t xml:space="preserve">Manufacturing and Supply Chain Operations. </w:t>
      </w:r>
      <w:r>
        <w:rPr>
          <w:rFonts w:ascii="Arial" w:cs="Arial" w:eastAsia="Arial" w:hAnsi="Arial"/>
          <w:sz w:val="16"/>
          <w:szCs w:val="16"/>
          <w:color w:val="auto"/>
        </w:rPr>
        <w:t>As of the date of this report, our business has not experienced any material supply issues related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COVID-19 and our manufacturing facilities across the globe have continued to operate. We have taken, and plan to continue to take, commercially practical measures to keep these facilities open as they are critical to our ability to reliably supply required critical care and medically necessary products. These measures, including the implementation of social distancing, modified schedules, shift rotation and other similar policies at our manufacturing facilities, as well as changes in our workforce availability have impacted our manufacturing and supply chain productivity at certain of our facilities and resulted in the prioritization of certain products, such as VASOSTRICT</w:t>
      </w:r>
      <w:r>
        <w:rPr>
          <w:rFonts w:ascii="Arial" w:cs="Arial" w:eastAsia="Arial" w:hAnsi="Arial"/>
          <w:sz w:val="20"/>
          <w:szCs w:val="20"/>
          <w:color w:val="auto"/>
          <w:vertAlign w:val="superscript"/>
        </w:rPr>
        <w:t>®</w:t>
      </w:r>
      <w:r>
        <w:rPr>
          <w:rFonts w:ascii="Arial" w:cs="Arial" w:eastAsia="Arial" w:hAnsi="Arial"/>
          <w:sz w:val="16"/>
          <w:szCs w:val="16"/>
          <w:color w:val="auto"/>
        </w:rPr>
        <w:t>, in our production plans to provide for their continued availability during and after the pandemic. We believe that our diversified manufacturing footprint, which includes a combination of Endo owned and leased facilities located in the U.S. and India, supply agreements and strong business relationships with numerous contract manufacturing organizations throughout the world, including in the U.S., Canada, Europe and India, and our proven ability to be a preferred partner of choice to large pharmaceutical companies seeking authorized generic distributors for their branded products, is a critical factor to mitigate significant risks related to manufacturing and supply chain disruption. This footprint, overseen by our global quality and supply chain teams in Ireland, combined with a skilled management team with significant experience in manufacturing and supply chain operations, has enabled us to respond quickly and effectively to the evolving COVID-19 pandemic to date.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b w:val="1"/>
          <w:bCs w:val="1"/>
          <w:i w:val="1"/>
          <w:iCs w:val="1"/>
          <w:color w:val="auto"/>
        </w:rPr>
        <w:t xml:space="preserve">Clinical and Development Programs. </w:t>
      </w:r>
      <w:r>
        <w:rPr>
          <w:rFonts w:ascii="Arial" w:cs="Arial" w:eastAsia="Arial" w:hAnsi="Arial"/>
          <w:sz w:val="16"/>
          <w:szCs w:val="16"/>
          <w:color w:val="auto"/>
        </w:rPr>
        <w:t>We have a number of ongoing clinical trials. We are committed to the safety of our patients, employees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others involved in these trials. We are monitoring COVID-19 closely and continue to partner with the FDA on our ongoing clinical trials, regulatory applications and other R&amp;D activities. Based on an assessment of our R&amp;D programs, including our clinical trials, we have developed a plan and timeline for each study in order to enhance communication with patients, sites and vendors. To date, the impacts of COVID-19 have resulted in modest delays and could continue to cause delays to certain of our clinical trials and product development and commercialization programs, including obtaining adequate patient enrollment, receiving regulatory approvals and successfully bringing product candidates to market. Additionally, as a result of COVID-19 and its impact on medical aesthetics physician office closures and consumer spending, we have moved the anticipated product launch of QWO to spring 2021.</w:t>
      </w:r>
    </w:p>
    <w:p>
      <w:pPr>
        <w:spacing w:after="0" w:line="5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b w:val="1"/>
          <w:bCs w:val="1"/>
          <w:i w:val="1"/>
          <w:iCs w:val="1"/>
          <w:color w:val="auto"/>
        </w:rPr>
        <w:t xml:space="preserve">Key Trends. </w:t>
      </w:r>
      <w:r>
        <w:rPr>
          <w:rFonts w:ascii="Arial" w:cs="Arial" w:eastAsia="Arial" w:hAnsi="Arial"/>
          <w:sz w:val="17"/>
          <w:szCs w:val="17"/>
          <w:color w:val="auto"/>
        </w:rPr>
        <w:t>Throughout the first half of 2020, we, and our industry as a whole, have been impacted by COVID-19 and may experience a greater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going forward. The most significant trends we face as a result of the COVID-19 pandemic include: (i) decreases in demand for certain of our physician administered products due to physician office closures and a decline in patients electing to be treated because of the COVID-19 pandemic, (ii) potential temporary decreases to the supply of certain of our products due to modified production schedules to safely maintain operations in response to COVID-19 and other factors including, without limitation, workforce availability, (iii) potential idle capacity charges based on implementation of social distancing, modified schedules, shift rotation and other similar policies at our manufacturing facilities and (iv) potential delays in our ability to launch some new products due to production prioritization and economic conditions and other factors outside of our control. For further information regarding the impact of COVID-19 on the Company, please refer to “Risk Factors” in Part II, Item 1A of this report.</w:t>
      </w:r>
    </w:p>
    <w:p>
      <w:pPr>
        <w:spacing w:after="0" w:line="70"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Our estimated revenue trends for the full year 2020 compared to the full year 2019 are set forth below. These estimated revenue trends reflect the current expectations of our management team based on information currently available to them. Our estimates are subject to significant risks and uncertainties that could cause our actual results to differ materially from those indicated below, including our assumptions about the duration and severity of COVID-19 and the impact of any related governmental, business or other actions, any of which could cause the impact of COVID-19 to be more significant than our current expectations.</w:t>
      </w:r>
    </w:p>
    <w:p>
      <w:pPr>
        <w:spacing w:after="0" w:line="3" w:lineRule="exact"/>
        <w:rPr>
          <w:sz w:val="20"/>
          <w:szCs w:val="20"/>
          <w:color w:val="auto"/>
        </w:rPr>
      </w:pPr>
    </w:p>
    <w:p>
      <w:pPr>
        <w:ind w:left="900" w:right="20" w:hanging="244"/>
        <w:spacing w:after="0" w:line="223" w:lineRule="auto"/>
        <w:tabs>
          <w:tab w:leader="none" w:pos="89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color w:val="auto"/>
        </w:rPr>
        <w:t>For the full year 2020, we expect revenues from our Sterile Injectables segment to be above 2019, primarily driven by increased sales of VASOSTRICT</w:t>
      </w:r>
      <w:r>
        <w:rPr>
          <w:rFonts w:ascii="Arial" w:cs="Arial" w:eastAsia="Arial" w:hAnsi="Arial"/>
          <w:sz w:val="23"/>
          <w:szCs w:val="23"/>
          <w:color w:val="auto"/>
          <w:vertAlign w:val="superscript"/>
        </w:rPr>
        <w:t>®</w:t>
      </w:r>
      <w:r>
        <w:rPr>
          <w:rFonts w:ascii="Arial" w:cs="Arial" w:eastAsia="Arial" w:hAnsi="Arial"/>
          <w:sz w:val="18"/>
          <w:szCs w:val="18"/>
          <w:color w:val="auto"/>
        </w:rPr>
        <w:t>. Beginning in late first-quarter 2020 and during the second quarter of 2020, we experienced an increase in sales volumes for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compared to pre-COVID-19 levels resulting from significant channel inventory stocking of this product in anticipation of treating vasodilatory shock in patients infected with COVID-19. During the second half of 2020, we anticipate a period of significant channel inventory destocking with a subsequent return toward pre-COVID-19 buying patterns near the end of 2020. Additionally, we expect the increase in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2020 to be partially offset by decreases in certain other Sterile Injectables, primarily due to assumed competitive pressures not related to COVID-19.</w:t>
      </w:r>
    </w:p>
    <w:p>
      <w:pPr>
        <w:spacing w:after="0" w:line="5" w:lineRule="exact"/>
        <w:rPr>
          <w:rFonts w:ascii="Arial" w:cs="Arial" w:eastAsia="Arial" w:hAnsi="Arial"/>
          <w:sz w:val="18"/>
          <w:szCs w:val="18"/>
          <w:b w:val="1"/>
          <w:bCs w:val="1"/>
          <w:i w:val="1"/>
          <w:iCs w:val="1"/>
          <w:color w:val="auto"/>
        </w:rPr>
      </w:pPr>
    </w:p>
    <w:p>
      <w:pPr>
        <w:ind w:left="900" w:right="60" w:hanging="244"/>
        <w:spacing w:after="0"/>
        <w:tabs>
          <w:tab w:leader="none" w:pos="89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color w:val="auto"/>
        </w:rPr>
        <w:t>For the full year 2020, we expect a decline in revenues from the Specialty Products portfolio of our Branded Pharmaceuticals segment as compared to 2019. Beginning during the last two weeks of the first quarter of 2020 and continuing into the second quarter of 2020, certain of our products that are physician administered, including XIAFLEX</w:t>
      </w:r>
      <w:r>
        <w:rPr>
          <w:rFonts w:ascii="Arial" w:cs="Arial" w:eastAsia="Arial" w:hAnsi="Arial"/>
          <w:sz w:val="23"/>
          <w:szCs w:val="23"/>
          <w:color w:val="auto"/>
          <w:vertAlign w:val="superscript"/>
        </w:rPr>
        <w:t>®</w:t>
      </w:r>
      <w:r>
        <w:rPr>
          <w:rFonts w:ascii="Arial" w:cs="Arial" w:eastAsia="Arial" w:hAnsi="Arial"/>
          <w:sz w:val="18"/>
          <w:szCs w:val="18"/>
          <w:color w:val="auto"/>
        </w:rPr>
        <w:t>,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and AVEED</w:t>
      </w:r>
      <w:r>
        <w:rPr>
          <w:rFonts w:ascii="Arial" w:cs="Arial" w:eastAsia="Arial" w:hAnsi="Arial"/>
          <w:sz w:val="23"/>
          <w:szCs w:val="23"/>
          <w:color w:val="auto"/>
          <w:vertAlign w:val="superscript"/>
        </w:rPr>
        <w:t>®</w:t>
      </w:r>
      <w:r>
        <w:rPr>
          <w:rFonts w:ascii="Arial" w:cs="Arial" w:eastAsia="Arial" w:hAnsi="Arial"/>
          <w:sz w:val="18"/>
          <w:szCs w:val="18"/>
          <w:color w:val="auto"/>
        </w:rPr>
        <w:t>, began experiencing significantly decreased sales volumes as compared to pre-COVID-19 levels due to physician office closures and a decline in patients electing to be treated because of the COVID-19 pandemic. During the second quarter of 2020, sales volumes began to recover as certain physician offices reopened. We expect to see sales volumes continue to recover in the second half of the year to the extent that physician and patient activities continue to return toward pre-COVID-19 levels.</w:t>
      </w:r>
    </w:p>
    <w:p>
      <w:pPr>
        <w:spacing w:after="0" w:line="5" w:lineRule="exact"/>
        <w:rPr>
          <w:rFonts w:ascii="Arial" w:cs="Arial" w:eastAsia="Arial" w:hAnsi="Arial"/>
          <w:sz w:val="18"/>
          <w:szCs w:val="18"/>
          <w:b w:val="1"/>
          <w:bCs w:val="1"/>
          <w:i w:val="1"/>
          <w:iCs w:val="1"/>
          <w:color w:val="auto"/>
        </w:rPr>
      </w:pPr>
    </w:p>
    <w:p>
      <w:pPr>
        <w:jc w:val="both"/>
        <w:ind w:left="900" w:right="220" w:hanging="244"/>
        <w:spacing w:after="0" w:line="250"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full year 2020, we expect a decline in revenues from our Generic Pharmaceuticals segment as compared to 2019, driven primarily by continued competitive pressures on certain commoditized generic products. We expect these declines to be partially offset by sales resulting from certain 2019 and 2020 product launches.</w:t>
      </w:r>
    </w:p>
    <w:p>
      <w:pPr>
        <w:spacing w:after="0" w:line="1" w:lineRule="exact"/>
        <w:rPr>
          <w:rFonts w:ascii="Arial" w:cs="Arial" w:eastAsia="Arial" w:hAnsi="Arial"/>
          <w:sz w:val="18"/>
          <w:szCs w:val="18"/>
          <w:color w:val="auto"/>
        </w:rPr>
      </w:pPr>
    </w:p>
    <w:p>
      <w:pPr>
        <w:ind w:left="900" w:right="80" w:hanging="244"/>
        <w:spacing w:after="0" w:line="323" w:lineRule="auto"/>
        <w:tabs>
          <w:tab w:leader="none" w:pos="8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the full year 2020, we expect declines in revenues from the Established Products portfolio of our Branded Pharmaceuticals segment and the International Pharmaceuticals segment as compared to 2019, primarily driven by competitive pressures impacting these product portfolios.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2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displays our revenue, gross margin, gross margin percentage and other pre-tax expense or income for the three and six months ended June 30, 2020 and 2019 (dollars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351"/>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 vs. 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 vs. 2019</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687,588</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699,727</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1,507,993</w:t>
            </w: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1,420,138</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336,096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388,208</w:t>
            </w: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724,895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780,117</w:t>
            </w:r>
          </w:p>
        </w:tc>
        <w:tc>
          <w:tcPr>
            <w:tcW w:w="18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351,492</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311,519</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783,098</w:t>
            </w: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640,021</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7"/>
        </w:trPr>
        <w:tc>
          <w:tcPr>
            <w:tcW w:w="2840" w:type="dxa"/>
            <w:vAlign w:val="bottom"/>
          </w:tcPr>
          <w:p>
            <w:pPr>
              <w:ind w:left="120"/>
              <w:spacing w:after="0"/>
              <w:rPr>
                <w:sz w:val="20"/>
                <w:szCs w:val="20"/>
                <w:color w:val="auto"/>
              </w:rPr>
            </w:pPr>
            <w:r>
              <w:rPr>
                <w:rFonts w:ascii="Arial" w:cs="Arial" w:eastAsia="Arial" w:hAnsi="Arial"/>
                <w:sz w:val="18"/>
                <w:szCs w:val="18"/>
                <w:i w:val="1"/>
                <w:iCs w:val="1"/>
                <w:color w:val="auto"/>
              </w:rPr>
              <w:t>Gross margin percentage</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51.1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44.5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w w:val="87"/>
              </w:rPr>
              <w:t>%</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51.9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45.1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w w:val="87"/>
              </w:rPr>
              <w: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173,258</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152,297</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340,026</w:t>
            </w: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303,420</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30,495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26,348</w:t>
            </w: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62,110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59,834</w:t>
            </w:r>
          </w:p>
        </w:tc>
        <w:tc>
          <w:tcPr>
            <w:tcW w:w="1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contingencies, net</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(25,748)</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Asset impairment charges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88,438</w:t>
            </w: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97,785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253,886</w:t>
            </w:r>
          </w:p>
        </w:tc>
        <w:tc>
          <w:tcPr>
            <w:tcW w:w="18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and integration</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items, net</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(43,008)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129,164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134,809</w:t>
            </w: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262,041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267,484</w:t>
            </w:r>
          </w:p>
        </w:tc>
        <w:tc>
          <w:tcPr>
            <w:tcW w:w="18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(119,828)</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(18,124)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continuing</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25,252</w:t>
            </w:r>
          </w:p>
        </w:tc>
        <w:tc>
          <w:tcPr>
            <w:tcW w:w="6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(94,584)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46,501</w:t>
            </w:r>
          </w:p>
        </w:tc>
        <w:tc>
          <w:tcPr>
            <w:tcW w:w="5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(96,293)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 before income tax</w:t>
            </w:r>
          </w:p>
        </w:tc>
        <w:tc>
          <w:tcPr>
            <w:tcW w:w="30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620" w:type="dxa"/>
            <w:vAlign w:val="bottom"/>
            <w:gridSpan w:val="3"/>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28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560" w:type="dxa"/>
            <w:vAlign w:val="bottom"/>
            <w:gridSpan w:val="3"/>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0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b w:val="1"/>
          <w:bCs w:val="1"/>
          <w:i w:val="1"/>
          <w:iCs w:val="1"/>
          <w:color w:val="auto"/>
        </w:rPr>
        <w:t xml:space="preserve">Total revenues, net. </w:t>
      </w:r>
      <w:r>
        <w:rPr>
          <w:rFonts w:ascii="Arial" w:cs="Arial" w:eastAsia="Arial" w:hAnsi="Arial"/>
          <w:sz w:val="18"/>
          <w:szCs w:val="18"/>
          <w:color w:val="auto"/>
        </w:rPr>
        <w:t>The decrease in revenue for the three months ended June 30, 2020 was primarily due to decreased revenues from our Branded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Pharmaceuticals segment, partially offset by increased revenues from our Sterile Injectables segment. The increase in revenue for the six months ended June 30, 2020 was primarily driven by increased revenues from our Sterile Injectables and Generic Pharmaceuticals segments, partially offset by decreased revenues from our Branded Pharmaceuticals segment. Our revenues are further disaggregated and described below under the heading “Business Segment Results Review.”</w:t>
      </w:r>
    </w:p>
    <w:p>
      <w:pPr>
        <w:spacing w:after="0" w:line="80" w:lineRule="exact"/>
        <w:rPr>
          <w:sz w:val="20"/>
          <w:szCs w:val="20"/>
          <w:color w:val="auto"/>
        </w:rPr>
      </w:pPr>
    </w:p>
    <w:p>
      <w:pPr>
        <w:jc w:val="both"/>
        <w:ind w:right="280" w:firstLine="486"/>
        <w:spacing w:after="0" w:line="263" w:lineRule="auto"/>
        <w:rPr>
          <w:sz w:val="20"/>
          <w:szCs w:val="20"/>
          <w:color w:val="auto"/>
        </w:rPr>
      </w:pPr>
      <w:r>
        <w:rPr>
          <w:rFonts w:ascii="Arial" w:cs="Arial" w:eastAsia="Arial" w:hAnsi="Arial"/>
          <w:sz w:val="18"/>
          <w:szCs w:val="18"/>
          <w:b w:val="1"/>
          <w:bCs w:val="1"/>
          <w:i w:val="1"/>
          <w:iCs w:val="1"/>
          <w:color w:val="auto"/>
        </w:rPr>
        <w:t xml:space="preserve">Cost of revenues and gross margin percentage. </w:t>
      </w:r>
      <w:r>
        <w:rPr>
          <w:rFonts w:ascii="Arial" w:cs="Arial" w:eastAsia="Arial" w:hAnsi="Arial"/>
          <w:sz w:val="18"/>
          <w:szCs w:val="18"/>
          <w:color w:val="auto"/>
        </w:rPr>
        <w:t>During the three and six months ended June 30, 2020 and 2019, we incurred certain charges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the comparability of total Cost of revenues, including those related to amortization expense and continuity and separation benefits and other cost reduction initiatives. The following table summarizes such amounts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104,498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140,418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221,735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286,017</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w w:val="95"/>
              </w:rPr>
              <w:t>Continuity and separation benefits and other cost reduction initiatives (2)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00" w:right="100" w:hanging="330"/>
        <w:spacing w:after="0" w:line="260" w:lineRule="auto"/>
        <w:tabs>
          <w:tab w:leader="none" w:pos="492" w:val="left"/>
        </w:tabs>
        <w:numPr>
          <w:ilvl w:val="0"/>
          <w:numId w:val="25"/>
        </w:numPr>
        <w:rPr>
          <w:rFonts w:ascii="Arial" w:cs="Arial" w:eastAsia="Arial" w:hAnsi="Arial"/>
          <w:sz w:val="13"/>
          <w:szCs w:val="13"/>
          <w:color w:val="auto"/>
        </w:rPr>
      </w:pPr>
      <w:r>
        <w:rPr>
          <w:rFonts w:ascii="Arial" w:cs="Arial" w:eastAsia="Arial" w:hAnsi="Arial"/>
          <w:sz w:val="13"/>
          <w:szCs w:val="13"/>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decreases during the three and six months ended June 30, 2020 were primarily driven by asset impairment charges and decreases in the rate of amortization expense for certain assets.</w:t>
      </w:r>
    </w:p>
    <w:p>
      <w:pPr>
        <w:ind w:left="480" w:hanging="310"/>
        <w:spacing w:after="0"/>
        <w:tabs>
          <w:tab w:leader="none" w:pos="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primarily relate to certain accelerated depreciation charges and employee continuity and separation benefits.</w:t>
      </w:r>
    </w:p>
    <w:p>
      <w:pPr>
        <w:spacing w:after="0" w:line="10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decrease in Cost of revenues for the three months ended June 30, 2020 was primarily due to decreased amortization expense, decreased revenues and favorable changes in product mix as described below, partially offset by increased expenses related to continuity and separation benefits and other cost reduction initiatives.</w:t>
      </w:r>
    </w:p>
    <w:p>
      <w:pPr>
        <w:spacing w:after="0" w:line="76"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decrease in Cost of revenues for the six months ended June 30, 2020 was primarily due to decreased amortization expense and favorable changes in product mix as described below, partially offset by increased revenues and increased expenses related to continuity and separation benefits and other cost reduction initiatives.</w:t>
      </w:r>
    </w:p>
    <w:p>
      <w:pPr>
        <w:spacing w:after="0" w:line="76" w:lineRule="exact"/>
        <w:rPr>
          <w:sz w:val="20"/>
          <w:szCs w:val="20"/>
          <w:color w:val="auto"/>
        </w:rPr>
      </w:pPr>
    </w:p>
    <w:p>
      <w:pPr>
        <w:ind w:right="520" w:firstLine="486"/>
        <w:spacing w:after="0" w:line="291" w:lineRule="auto"/>
        <w:rPr>
          <w:sz w:val="20"/>
          <w:szCs w:val="20"/>
          <w:color w:val="auto"/>
        </w:rPr>
      </w:pPr>
      <w:r>
        <w:rPr>
          <w:rFonts w:ascii="Arial" w:cs="Arial" w:eastAsia="Arial" w:hAnsi="Arial"/>
          <w:sz w:val="18"/>
          <w:szCs w:val="18"/>
          <w:color w:val="auto"/>
        </w:rPr>
        <w:t>Gross margin percentage increased for both the three and six months ended June 30, 2020 as a result of decreases in amortization expense and favorable changes in product mix resulting primarily from increased revenues of VASOSTRICT</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ectPr>
          <w:pgSz w:w="11900" w:h="16838" w:orient="portrait"/>
          <w:cols w:equalWidth="0" w:num="1">
            <w:col w:w="11240"/>
          </w:cols>
          <w:pgMar w:left="320" w:top="118"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The increase for the three months ended June 30, 2020 was primarily due to costs of $30.7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incurred during the second quarter of 2020 associated with the June 2020 Refinancing Transactions, as further described in Note 11. Debt of the Condensed Consolidated Financial Statements included in Part I, Item 1, partially offset by reduced legal costs associated with certain matters.</w:t>
      </w:r>
    </w:p>
    <w:p>
      <w:pPr>
        <w:spacing w:after="0" w:line="57"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The increase for the six months ended June 30, 2020 was primarily due to costs of $30.7 million incurred during the second quarter of 2020 associated with the June 2020 Refinancing Transactions, a higher branded prescription drug fee, increased long-term incentive compensation costs and increased costs associated with continuity bonuses for certain senior management of the Company, partially offset by reduced legal costs associated with certain matters.</w:t>
      </w:r>
    </w:p>
    <w:p>
      <w:pPr>
        <w:spacing w:after="0" w:line="7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Additionally, we incurred increased costs associated with preparing for our planned commercial launch of QWO and expect such costs to continue to increase in 2020 as compared to 2019.</w:t>
      </w:r>
    </w:p>
    <w:p>
      <w:pPr>
        <w:spacing w:after="0" w:line="62" w:lineRule="exact"/>
        <w:rPr>
          <w:sz w:val="20"/>
          <w:szCs w:val="20"/>
          <w:color w:val="auto"/>
        </w:rPr>
      </w:pPr>
    </w:p>
    <w:p>
      <w:pPr>
        <w:ind w:right="640" w:firstLine="486"/>
        <w:spacing w:after="0" w:line="342" w:lineRule="auto"/>
        <w:rPr>
          <w:sz w:val="20"/>
          <w:szCs w:val="20"/>
          <w:color w:val="auto"/>
        </w:rPr>
      </w:pPr>
      <w:r>
        <w:rPr>
          <w:rFonts w:ascii="Arial" w:cs="Arial" w:eastAsia="Arial" w:hAnsi="Arial"/>
          <w:sz w:val="16"/>
          <w:szCs w:val="16"/>
          <w:b w:val="1"/>
          <w:bCs w:val="1"/>
          <w:i w:val="1"/>
          <w:iCs w:val="1"/>
          <w:color w:val="auto"/>
        </w:rPr>
        <w:t xml:space="preserve">R&amp;D expenses. </w:t>
      </w:r>
      <w:r>
        <w:rPr>
          <w:rFonts w:ascii="Arial" w:cs="Arial" w:eastAsia="Arial" w:hAnsi="Arial"/>
          <w:sz w:val="16"/>
          <w:szCs w:val="16"/>
          <w:color w:val="auto"/>
        </w:rPr>
        <w:t>The amount of R&amp;D expense we record in any period varies depending on the nature and stage of development of our R&amp;D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and can also vary in periods in which we incur significant upfront or milestone charges related to agreements with third parties.</w:t>
      </w:r>
    </w:p>
    <w:p>
      <w:pPr>
        <w:spacing w:after="0" w:line="16" w:lineRule="exact"/>
        <w:rPr>
          <w:sz w:val="20"/>
          <w:szCs w:val="20"/>
          <w:color w:val="auto"/>
        </w:rPr>
      </w:pPr>
    </w:p>
    <w:p>
      <w:pPr>
        <w:ind w:right="200" w:firstLine="486"/>
        <w:spacing w:after="0" w:line="248" w:lineRule="auto"/>
        <w:rPr>
          <w:sz w:val="20"/>
          <w:szCs w:val="20"/>
          <w:color w:val="auto"/>
        </w:rPr>
      </w:pPr>
      <w:r>
        <w:rPr>
          <w:rFonts w:ascii="Arial" w:cs="Arial" w:eastAsia="Arial" w:hAnsi="Arial"/>
          <w:sz w:val="17"/>
          <w:szCs w:val="17"/>
          <w:color w:val="auto"/>
        </w:rPr>
        <w:t>In recent years, our R&amp;D efforts have focused primarily on developing a balanced, diversified portfolio of innovative and clinically differentiated product candidates. We have been progressing and expect to continue to progress our cellulite treatment development programs for QWO, which was approved by the FDA for the treatment of moderate to severe cellulite in the buttocks of adult women in July 2020. In early 2020, we announced that we had initiated our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development programs for the treatment of plantar fibromatosis and adhesive capsulitis. We also expect to continue to focus investments in our Sterile Injectables segment, potentially including license and commercialization agreements such as our Nevakar, Inc. agreement. In addition, we are conducting an open-label Phase 1 pharmacokinetic (PK) study of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healthy volunteers, studying plasma clearance with TT genotype versus AA/AT genotype.</w:t>
      </w:r>
    </w:p>
    <w:p>
      <w:pPr>
        <w:spacing w:after="0" w:line="87"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The increases in R&amp;D expense for the three and six months ended June 30, 2020 were driven by increased costs associated with our Sterile Injectables segment, partially offset by decreased costs associated with certain post-marketing R&amp;D commitments.</w:t>
      </w:r>
    </w:p>
    <w:p>
      <w:pPr>
        <w:spacing w:after="0" w:line="62"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b w:val="1"/>
          <w:bCs w:val="1"/>
          <w:i w:val="1"/>
          <w:iCs w:val="1"/>
          <w:color w:val="auto"/>
        </w:rPr>
        <w:t xml:space="preserve">Litigation-related and other contingencies, net. </w:t>
      </w:r>
      <w:r>
        <w:rPr>
          <w:rFonts w:ascii="Arial" w:cs="Arial" w:eastAsia="Arial" w:hAnsi="Arial"/>
          <w:sz w:val="17"/>
          <w:szCs w:val="17"/>
          <w:color w:val="auto"/>
        </w:rPr>
        <w:t>Included within Litigation-related and other contingencies, net are changes to our accruals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litigation-related settlement charges and certain settlement proceeds related to suits filed by our subsidiaries. Our material legal proceedings and other contingent matters are described in more detail in Note 12. Commitments and Contingencies of the Condensed Consolidated Financial Statements included in Part I, Item 1. As further described therein, adjustments to the corresponding liability accruals may be required in the future. This could have a material adverse effect on our business, financial condition, results of operations and cash flows.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Asset impairment charges. </w:t>
      </w:r>
      <w:r>
        <w:rPr>
          <w:rFonts w:ascii="Arial" w:cs="Arial" w:eastAsia="Arial" w:hAnsi="Arial"/>
          <w:sz w:val="16"/>
          <w:szCs w:val="16"/>
          <w:color w:val="auto"/>
        </w:rPr>
        <w:t>The following table presents the components of our total Asset impairment charges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92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65,108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32,786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151,108</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Other intangible asset impairment charges</w:t>
            </w:r>
          </w:p>
        </w:tc>
        <w:tc>
          <w:tcPr>
            <w:tcW w:w="920" w:type="dxa"/>
            <w:vAlign w:val="bottom"/>
          </w:tcPr>
          <w:p>
            <w:pPr>
              <w:spacing w:after="0"/>
              <w:rPr>
                <w:sz w:val="21"/>
                <w:szCs w:val="21"/>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21,699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63,751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100,399</w:t>
            </w:r>
          </w:p>
        </w:tc>
      </w:tr>
      <w:tr>
        <w:trPr>
          <w:trHeight w:val="27"/>
        </w:trPr>
        <w:tc>
          <w:tcPr>
            <w:tcW w:w="5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impairment charges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2,379</w:t>
            </w:r>
          </w:p>
        </w:tc>
      </w:tr>
      <w:tr>
        <w:trPr>
          <w:trHeight w:val="237"/>
        </w:trPr>
        <w:tc>
          <w:tcPr>
            <w:tcW w:w="5520" w:type="dxa"/>
            <w:vAlign w:val="bottom"/>
          </w:tcPr>
          <w:p>
            <w:pPr>
              <w:ind w:left="120"/>
              <w:spacing w:after="0"/>
              <w:rPr>
                <w:sz w:val="20"/>
                <w:szCs w:val="20"/>
                <w:color w:val="auto"/>
              </w:rPr>
            </w:pPr>
            <w:r>
              <w:rPr>
                <w:rFonts w:ascii="Arial" w:cs="Arial" w:eastAsia="Arial" w:hAnsi="Arial"/>
                <w:sz w:val="18"/>
                <w:szCs w:val="18"/>
                <w:color w:val="auto"/>
              </w:rPr>
              <w:t>Total asset impairment charges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88,438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97,785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253,886</w:t>
            </w:r>
          </w:p>
        </w:tc>
      </w:tr>
      <w:tr>
        <w:trPr>
          <w:trHeight w:val="27"/>
        </w:trPr>
        <w:tc>
          <w:tcPr>
            <w:tcW w:w="55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factors leading to our material goodwill and intangible asset impairment tests, as well as the results of these tests, are further described in Note</w:t>
      </w:r>
    </w:p>
    <w:p>
      <w:pPr>
        <w:spacing w:after="0" w:line="46" w:lineRule="exact"/>
        <w:rPr>
          <w:sz w:val="20"/>
          <w:szCs w:val="20"/>
          <w:color w:val="auto"/>
        </w:rPr>
      </w:pPr>
    </w:p>
    <w:p>
      <w:pPr>
        <w:ind w:right="480" w:firstLine="8"/>
        <w:spacing w:after="0" w:line="323" w:lineRule="auto"/>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Goodwill and Other Intangibles of the Condensed Consolidated Financial Statements included in Part I, Item 1. A discussion of critical accounting estimates made in connection with certain of our impairment tests is included below under the caption “CRITICAL ACCOUNTING ESTIMATES.”</w:t>
      </w:r>
    </w:p>
    <w:p>
      <w:pPr>
        <w:spacing w:after="0" w:line="30"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b w:val="1"/>
          <w:bCs w:val="1"/>
          <w:i w:val="1"/>
          <w:iCs w:val="1"/>
          <w:color w:val="auto"/>
        </w:rPr>
        <w:t xml:space="preserve">Acquisition-related and integration items, net. </w:t>
      </w:r>
      <w:r>
        <w:rPr>
          <w:rFonts w:ascii="Arial" w:cs="Arial" w:eastAsia="Arial" w:hAnsi="Arial"/>
          <w:sz w:val="16"/>
          <w:szCs w:val="16"/>
          <w:color w:val="auto"/>
        </w:rPr>
        <w:t>Acquisition-related and integration items, net for the three and six months ended June 30, 2020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primarily consist of the net expense (benefit) from 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5. Fair Value Measurements of the Condensed Consolidated Financial Statements included in Part I, Item 1 for further discussion of our acquisition-related contingent consideration.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The components of Interest expense, net for the three and six months ended June 30, 2020 and 2019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129,562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139,843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265,935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276,949</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(5,034)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(3,894)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(9,465)</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129,164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134,809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262,041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267,484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decreases in interest expense for the three and six months ended June 30, 2020 were primarily attributable to decreases to the London Interbank Offered Rate (LIBOR) that impacted our variable-rate debt and reductions to the amount of our indebtedness associated with the March 2019 Refinancing Transactions and June 2020 Refinancing Transactions, partially offset by increases to the weighted average interest rate applicable to our notes following the March 2019 Refinancing Transactions and June 2020 Refinancing Transactions, as well as interest expense associated with our June 2019 Revolving Credit Facility draw of $300.0 million. Refer to Note 11. Debt of the Condensed Consolidated Financial Statements included in Part I, Item 1 for further discussion of these transactions.</w:t>
      </w:r>
    </w:p>
    <w:p>
      <w:pPr>
        <w:spacing w:after="0" w:line="84"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Changes in interest rates could increase our interest expense in the future, which could have a material adverse effect on our business, financial condition, results of operations and cash flows.</w:t>
      </w:r>
    </w:p>
    <w:p>
      <w:pPr>
        <w:spacing w:after="0" w:line="6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Interest income varies primarily based on the amounts of our interest-bearing investments, such as money market funds, as well as changes in the corresponding interest rates.</w:t>
      </w:r>
    </w:p>
    <w:p>
      <w:pPr>
        <w:spacing w:after="0" w:line="6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Gain on extinguishment of debt. </w:t>
      </w:r>
      <w:r>
        <w:rPr>
          <w:rFonts w:ascii="Arial" w:cs="Arial" w:eastAsia="Arial" w:hAnsi="Arial"/>
          <w:sz w:val="18"/>
          <w:szCs w:val="18"/>
          <w:color w:val="auto"/>
        </w:rPr>
        <w:t>The amount during the six months ended June 30, 2019 relates to the March 2019 Refinancing Transactions. Refer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Note 11. Debt of the Condensed Consolidated Financial Statements included in Part I, Item 1 for further discussion.</w:t>
      </w:r>
    </w:p>
    <w:p>
      <w:pPr>
        <w:spacing w:after="0" w:line="62"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The components of Other (income) expense, net for the three and six months ended June 30, 2020 and 2019 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on sale of business and other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(1,168)</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Foreign currency loss (gain), net</w:t>
            </w:r>
          </w:p>
        </w:tc>
        <w:tc>
          <w:tcPr>
            <w:tcW w:w="28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3,757</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(gain) loss from our investments in the equity of other companies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2,355</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Other miscellaneous, net</w:t>
            </w:r>
          </w:p>
        </w:tc>
        <w:tc>
          <w:tcPr>
            <w:tcW w:w="2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(739)</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(4,150)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(18,124)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4,205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For additional information on the components of Other (income) expense, net, refer to Note 15. Other (Income) Expense, Net of the Condensed Consolidated Financial Statements included in Part I, Item 1 of this report.</w:t>
      </w:r>
    </w:p>
    <w:p>
      <w:pPr>
        <w:spacing w:after="0" w:line="6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b w:val="1"/>
          <w:bCs w:val="1"/>
          <w:i w:val="1"/>
          <w:iCs w:val="1"/>
          <w:color w:val="auto"/>
        </w:rPr>
        <w:t>Income tax expense (benefit)</w:t>
      </w:r>
      <w:r>
        <w:rPr>
          <w:rFonts w:ascii="Arial" w:cs="Arial" w:eastAsia="Arial" w:hAnsi="Arial"/>
          <w:sz w:val="18"/>
          <w:szCs w:val="18"/>
          <w:color w:val="auto"/>
        </w:rPr>
        <w:t>. The following table displays our Income (loss) from continuing operations before income tax, Income tax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and Effective tax rate for the three and six months ended June 30, 2020 and 2019 (dollars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4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25,252</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(94,584)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46,501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(96,293)</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7,642</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(128,690)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14,371</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Effective tax rate</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(14.9)%</w:t>
            </w:r>
          </w:p>
        </w:tc>
      </w:tr>
      <w:tr>
        <w:trPr>
          <w:trHeight w:val="27"/>
        </w:trPr>
        <w:tc>
          <w:tcPr>
            <w:tcW w:w="5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6"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income tax expense for the three months ended June 30, 2020 primarily relates to the discrete tax adjustment related to the CARES Act. The income tax expense for the comparable 2019 period primarily relates to accrued interest on uncertain tax positions.</w:t>
      </w:r>
    </w:p>
    <w:p>
      <w:pPr>
        <w:spacing w:after="0" w:line="6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income tax benefit for the six months ended June 30, 2020 primarily relates to the discrete tax benefit arising from the CARES Act. The income tax expense for the comparable 2019 period primarily relates to a taxable gain arising from the extinguishment of debt in the March 2019 Refinancing Transactions and accrued interest on uncertain tax positions.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have valuation allowances established against our deferred tax assets in most jurisdictions in which we operate, with the exception of Canada and India. Accordingly, it would be unlikely for future pre-tax losses to create a tax benefit that would be more likely than not to be realized. Although the Company has valuation allowances established against deferred tax assets in most major jurisdictions as of June 30, 2020, it is possible that there could be material reversals, particularly if certain proposed law changes were to be enacted.</w:t>
      </w:r>
    </w:p>
    <w:p>
      <w:pPr>
        <w:spacing w:after="0" w:line="79" w:lineRule="exact"/>
        <w:rPr>
          <w:sz w:val="20"/>
          <w:szCs w:val="20"/>
          <w:color w:val="auto"/>
        </w:rPr>
      </w:pPr>
    </w:p>
    <w:p>
      <w:pPr>
        <w:ind w:right="220" w:firstLine="486"/>
        <w:spacing w:after="0" w:line="275" w:lineRule="auto"/>
        <w:rPr>
          <w:sz w:val="20"/>
          <w:szCs w:val="20"/>
          <w:color w:val="auto"/>
        </w:rPr>
      </w:pPr>
      <w:r>
        <w:rPr>
          <w:rFonts w:ascii="Arial" w:cs="Arial" w:eastAsia="Arial" w:hAnsi="Arial"/>
          <w:sz w:val="17"/>
          <w:szCs w:val="17"/>
          <w:color w:val="auto"/>
        </w:rPr>
        <w:t>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worthless stock deduction directly attributable to product liability losses. For additional information, including a discussion of related recent developments and their potential impact on us, refer to Note 16. Income Taxes of the Condensed Consolidated Financial Statements included in Part I, Item 1.</w:t>
      </w:r>
    </w:p>
    <w:p>
      <w:pPr>
        <w:spacing w:after="0" w:line="6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IRS will likely examine our tax returns for other fiscal years and/or for other tax positions. Similarly, other tax authorities, including the Canada Revenue Agency,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An adverse outcome of these tax examinations could have a material adverse effect on our business, financial condition, results of operations and cash flows.</w:t>
      </w:r>
    </w:p>
    <w:p>
      <w:pPr>
        <w:spacing w:after="0" w:line="80"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For additional information on our income taxes, including information about the impact of the CARES Act, see Note 16. Income Taxes of the Condensed Consolidated Financial Statements included in Part I, Item 1.</w:t>
      </w:r>
    </w:p>
    <w:p>
      <w:pPr>
        <w:spacing w:after="0" w:line="62"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b w:val="1"/>
          <w:bCs w:val="1"/>
          <w:i w:val="1"/>
          <w:iCs w:val="1"/>
          <w:color w:val="auto"/>
        </w:rPr>
        <w:t xml:space="preserve">Discontinued operations, net of tax. </w:t>
      </w:r>
      <w:r>
        <w:rPr>
          <w:rFonts w:ascii="Arial" w:cs="Arial" w:eastAsia="Arial" w:hAnsi="Arial"/>
          <w:sz w:val="16"/>
          <w:szCs w:val="16"/>
          <w:color w:val="auto"/>
        </w:rPr>
        <w:t>The operating results of the Company’s Astora business, which the Board resolved to wind-down in 2016,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as Discontinued operations, net of tax in the Condensed Consolidated Statements of Operations for all periods presented. The results of our discontinued operations, net of tax, were losses of $7.1 million and $8.0 million during the three months ended June 30, 2020 and 2019, respectively, and losses of $34.7 million and $13.9 million during the six months ended June 30, 2020 and 2019, respectively. During the three months ended June 30, 2020, we recorded a net reduction to expense for mesh-related litigation of $2.1 million. During the six months ended June 30, 2020, we recorded a net charge for mesh-related litigation of $28.4 million. The remaining pre-tax amounts during the three and six months ended June 30, 2020 and 2019 were primarily related to mesh-related legal defense costs and certain other items. Additionally, we recorded income tax expense of $0.5 million and income tax benefit of $5.3 million related to discontinued operations during the three and six months ended June 30, 2020, respectively. For additional discussion of mesh-related matters, refer to Note 12. Commitments and Contingencies of the Condensed Consolidated Financial Statements included in Part I, Item 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21"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Refer to Note 4. Segment Results of the Condensed Consolidated Financial Statements included in Part I, Item 1 of this report for further details regarding our reportable segments and segment adjusted income from continuing operations before income tax (the measure we use to evaluate segment performance), as well as reconciliations of Total consolidated income (loss) from continuing operations before income tax, which is determined in accordance with U.S. GAAP, to our total segment adjusted income from continuing operations before income tax.</w:t>
      </w:r>
    </w:p>
    <w:p>
      <w:pPr>
        <w:spacing w:after="0" w:line="63"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We refer to segment adjusted income from continuing operations before income tax, a financial measure not defined by U.S. GAAP,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Further, we believe that segment adjusted income from continuing operations before income tax may be useful to investors as we are aware that certain of our significant shareholders utilize segment adjusted income from continuing operations before income tax to evaluate our financial performance. Finally, segment adjusted income from continuing operations before income tax is utilized in the calculation of other financial measures not determined in accordance with U.S. GAAP that are used by the Compensation Committee of the Company’s Board in assessing the performance and compensation of substantially all of our employees, including our executive officers. Effective January 1, 2020, the Company revised its definition of segment adjusted income from continuing operations before income tax to exclude certain legal costs in order to reflect changes in how the CODM reviews segment performance. Refer to Note 4. Segment Results of the Condensed Consolidated Financial Statements included in Part I, Item 1 of this report for further details regarding this revision.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There are limitations to using financial measures such as segment adjusted income from continuing operations before income tax. Other companies in our industry may define segment adjusted income from continuing operations before income tax differently than we do. As a result, it may be difficult to use segment adjusted income from continuing operations before income tax or similarly named adjusted financial measures that other companies may use to compare the performance of those companies to our performance. Because of these limitations, segment adjusted income from continuing operations before income tax is not intended to represent cash flow from operations as defined by U.S. GAAP and should not be used as an indicator of operating performance, a measure of liquidity or as alternative to net income, cash flows or any other financial measure determined in accordance with U.S. GAAP. We compensate for these limitations by providing, in Note 4. Segment Results of the Condensed Consolidated Financial Statements included in Part I, Item 1 of this report, reconciliations of Total consolidated income (loss) from continuing operations before income tax, which is determined in accordance with U.S. GAAP, to our total segment adjusted income from continuing operations before income tax.</w:t>
      </w:r>
    </w:p>
    <w:p>
      <w:pPr>
        <w:spacing w:after="0" w:line="5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Revenues, net. </w:t>
      </w:r>
      <w:r>
        <w:rPr>
          <w:rFonts w:ascii="Arial" w:cs="Arial" w:eastAsia="Arial" w:hAnsi="Arial"/>
          <w:sz w:val="18"/>
          <w:szCs w:val="18"/>
          <w:color w:val="auto"/>
        </w:rPr>
        <w:t>The following table displays our revenue by reportable segment for the three and six months ended June 30, 2020 and 2019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 vs. 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 vs. 2019</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129,521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209,013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333,594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412,538</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28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319,214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244,280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655,604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514,328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215,879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217,784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467,162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436,310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International Pharmaceuticals (1)</w:t>
            </w:r>
          </w:p>
        </w:tc>
        <w:tc>
          <w:tcPr>
            <w:tcW w:w="28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22,974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28,650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51,633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56,962</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revenues from external</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687,588</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699,727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1,507,993</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1,420,138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customers</w:t>
            </w: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80" w:hanging="310"/>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101"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i w:val="1"/>
          <w:iCs w:val="1"/>
          <w:color w:val="auto"/>
        </w:rPr>
        <w:t>Branded Pharmaceuticals</w:t>
      </w:r>
      <w:r>
        <w:rPr>
          <w:rFonts w:ascii="Arial" w:cs="Arial" w:eastAsia="Arial" w:hAnsi="Arial"/>
          <w:sz w:val="18"/>
          <w:szCs w:val="18"/>
          <w:color w:val="auto"/>
        </w:rPr>
        <w:t>. The following table displays the significant components of our Branded Pharmaceuticals revenues from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for the three and six months ended June 30, 2020 and 2019 (dollars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r>
      <w:tr>
        <w:trPr>
          <w:trHeight w:val="196"/>
        </w:trPr>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2020 vs. 2019</w:t>
            </w:r>
          </w:p>
        </w:tc>
        <w:tc>
          <w:tcPr>
            <w:tcW w:w="340" w:type="dxa"/>
            <w:vAlign w:val="bottom"/>
          </w:tcPr>
          <w:p>
            <w:pPr>
              <w:spacing w:after="0"/>
              <w:rPr>
                <w:sz w:val="17"/>
                <w:szCs w:val="17"/>
                <w:color w:val="auto"/>
              </w:rPr>
            </w:pPr>
          </w:p>
        </w:tc>
        <w:tc>
          <w:tcPr>
            <w:tcW w:w="1000" w:type="dxa"/>
            <w:vAlign w:val="bottom"/>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b w:val="1"/>
                <w:bCs w:val="1"/>
                <w:color w:val="auto"/>
              </w:rPr>
              <w:t>2020 vs. 2019</w:t>
            </w:r>
          </w:p>
        </w:tc>
      </w:tr>
      <w:tr>
        <w:trPr>
          <w:trHeight w:val="236"/>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Specialty Products: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000" w:type="dxa"/>
            <w:vAlign w:val="bottom"/>
          </w:tcPr>
          <w:p>
            <w:pPr>
              <w:ind w:left="120"/>
              <w:spacing w:after="0"/>
              <w:rPr>
                <w:sz w:val="20"/>
                <w:szCs w:val="20"/>
                <w:color w:val="auto"/>
              </w:rPr>
            </w:pPr>
            <w:r>
              <w:rPr>
                <w:rFonts w:ascii="Arial" w:cs="Arial" w:eastAsia="Arial" w:hAnsi="Arial"/>
                <w:sz w:val="18"/>
                <w:szCs w:val="18"/>
                <w:color w:val="auto"/>
              </w:rPr>
              <w:t>XIAFLEX®</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33,783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74,855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122,855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143,362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SUPPRELIN® LA</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15,395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23,714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45,770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000" w:type="dxa"/>
            <w:vAlign w:val="bottom"/>
          </w:tcPr>
          <w:p>
            <w:pPr>
              <w:ind w:left="120"/>
              <w:spacing w:after="0"/>
              <w:rPr>
                <w:sz w:val="20"/>
                <w:szCs w:val="20"/>
                <w:color w:val="auto"/>
              </w:rPr>
            </w:pPr>
            <w:r>
              <w:rPr>
                <w:rFonts w:ascii="Arial" w:cs="Arial" w:eastAsia="Arial" w:hAnsi="Arial"/>
                <w:sz w:val="18"/>
                <w:szCs w:val="18"/>
                <w:color w:val="auto"/>
              </w:rPr>
              <w:t>Other Specialty (1)</w:t>
            </w:r>
          </w:p>
        </w:tc>
        <w:tc>
          <w:tcPr>
            <w:tcW w:w="3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19,566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25,524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45,071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49,927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63"/>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Specialty Products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68,744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124,093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203,041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239,059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i w:val="1"/>
                <w:iCs w:val="1"/>
                <w:color w:val="auto"/>
              </w:rPr>
              <w:t>Established Products: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
        </w:trPr>
        <w:tc>
          <w:tcPr>
            <w:tcW w:w="3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PERCOCET®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27,578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28,878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55,281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59,638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000" w:type="dxa"/>
            <w:vAlign w:val="bottom"/>
          </w:tcPr>
          <w:p>
            <w:pPr>
              <w:ind w:left="140"/>
              <w:spacing w:after="0"/>
              <w:rPr>
                <w:sz w:val="20"/>
                <w:szCs w:val="20"/>
                <w:color w:val="auto"/>
              </w:rPr>
            </w:pPr>
            <w:r>
              <w:rPr>
                <w:rFonts w:ascii="Arial" w:cs="Arial" w:eastAsia="Arial" w:hAnsi="Arial"/>
                <w:sz w:val="18"/>
                <w:szCs w:val="18"/>
                <w:color w:val="auto"/>
              </w:rPr>
              <w:t>LIDODERM</w:t>
            </w:r>
            <w:r>
              <w:rPr>
                <w:rFonts w:ascii="Arial" w:cs="Arial" w:eastAsia="Arial" w:hAnsi="Arial"/>
                <w:sz w:val="23"/>
                <w:szCs w:val="23"/>
                <w:color w:val="auto"/>
                <w:vertAlign w:val="superscript"/>
              </w:rPr>
              <w:t>®</w:t>
            </w:r>
          </w:p>
        </w:tc>
        <w:tc>
          <w:tcPr>
            <w:tcW w:w="300" w:type="dxa"/>
            <w:vAlign w:val="bottom"/>
          </w:tcPr>
          <w:p>
            <w:pPr>
              <w:spacing w:after="0"/>
              <w:rPr>
                <w:sz w:val="23"/>
                <w:szCs w:val="23"/>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7,056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9,051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14,279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17,120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EDEX</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6,604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7,662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15,172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13,633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3000" w:type="dxa"/>
            <w:vAlign w:val="bottom"/>
          </w:tcPr>
          <w:p>
            <w:pPr>
              <w:ind w:left="120"/>
              <w:spacing w:after="0"/>
              <w:rPr>
                <w:sz w:val="20"/>
                <w:szCs w:val="20"/>
                <w:color w:val="auto"/>
              </w:rPr>
            </w:pPr>
            <w:r>
              <w:rPr>
                <w:rFonts w:ascii="Arial" w:cs="Arial" w:eastAsia="Arial" w:hAnsi="Arial"/>
                <w:sz w:val="18"/>
                <w:szCs w:val="18"/>
                <w:color w:val="auto"/>
              </w:rPr>
              <w:t>Other Established (2)</w:t>
            </w:r>
          </w:p>
        </w:tc>
        <w:tc>
          <w:tcPr>
            <w:tcW w:w="3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19,539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39,329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45,821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83,088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3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63"/>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Established Products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60,777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84,920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130,553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173,479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3000" w:type="dxa"/>
            <w:vAlign w:val="bottom"/>
          </w:tcPr>
          <w:p>
            <w:pPr>
              <w:ind w:left="20"/>
              <w:spacing w:after="0"/>
              <w:rPr>
                <w:sz w:val="20"/>
                <w:szCs w:val="20"/>
                <w:color w:val="auto"/>
              </w:rPr>
            </w:pPr>
            <w:r>
              <w:rPr>
                <w:rFonts w:ascii="Arial" w:cs="Arial" w:eastAsia="Arial" w:hAnsi="Arial"/>
                <w:sz w:val="18"/>
                <w:szCs w:val="18"/>
                <w:color w:val="auto"/>
              </w:rPr>
              <w:t>Total Branded Pharmaceuticals (3)</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129,521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209,013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333,594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412,538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3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80" w:hanging="310"/>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9"/>
          <w:szCs w:val="9"/>
          <w:color w:val="auto"/>
        </w:rPr>
        <w:t>®</w:t>
      </w:r>
      <w:r>
        <w:rPr>
          <w:rFonts w:ascii="Arial" w:cs="Arial" w:eastAsia="Arial" w:hAnsi="Arial"/>
          <w:sz w:val="14"/>
          <w:szCs w:val="14"/>
          <w:color w:val="auto"/>
        </w:rPr>
        <w:t xml:space="preserve"> Nasal Spray and AVEED</w:t>
      </w:r>
      <w:r>
        <w:rPr>
          <w:rFonts w:ascii="Arial" w:cs="Arial" w:eastAsia="Arial" w:hAnsi="Arial"/>
          <w:sz w:val="9"/>
          <w:szCs w:val="9"/>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TESTOPEL</w:t>
      </w:r>
      <w:r>
        <w:rPr>
          <w:rFonts w:ascii="Arial" w:cs="Arial" w:eastAsia="Arial" w:hAnsi="Arial"/>
          <w:sz w:val="9"/>
          <w:szCs w:val="9"/>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00" w:right="60" w:hanging="330"/>
        <w:spacing w:after="0" w:line="255" w:lineRule="auto"/>
        <w:tabs>
          <w:tab w:leader="none" w:pos="492"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six months ended June 30, 2020 and/or any product having revenues in excess of $25 million during any quarterly period in 2020 or 2019.</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w:t>
      </w:r>
    </w:p>
    <w:p>
      <w:pPr>
        <w:spacing w:after="0" w:line="117" w:lineRule="exact"/>
        <w:rPr>
          <w:sz w:val="20"/>
          <w:szCs w:val="20"/>
          <w:color w:val="auto"/>
        </w:rPr>
      </w:pPr>
    </w:p>
    <w:p>
      <w:pPr>
        <w:ind w:right="140" w:firstLine="486"/>
        <w:spacing w:after="0" w:line="233" w:lineRule="auto"/>
        <w:rPr>
          <w:sz w:val="20"/>
          <w:szCs w:val="20"/>
          <w:color w:val="auto"/>
        </w:rPr>
      </w:pPr>
      <w:r>
        <w:rPr>
          <w:rFonts w:ascii="Arial" w:cs="Arial" w:eastAsia="Arial" w:hAnsi="Arial"/>
          <w:sz w:val="17"/>
          <w:szCs w:val="17"/>
          <w:color w:val="auto"/>
        </w:rPr>
        <w:t>XIAFLEX</w:t>
      </w:r>
      <w:r>
        <w:rPr>
          <w:rFonts w:ascii="Arial" w:cs="Arial" w:eastAsia="Arial" w:hAnsi="Arial"/>
          <w:sz w:val="22"/>
          <w:szCs w:val="22"/>
          <w:color w:val="auto"/>
          <w:vertAlign w:val="superscript"/>
        </w:rPr>
        <w:t>®</w:t>
      </w:r>
      <w:r>
        <w:rPr>
          <w:rFonts w:ascii="Arial" w:cs="Arial" w:eastAsia="Arial" w:hAnsi="Arial"/>
          <w:sz w:val="17"/>
          <w:szCs w:val="17"/>
          <w:color w:val="auto"/>
        </w:rPr>
        <w:t>, SUPPRELIN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 and certain of our Other Specialty Products are physician administered products. Beginning during the last two weeks of the first quarter of 2020 and continuing into the second quarter of 2020, certain of our products that are physician administered,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SUPPRELIN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 and AVEED</w:t>
      </w:r>
      <w:r>
        <w:rPr>
          <w:rFonts w:ascii="Arial" w:cs="Arial" w:eastAsia="Arial" w:hAnsi="Arial"/>
          <w:sz w:val="22"/>
          <w:szCs w:val="22"/>
          <w:color w:val="auto"/>
          <w:vertAlign w:val="superscript"/>
        </w:rPr>
        <w:t>®</w:t>
      </w:r>
      <w:r>
        <w:rPr>
          <w:rFonts w:ascii="Arial" w:cs="Arial" w:eastAsia="Arial" w:hAnsi="Arial"/>
          <w:sz w:val="17"/>
          <w:szCs w:val="17"/>
          <w:color w:val="auto"/>
        </w:rPr>
        <w:t>, began experiencing significantly decreased sales volumes due to reduced physician office activity and patient office visits compared to prior year because of the COVID-19 pandemic. These decreased sales volumes resulted in decreased revenues for XIAFLEX</w:t>
      </w:r>
      <w:r>
        <w:rPr>
          <w:rFonts w:ascii="Arial" w:cs="Arial" w:eastAsia="Arial" w:hAnsi="Arial"/>
          <w:sz w:val="22"/>
          <w:szCs w:val="22"/>
          <w:color w:val="auto"/>
          <w:vertAlign w:val="superscript"/>
        </w:rPr>
        <w:t>®</w:t>
      </w:r>
      <w:r>
        <w:rPr>
          <w:rFonts w:ascii="Arial" w:cs="Arial" w:eastAsia="Arial" w:hAnsi="Arial"/>
          <w:sz w:val="17"/>
          <w:szCs w:val="17"/>
          <w:color w:val="auto"/>
        </w:rPr>
        <w:t>, SUPPRELIN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 and certain of our Other Specialty Products for both the three and six months ended June 30, 2020. The decreases in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revenues were partially offset by price. During the second quarter of 2020, sales volumes began to recover as certain physician offices reopened. We expect to see sales volumes continue to recover in our Specialty Products portfolio in the second half of the year to the extent that physician and patient activities continue to return toward pre-COVID-19 levels.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w:t>
      </w:r>
    </w:p>
    <w:p>
      <w:pPr>
        <w:spacing w:after="0" w:line="117" w:lineRule="exact"/>
        <w:rPr>
          <w:sz w:val="20"/>
          <w:szCs w:val="20"/>
          <w:color w:val="auto"/>
        </w:rPr>
      </w:pPr>
    </w:p>
    <w:p>
      <w:pPr>
        <w:ind w:right="60" w:firstLine="486"/>
        <w:spacing w:after="0" w:line="227" w:lineRule="auto"/>
        <w:rPr>
          <w:sz w:val="20"/>
          <w:szCs w:val="20"/>
          <w:color w:val="auto"/>
        </w:rPr>
      </w:pPr>
      <w:r>
        <w:rPr>
          <w:rFonts w:ascii="Arial" w:cs="Arial" w:eastAsia="Arial" w:hAnsi="Arial"/>
          <w:sz w:val="18"/>
          <w:szCs w:val="18"/>
          <w:color w:val="auto"/>
        </w:rPr>
        <w:t>The decreases in PERCOCET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and six months ended June 30, 2020 were primarily attributable to volume decreases, partially offset by price increases.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decreases in LIDODERM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and six months ended June 30, 2020 were primarily attributable to price.</w:t>
      </w:r>
    </w:p>
    <w:p>
      <w:pPr>
        <w:spacing w:after="0" w:line="60" w:lineRule="exact"/>
        <w:rPr>
          <w:sz w:val="20"/>
          <w:szCs w:val="20"/>
          <w:color w:val="auto"/>
        </w:rPr>
      </w:pPr>
    </w:p>
    <w:p>
      <w:pPr>
        <w:ind w:right="60" w:firstLine="486"/>
        <w:spacing w:after="0" w:line="215" w:lineRule="auto"/>
        <w:rPr>
          <w:sz w:val="20"/>
          <w:szCs w:val="20"/>
          <w:color w:val="auto"/>
        </w:rPr>
      </w:pPr>
      <w:r>
        <w:rPr>
          <w:rFonts w:ascii="Arial" w:cs="Arial" w:eastAsia="Arial" w:hAnsi="Arial"/>
          <w:sz w:val="18"/>
          <w:szCs w:val="18"/>
          <w:color w:val="auto"/>
        </w:rPr>
        <w:t>The decrease in EDEX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months ended June 30, 2020 was primarily attributable to decreased price, partially offset by increased volume. The increase in EDEX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six months ended June 30, 2020 was primarily attributable to increased volume, partially offset by decreased price.</w:t>
      </w:r>
    </w:p>
    <w:p>
      <w:pPr>
        <w:spacing w:after="0" w:line="97"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color w:val="auto"/>
        </w:rPr>
        <w:t>The decreases in Other Established Products revenues for the three and six months ended June 30, 2020 were primarily attributable to volume decreases as a result of ongoing competitive pressures and a temporary product supply disruption, which has been resolved.</w:t>
      </w:r>
    </w:p>
    <w:p>
      <w:pPr>
        <w:spacing w:after="0" w:line="3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following table displays the significant components of our Sterile Injectables revenues from external customers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June 30, 2020 and 2019 (dollars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r>
      <w:tr>
        <w:trPr>
          <w:trHeight w:val="196"/>
        </w:trPr>
        <w:tc>
          <w:tcPr>
            <w:tcW w:w="30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 vs. 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 vs. 2019</w:t>
            </w:r>
          </w:p>
        </w:tc>
        <w:tc>
          <w:tcPr>
            <w:tcW w:w="180" w:type="dxa"/>
            <w:vAlign w:val="bottom"/>
            <w:tcBorders>
              <w:bottom w:val="single" w:sz="8" w:color="auto"/>
            </w:tcBorders>
          </w:tcPr>
          <w:p>
            <w:pPr>
              <w:spacing w:after="0"/>
              <w:rPr>
                <w:sz w:val="17"/>
                <w:szCs w:val="17"/>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VASOSTRICT®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214,214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116,026</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417,118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255,163</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ADRENALIN®</w:t>
            </w:r>
          </w:p>
        </w:tc>
        <w:tc>
          <w:tcPr>
            <w:tcW w:w="28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33,161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45,835</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89,673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93,157</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Ertapenem for injection</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11,990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25,547</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29,864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57,766</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APLISOL®</w:t>
            </w:r>
          </w:p>
        </w:tc>
        <w:tc>
          <w:tcPr>
            <w:tcW w:w="28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6,511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15,530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16,378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27,911</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Sterile Injectables (1)</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53,338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41,342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102,571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80,331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63"/>
        </w:trPr>
        <w:tc>
          <w:tcPr>
            <w:tcW w:w="3000" w:type="dxa"/>
            <w:vAlign w:val="bottom"/>
          </w:tcPr>
          <w:p>
            <w:pPr>
              <w:ind w:left="120"/>
              <w:spacing w:after="0"/>
              <w:rPr>
                <w:sz w:val="20"/>
                <w:szCs w:val="20"/>
                <w:color w:val="auto"/>
              </w:rPr>
            </w:pPr>
            <w:r>
              <w:rPr>
                <w:rFonts w:ascii="Arial" w:cs="Arial" w:eastAsia="Arial" w:hAnsi="Arial"/>
                <w:sz w:val="18"/>
                <w:szCs w:val="18"/>
                <w:color w:val="auto"/>
              </w:rPr>
              <w:t>Total Sterile Injectables (2)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319,214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244,280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655,604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514,328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80" w:hanging="310"/>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ephedrine sulfate injection and others.</w:t>
      </w:r>
    </w:p>
    <w:p>
      <w:pPr>
        <w:spacing w:after="0" w:line="1" w:lineRule="exact"/>
        <w:rPr>
          <w:rFonts w:ascii="Arial" w:cs="Arial" w:eastAsia="Arial" w:hAnsi="Arial"/>
          <w:sz w:val="14"/>
          <w:szCs w:val="14"/>
          <w:color w:val="auto"/>
        </w:rPr>
      </w:pPr>
    </w:p>
    <w:p>
      <w:pPr>
        <w:ind w:left="500" w:right="220" w:hanging="330"/>
        <w:spacing w:after="0" w:line="255" w:lineRule="auto"/>
        <w:tabs>
          <w:tab w:leader="none" w:pos="492"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within the Sterile Injectables segment for either the three or six months ended June 30, 2020 and/or any product having revenues in excess of $25 million during any quarterly period in 2020 or 2019.</w:t>
      </w:r>
    </w:p>
    <w:p>
      <w:pPr>
        <w:spacing w:after="0" w:line="82" w:lineRule="exact"/>
        <w:rPr>
          <w:sz w:val="20"/>
          <w:szCs w:val="20"/>
          <w:color w:val="auto"/>
        </w:rPr>
      </w:pPr>
    </w:p>
    <w:p>
      <w:pPr>
        <w:ind w:right="280" w:firstLine="486"/>
        <w:spacing w:after="0" w:line="249" w:lineRule="auto"/>
        <w:rPr>
          <w:sz w:val="20"/>
          <w:szCs w:val="20"/>
          <w:color w:val="auto"/>
        </w:rPr>
      </w:pPr>
      <w:r>
        <w:rPr>
          <w:rFonts w:ascii="Arial" w:cs="Arial" w:eastAsia="Arial" w:hAnsi="Arial"/>
          <w:sz w:val="17"/>
          <w:szCs w:val="17"/>
          <w:color w:val="auto"/>
        </w:rPr>
        <w:t>The increases in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revenues for the three and six months ended June 30, 2020 were primarily attributable to increases in volume resulting from the impacts of COVID-19 described above, as well as price. During the second half of 2020, we anticipate a period of significant channel inventory destocking with a subsequent return toward pre-COVID-19 buying patterns near the end of 2020.</w:t>
      </w:r>
    </w:p>
    <w:p>
      <w:pPr>
        <w:spacing w:after="0" w:line="88" w:lineRule="exact"/>
        <w:rPr>
          <w:sz w:val="20"/>
          <w:szCs w:val="20"/>
          <w:color w:val="auto"/>
        </w:rPr>
      </w:pPr>
    </w:p>
    <w:p>
      <w:pPr>
        <w:ind w:right="60" w:firstLine="486"/>
        <w:spacing w:after="0" w:line="215" w:lineRule="auto"/>
        <w:rPr>
          <w:sz w:val="20"/>
          <w:szCs w:val="20"/>
          <w:color w:val="auto"/>
        </w:rPr>
      </w:pPr>
      <w:r>
        <w:rPr>
          <w:rFonts w:ascii="Arial" w:cs="Arial" w:eastAsia="Arial" w:hAnsi="Arial"/>
          <w:sz w:val="18"/>
          <w:szCs w:val="18"/>
          <w:color w:val="auto"/>
        </w:rPr>
        <w:t>As of June 30, 2020, we have six patents for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listed in the Orange Book and additional patents pending with the U.S. Patent and Trademark Office. The FDA requires any applicant seeking FDA approval for vasopressin prior to patent expiry and relying on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the reference-listed drug to notify us of its filing before the FDA will issue an approval. As further discussed in Note 12. Commitments and Contingencies of the Condensed Consolidated Financial Statements included in Part I, Item 1 under the heading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Matters,” we have received notice letters from certain other pharmaceutical companies advising of the filing by such companies of ANDAs for generic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We have taken and plan to continue to take actions in our best interest to protect our rights with respect to VASOSTRICT</w:t>
      </w:r>
      <w:r>
        <w:rPr>
          <w:rFonts w:ascii="Arial" w:cs="Arial" w:eastAsia="Arial" w:hAnsi="Arial"/>
          <w:sz w:val="23"/>
          <w:szCs w:val="23"/>
          <w:color w:val="auto"/>
          <w:vertAlign w:val="superscript"/>
        </w:rPr>
        <w:t>®</w:t>
      </w:r>
      <w:r>
        <w:rPr>
          <w:rFonts w:ascii="Arial" w:cs="Arial" w:eastAsia="Arial" w:hAnsi="Arial"/>
          <w:sz w:val="18"/>
          <w:szCs w:val="18"/>
          <w:color w:val="auto"/>
        </w:rPr>
        <w:t>. The introduction of any competing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could result in reductions to our market share and could have a material adverse effect on our business, financial condition, results of operations and cash flows.</w:t>
      </w:r>
    </w:p>
    <w:p>
      <w:pPr>
        <w:spacing w:after="0" w:line="95" w:lineRule="exact"/>
        <w:rPr>
          <w:sz w:val="20"/>
          <w:szCs w:val="20"/>
          <w:color w:val="auto"/>
        </w:rPr>
      </w:pPr>
    </w:p>
    <w:p>
      <w:pPr>
        <w:ind w:right="80" w:firstLine="486"/>
        <w:spacing w:after="0" w:line="241" w:lineRule="auto"/>
        <w:rPr>
          <w:sz w:val="20"/>
          <w:szCs w:val="20"/>
          <w:color w:val="auto"/>
        </w:rPr>
      </w:pPr>
      <w:r>
        <w:rPr>
          <w:rFonts w:ascii="Arial" w:cs="Arial" w:eastAsia="Arial" w:hAnsi="Arial"/>
          <w:sz w:val="16"/>
          <w:szCs w:val="16"/>
          <w:color w:val="auto"/>
        </w:rPr>
        <w:t>The decrease in ADRENALIN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for the three months ended June 30, 2020 was primarily driven by destocking, the impact of a competitive entry and changes in contract mix. The decrease in ADRENALIN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for the six months ended June 30, 2020 was primarily driven by destocking and the impact of a competitive entry. The introduction of one or more additional competing versions of ADRENALIN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could result in further reductions to our market share and could have a material adverse effect on our business, financial condition, results of operations and cash flows.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27" w:lineRule="auto"/>
        <w:rPr>
          <w:sz w:val="20"/>
          <w:szCs w:val="20"/>
          <w:color w:val="auto"/>
        </w:rPr>
      </w:pPr>
      <w:r>
        <w:rPr>
          <w:rFonts w:ascii="Arial" w:cs="Arial" w:eastAsia="Arial" w:hAnsi="Arial"/>
          <w:sz w:val="18"/>
          <w:szCs w:val="18"/>
          <w:color w:val="auto"/>
        </w:rPr>
        <w:t>The decreases in revenues of ertapenem for injection (the authorized generic of Merck’s Invanz</w:t>
      </w:r>
      <w:r>
        <w:rPr>
          <w:rFonts w:ascii="Arial" w:cs="Arial" w:eastAsia="Arial" w:hAnsi="Arial"/>
          <w:sz w:val="23"/>
          <w:szCs w:val="23"/>
          <w:color w:val="auto"/>
          <w:vertAlign w:val="superscript"/>
        </w:rPr>
        <w:t>®</w:t>
      </w:r>
      <w:r>
        <w:rPr>
          <w:rFonts w:ascii="Arial" w:cs="Arial" w:eastAsia="Arial" w:hAnsi="Arial"/>
          <w:sz w:val="18"/>
          <w:szCs w:val="18"/>
          <w:color w:val="auto"/>
        </w:rPr>
        <w:t>) for the three and six months ended June 30, 2020 were primarily attributable to decreased volume and price as a result of increased competition.</w:t>
      </w:r>
    </w:p>
    <w:p>
      <w:pPr>
        <w:spacing w:after="0" w:line="94" w:lineRule="exact"/>
        <w:rPr>
          <w:sz w:val="20"/>
          <w:szCs w:val="20"/>
          <w:color w:val="auto"/>
        </w:rPr>
      </w:pPr>
    </w:p>
    <w:p>
      <w:pPr>
        <w:ind w:right="160" w:firstLine="486"/>
        <w:spacing w:after="0" w:line="227" w:lineRule="auto"/>
        <w:rPr>
          <w:sz w:val="20"/>
          <w:szCs w:val="20"/>
          <w:color w:val="auto"/>
        </w:rPr>
      </w:pPr>
      <w:r>
        <w:rPr>
          <w:rFonts w:ascii="Arial" w:cs="Arial" w:eastAsia="Arial" w:hAnsi="Arial"/>
          <w:sz w:val="18"/>
          <w:szCs w:val="18"/>
          <w:color w:val="auto"/>
        </w:rPr>
        <w:t>The decreases in APLISOL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and six months ended June 30, 2020 were primarily driven by decreased volume resulting from competition.</w:t>
      </w:r>
    </w:p>
    <w:p>
      <w:pPr>
        <w:spacing w:after="0" w:line="9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increases in Other Sterile Injectables revenues for the three and six months ended June 30, 2020 were primarily driven by increased volumes across multiple products within the product portfolio.</w:t>
      </w:r>
    </w:p>
    <w:p>
      <w:pPr>
        <w:spacing w:after="0" w:line="62" w:lineRule="exact"/>
        <w:rPr>
          <w:sz w:val="20"/>
          <w:szCs w:val="20"/>
          <w:color w:val="auto"/>
        </w:rPr>
      </w:pPr>
    </w:p>
    <w:p>
      <w:pPr>
        <w:ind w:right="40" w:firstLine="486"/>
        <w:spacing w:after="0" w:line="279" w:lineRule="auto"/>
        <w:rPr>
          <w:sz w:val="20"/>
          <w:szCs w:val="20"/>
          <w:color w:val="auto"/>
        </w:rPr>
      </w:pPr>
      <w:r>
        <w:rPr>
          <w:rFonts w:ascii="Arial" w:cs="Arial" w:eastAsia="Arial" w:hAnsi="Arial"/>
          <w:sz w:val="16"/>
          <w:szCs w:val="16"/>
          <w:i w:val="1"/>
          <w:iCs w:val="1"/>
          <w:color w:val="auto"/>
        </w:rPr>
        <w:t xml:space="preserve">Generic Pharmaceuticals. </w:t>
      </w:r>
      <w:r>
        <w:rPr>
          <w:rFonts w:ascii="Arial" w:cs="Arial" w:eastAsia="Arial" w:hAnsi="Arial"/>
          <w:sz w:val="16"/>
          <w:szCs w:val="16"/>
          <w:color w:val="auto"/>
        </w:rPr>
        <w:t>The decrease in Generic Pharmaceuticals revenues for the three months ended June 30, 2020 was primarily attributable to</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sales of colchicine tablets (the authorized generic of Takeda’s Colcrys</w:t>
      </w:r>
      <w:r>
        <w:rPr>
          <w:rFonts w:ascii="Arial" w:cs="Arial" w:eastAsia="Arial" w:hAnsi="Arial"/>
          <w:sz w:val="20"/>
          <w:szCs w:val="20"/>
          <w:color w:val="auto"/>
          <w:vertAlign w:val="superscript"/>
        </w:rPr>
        <w:t>®</w:t>
      </w:r>
      <w:r>
        <w:rPr>
          <w:rFonts w:ascii="Arial" w:cs="Arial" w:eastAsia="Arial" w:hAnsi="Arial"/>
          <w:sz w:val="16"/>
          <w:szCs w:val="16"/>
          <w:color w:val="auto"/>
        </w:rPr>
        <w:t>) resulting from competition, as well as competitive pressures on certain other generic products, partially offset by increased revenues from certain recent product launches. The increase in Generic Pharmaceuticals revenues for the six months ended June 30, 2020 was primarily attributable to increased revenues from certain recent product launches, partially offset by decreased sales of colchicine tablets and continued competitive pressures on certain other generic products. In the second half of 2020, we expect to see a decline in revenue for this segment compared to the first half of 2020 driven by continued competitive pressures on certain commoditized generic products.</w:t>
      </w:r>
    </w:p>
    <w:p>
      <w:pPr>
        <w:spacing w:after="0" w:line="67"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i w:val="1"/>
          <w:iCs w:val="1"/>
          <w:color w:val="auto"/>
        </w:rPr>
        <w:t>International Pharmaceuticals</w:t>
      </w:r>
      <w:r>
        <w:rPr>
          <w:rFonts w:ascii="Arial" w:cs="Arial" w:eastAsia="Arial" w:hAnsi="Arial"/>
          <w:sz w:val="16"/>
          <w:szCs w:val="16"/>
          <w:color w:val="auto"/>
        </w:rPr>
        <w:t>. The decreases in International Pharmaceuticals revenues for the three and six months ended June 30, 2020 were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attributable to competitive pressures in certain international markets and the impact of certain product discontinuation activities.</w:t>
      </w:r>
    </w:p>
    <w:p>
      <w:pPr>
        <w:spacing w:after="0" w:line="16" w:lineRule="exact"/>
        <w:rPr>
          <w:sz w:val="20"/>
          <w:szCs w:val="20"/>
          <w:color w:val="auto"/>
        </w:rPr>
      </w:pPr>
    </w:p>
    <w:p>
      <w:pPr>
        <w:jc w:val="both"/>
        <w:ind w:right="720" w:firstLine="486"/>
        <w:spacing w:after="0" w:line="381" w:lineRule="auto"/>
        <w:rPr>
          <w:sz w:val="20"/>
          <w:szCs w:val="20"/>
          <w:color w:val="auto"/>
        </w:rPr>
      </w:pPr>
      <w:r>
        <w:rPr>
          <w:rFonts w:ascii="Arial" w:cs="Arial" w:eastAsia="Arial" w:hAnsi="Arial"/>
          <w:sz w:val="15"/>
          <w:szCs w:val="15"/>
          <w:b w:val="1"/>
          <w:bCs w:val="1"/>
          <w:i w:val="1"/>
          <w:iCs w:val="1"/>
          <w:color w:val="auto"/>
        </w:rPr>
        <w:t xml:space="preserve">Segment adjusted income from continuing operations before income tax. </w:t>
      </w:r>
      <w:r>
        <w:rPr>
          <w:rFonts w:ascii="Arial" w:cs="Arial" w:eastAsia="Arial" w:hAnsi="Arial"/>
          <w:sz w:val="15"/>
          <w:szCs w:val="15"/>
          <w:color w:val="auto"/>
        </w:rPr>
        <w:t>The following table displays our segment adjusted income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continuing operations before income tax by reportable segment for the three and six months ended June 30, 2020 and 2019 (dollars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r>
      <w:tr>
        <w:trPr>
          <w:trHeight w:val="196"/>
        </w:trPr>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2020 vs. 2019</w:t>
            </w:r>
          </w:p>
        </w:tc>
        <w:tc>
          <w:tcPr>
            <w:tcW w:w="320" w:type="dxa"/>
            <w:vAlign w:val="bottom"/>
          </w:tcPr>
          <w:p>
            <w:pPr>
              <w:spacing w:after="0"/>
              <w:rPr>
                <w:sz w:val="17"/>
                <w:szCs w:val="17"/>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 vs. 2019</w:t>
            </w:r>
          </w:p>
        </w:tc>
        <w:tc>
          <w:tcPr>
            <w:tcW w:w="180" w:type="dxa"/>
            <w:vAlign w:val="bottom"/>
          </w:tcPr>
          <w:p>
            <w:pPr>
              <w:spacing w:after="0"/>
              <w:rPr>
                <w:sz w:val="17"/>
                <w:szCs w:val="17"/>
                <w:color w:val="auto"/>
              </w:rPr>
            </w:pPr>
          </w:p>
        </w:tc>
      </w:tr>
      <w:tr>
        <w:trPr>
          <w:trHeight w:val="250"/>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49,174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101,535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147,596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196,818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241,753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172,188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505,649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368,371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47,394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49,722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104,721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100,133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International Pharmaceuticals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9,304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11,447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23,501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23,542</w:t>
            </w:r>
          </w:p>
        </w:tc>
        <w:tc>
          <w:tcPr>
            <w:tcW w:w="1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121" w:lineRule="exact"/>
        <w:rPr>
          <w:sz w:val="20"/>
          <w:szCs w:val="20"/>
          <w:color w:val="auto"/>
        </w:rPr>
      </w:pPr>
    </w:p>
    <w:p>
      <w:pPr>
        <w:jc w:val="both"/>
        <w:ind w:right="200" w:firstLine="486"/>
        <w:spacing w:after="0" w:line="259" w:lineRule="auto"/>
        <w:rPr>
          <w:sz w:val="20"/>
          <w:szCs w:val="20"/>
          <w:color w:val="auto"/>
        </w:rPr>
      </w:pPr>
      <w:r>
        <w:rPr>
          <w:rFonts w:ascii="Arial" w:cs="Arial" w:eastAsia="Arial" w:hAnsi="Arial"/>
          <w:sz w:val="18"/>
          <w:szCs w:val="18"/>
          <w:i w:val="1"/>
          <w:iCs w:val="1"/>
          <w:color w:val="auto"/>
        </w:rPr>
        <w:t xml:space="preserve">Branded Pharmaceuticals. </w:t>
      </w:r>
      <w:r>
        <w:rPr>
          <w:rFonts w:ascii="Arial" w:cs="Arial" w:eastAsia="Arial" w:hAnsi="Arial"/>
          <w:sz w:val="18"/>
          <w:szCs w:val="18"/>
          <w:color w:val="auto"/>
        </w:rPr>
        <w:t>The decreases for the three and six months ended June 30, 2020 were primarily attributable to decreased revenues and</w:t>
      </w:r>
      <w:r>
        <w:rPr>
          <w:rFonts w:ascii="Arial" w:cs="Arial" w:eastAsia="Arial" w:hAnsi="Arial"/>
          <w:sz w:val="18"/>
          <w:szCs w:val="18"/>
          <w:i w:val="1"/>
          <w:iCs w:val="1"/>
          <w:color w:val="auto"/>
        </w:rPr>
        <w:t xml:space="preserve"> </w:t>
      </w:r>
      <w:r>
        <w:rPr>
          <w:rFonts w:ascii="Arial" w:cs="Arial" w:eastAsia="Arial" w:hAnsi="Arial"/>
          <w:sz w:val="18"/>
          <w:szCs w:val="18"/>
          <w:color w:val="auto"/>
        </w:rPr>
        <w:t>gross margins from physician administered products resulting from the impacts of COVID-19 as further described above. These decreases were partially offset by reduced legal costs associated with certain matters and reduced R&amp;D expense resulting from lower costs associated with certain post-marketing R&amp;D commitments.</w:t>
      </w:r>
    </w:p>
    <w:p>
      <w:pPr>
        <w:spacing w:after="0" w:line="79"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i w:val="1"/>
          <w:iCs w:val="1"/>
          <w:color w:val="auto"/>
        </w:rPr>
        <w:t>Sterile Injectables</w:t>
      </w:r>
      <w:r>
        <w:rPr>
          <w:rFonts w:ascii="Arial" w:cs="Arial" w:eastAsia="Arial" w:hAnsi="Arial"/>
          <w:sz w:val="16"/>
          <w:szCs w:val="16"/>
          <w:color w:val="auto"/>
        </w:rPr>
        <w:t>. The increases for the three and six months ended June 30, 2020 were primarily driven by increased revenues and gross margins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from strong performance across several products in this segment, including increases in revenues related to COVID-19 as further described above.</w:t>
      </w:r>
    </w:p>
    <w:p>
      <w:pPr>
        <w:spacing w:after="0" w:line="1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decrease for the three months ended June 30, 2020 was primarily attributable to decreased revenues as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above. The increase for the six months ended June 30, 2020 was primarily attributable to increased revenues as further described above, partially offset by negative impacts to gross margin due to changes in product mix resulting from increased sales of certain lower margin authorized generic products.</w:t>
      </w:r>
    </w:p>
    <w:p>
      <w:pPr>
        <w:spacing w:after="0" w:line="7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i w:val="1"/>
          <w:iCs w:val="1"/>
          <w:color w:val="auto"/>
        </w:rPr>
        <w:t xml:space="preserve">International Pharmaceuticals. </w:t>
      </w:r>
      <w:r>
        <w:rPr>
          <w:rFonts w:ascii="Arial" w:cs="Arial" w:eastAsia="Arial" w:hAnsi="Arial"/>
          <w:sz w:val="18"/>
          <w:szCs w:val="18"/>
          <w:color w:val="auto"/>
        </w:rPr>
        <w:t>The decrease for the three months ended June 30, 2020 was primarily attributable to decreased revenues as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86"/>
        <w:spacing w:after="0" w:line="286" w:lineRule="auto"/>
        <w:rPr>
          <w:sz w:val="20"/>
          <w:szCs w:val="20"/>
          <w:color w:val="auto"/>
        </w:rPr>
      </w:pPr>
      <w:r>
        <w:rPr>
          <w:rFonts w:ascii="Arial" w:cs="Arial" w:eastAsia="Arial" w:hAnsi="Arial"/>
          <w:sz w:val="16"/>
          <w:szCs w:val="16"/>
          <w:color w:val="auto"/>
        </w:rPr>
        <w:t>Our principal source of liquidity is cash generated from operations. Our principal liquidity requirements are primarily for working capital for operations, licenses, milestone payments, capital expenditures, acquisitions, contingent liabilities, debt service payments, income taxes, litigation-related matters, including vaginal mesh liability payments. The Company’s working capital was $1,463.7 million at June 30, 2020 compared to working capital of $1,125.9 million at December 31, 2019. The amounts at June 30, 2020 and December 31, 2019 include restricted cash and cash equivalents of</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$175.8 million and $242.8 million, respectively, held in QSFs for mesh-related matters. Although these amounts in QSFs are included in working capital, they are required to be used for mesh product liability settlement agreements.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Cash and cash equivalents, which primarily consisted of bank deposits and money market accounts, totaled $1,780.1 million at June 30, 2020 compared to $1,454.5 million at December 31, 2019. While we currently expect our operating cash flows, together with our cash, cash equivalents, restricted cash and restricted cash equivalents, to be sufficient to cover our principal liquidity requirements over the next year, the extent to which COVID-19 could impact our business, financial condition, results of operations and cash flows in the short- and medium-term cannot be predicted with certainty, but such impact could be material. Throughout the first half of 2020, we, and our industry as a whole, have been impacted by COVID-19 and may experience a greater impact going forward. To the extent COVID-19 has resulted in any increase to our Cash and cash equivalents, including as a result of any increase in revenues as described above, such increase could be temporary. Additionally, on a longer 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costs in connection with our business operations, our ongoing and future legal proceedings, governmental investigations and other contingent liabilities, including potential costs related to settlements and judgments, as well as legal defense costs, and the implementation of our COVID-19 related policies and procedures. Furthermore, we may not be successful in implementing, or may face unexpected changes or expenses in connection with our strategic direction, including the potential for opportunistic corporate development transactions. Any of the above could have a material adverse effect on our business, financial condition, results of operations and cash flows and require us to seek additional sources of liquidity and capital resources as described below. For information regarding the impact of COVID-19 on the Company, including on our liquidity and capital resources, please refer to “Risk Factors” in Part II, Item 1A of this report.</w:t>
      </w:r>
    </w:p>
    <w:p>
      <w:pPr>
        <w:spacing w:after="0" w:line="6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markets transactions. The COVID-19 pandemic has resulted in significant disruptions to and volatility in the local, national and global financial markets and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as a result of the actual or perceived impact that financial institutions believe the pandemic will have on our business. Such terms could further restrict our operations and exacerbate any impact on our results of operations and liquidity that may result from COVID-19.</w:t>
      </w:r>
    </w:p>
    <w:p>
      <w:pPr>
        <w:spacing w:after="0" w:line="7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may also, from time to time, seek to enter into certain transactions to reduce our leverage and/or interest expense and/or to extend the maturities of our outstanding indebtedness. Such transactions could include, for example, transactions to exchange existing indebtedness for our ordinary shares or other debt (including exchanges of unsecured debt for secured debt), to issue equity (including convertible securities) or to repurchase, redeem, exchange or refinance our existing indebtedness (including the Credit Agreement) as well as our outstanding senior notes. Any of these transactions could impact our liquidity or results of operations. Our ability to obtain any third-party financing needed for such transactions is subject to the same uncertainties relating to the disruptions to and volatility in the financial markets described above. Further, the terms of any such transactions, including the amount of any exchange consideration and terms of any refinanced debt, could also be less favorable than we have been able to obtain in the past, including a requirement that we grant liens on our assets as collateral (resulting in an increase in our total outstanding secured indebtedness), as a result of changing market conditions and investment interest from the pandemic and its impact on our business and the financial markets.</w:t>
      </w:r>
    </w:p>
    <w:p>
      <w:pPr>
        <w:spacing w:after="0" w:line="58"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b w:val="1"/>
          <w:bCs w:val="1"/>
          <w:i w:val="1"/>
          <w:iCs w:val="1"/>
          <w:color w:val="auto"/>
        </w:rPr>
        <w:t xml:space="preserve">Indebtedness. </w:t>
      </w:r>
      <w:r>
        <w:rPr>
          <w:rFonts w:ascii="Arial" w:cs="Arial" w:eastAsia="Arial" w:hAnsi="Arial"/>
          <w:sz w:val="18"/>
          <w:szCs w:val="18"/>
          <w:color w:val="auto"/>
        </w:rPr>
        <w:t>The Company and certain of its subsidiaries are party to the Credit Agreement governing the Credit Facilities and the indentures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governing our various senior secured and senior unsecured notes. As of June 30, 2020, approximately $3.3 billion was outstanding under the Term Loan Facility, approximately $0.3 billion was outstanding under the Revolving Credit Facility and approximately $4.8 billion was outstanding under the senior secured and senior unsecured notes.</w:t>
      </w:r>
    </w:p>
    <w:p>
      <w:pPr>
        <w:spacing w:after="0" w:line="79"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After giving effect to previous borrowings and issued and outstanding letters of credit, approximately $0.7 billion of remaining credit was available under the Revolving Credit Facility at June 30, 2020. The Company’s outstanding debt agreements contain a number of restrictive covenants, including certain limitations on the Company’s ability to incur additional indebtedness.</w:t>
      </w:r>
    </w:p>
    <w:p>
      <w:pPr>
        <w:spacing w:after="0" w:line="76"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The Credit Agreement and the indentures governing our various senior secured notes and the 6.00% Senior Notes due 2028 contain certain covenants. As of June 30, 2020 and December 31, 2019, the Company was in compliance with all such covenants. Following the March 2019 Refinancing Transactions and June 2020 Refinancing Transactions, we have eliminated substantially all of the restrictive covenants and certain events of default in the indentures governing our senior unsecured notes, except for those in the indenture governing the 6.00% Senior Notes due 2028.</w:t>
      </w:r>
    </w:p>
    <w:p>
      <w:pPr>
        <w:spacing w:after="0" w:line="49"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Refer to Note 11. Debt of the Condensed Consolidated Financial Statements included in Part I, Item 1 of this report and Note 14. Debt in the Consolidated Financial Statements included in Part IV, Item 15 of the Annual Report for additional information about our indebtedness, including our debt refinancing transactions and information about covenants, maturities, interest rates, security and priority.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The Company’s corporate credit ratings assigned by Moody’s Investors Service and Standard &amp; Poor’s are B3 with a stable outlook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 with a negative outlook, respectively. No report of any rating agency is being incorporated by reference herein.</w:t>
      </w:r>
    </w:p>
    <w:p>
      <w:pPr>
        <w:spacing w:after="0" w:line="62"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components of our working capital and our liquidity at June 30, 2020 and December 31, 2019 are below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r>
      <w:tr>
        <w:trPr>
          <w:trHeight w:val="249"/>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2,686,144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2,586,218</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Less: total current liabilities</w:t>
            </w:r>
          </w:p>
        </w:tc>
        <w:tc>
          <w:tcPr>
            <w:tcW w:w="18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1,222,411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1,460,289</w:t>
            </w:r>
          </w:p>
        </w:tc>
      </w:tr>
      <w:tr>
        <w:trPr>
          <w:trHeight w:val="27"/>
        </w:trPr>
        <w:tc>
          <w:tcPr>
            <w:tcW w:w="8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1,463,733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1,125,929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40" w:type="dxa"/>
            <w:vAlign w:val="bottom"/>
          </w:tcPr>
          <w:p>
            <w:pPr>
              <w:ind w:left="20"/>
              <w:spacing w:after="0"/>
              <w:rPr>
                <w:sz w:val="20"/>
                <w:szCs w:val="20"/>
                <w:color w:val="auto"/>
              </w:rPr>
            </w:pPr>
            <w:r>
              <w:rPr>
                <w:rFonts w:ascii="Arial" w:cs="Arial" w:eastAsia="Arial" w:hAnsi="Arial"/>
                <w:sz w:val="18"/>
                <w:szCs w:val="18"/>
                <w:color w:val="auto"/>
              </w:rPr>
              <w:t>Current ratio (total current assets divided by total current liabilities)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r>
    </w:tbl>
    <w:p>
      <w:pPr>
        <w:spacing w:after="0" w:line="121"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Net working capital increased by $337.8 million from December 31, 2019 to June 30, 2020. This increase primarily reflects the favorable impact to net current assets resulting from operations during the six months ended June 30, 2020. This increase was partially offset by the impact of the June 2020 Refinancing Transactions that, during six months ended June 30, 2020, resulted in the incurrence of approximately $30.7 million of fees to third parties, as well as cash expenditures of $47.2 million to settle noncurrent debt obligations. Additionally, working capital decreased as a result of purchases of property, plant and equipment, excluding capitalized interest, of $36.3 million during six months ended June 30, 2020.</w:t>
      </w:r>
    </w:p>
    <w:p>
      <w:pPr>
        <w:spacing w:after="0" w:line="68"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following table summarizes our Condensed Consolidated Statements of Cash Flows for the six months ended June 30, 2020 and 2019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3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 provided by (used in):</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366,888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86,602</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(31,413)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(22,316)</w:t>
            </w:r>
          </w:p>
        </w:tc>
      </w:tr>
      <w:tr>
        <w:trPr>
          <w:trHeight w:val="243"/>
        </w:trPr>
        <w:tc>
          <w:tcPr>
            <w:tcW w:w="844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(75,731)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234,929</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841</w:t>
            </w:r>
          </w:p>
        </w:tc>
      </w:tr>
      <w:tr>
        <w:trPr>
          <w:trHeight w:val="263"/>
        </w:trPr>
        <w:tc>
          <w:tcPr>
            <w:tcW w:w="8440" w:type="dxa"/>
            <w:vAlign w:val="bottom"/>
          </w:tcPr>
          <w:p>
            <w:pPr>
              <w:ind w:left="20"/>
              <w:spacing w:after="0"/>
              <w:rPr>
                <w:sz w:val="20"/>
                <w:szCs w:val="20"/>
                <w:color w:val="auto"/>
              </w:rPr>
            </w:pPr>
            <w:r>
              <w:rPr>
                <w:rFonts w:ascii="Arial" w:cs="Arial" w:eastAsia="Arial" w:hAnsi="Arial"/>
                <w:sz w:val="18"/>
                <w:szCs w:val="18"/>
                <w:color w:val="auto"/>
              </w:rPr>
              <w:t>Net increase in cash, cash equivalents, restricted cash and restricted cash equivalents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258,829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300,056</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represents the cash receipts and cash disbursements from all of our activities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investing activities and financing activities. Changes in cash from operating activities reflect, among other things, the timing of cash collections from customers, payments to suppliers, managed care organizations, government agencies, collaborative partners and employees, as well as tax payments and refunds in the ordinary course of business.</w:t>
      </w:r>
    </w:p>
    <w:p>
      <w:pPr>
        <w:spacing w:after="0" w:line="79" w:lineRule="exact"/>
        <w:rPr>
          <w:sz w:val="20"/>
          <w:szCs w:val="20"/>
          <w:color w:val="auto"/>
        </w:rPr>
      </w:pPr>
    </w:p>
    <w:p>
      <w:pPr>
        <w:ind w:right="80" w:firstLine="486"/>
        <w:spacing w:after="0" w:line="268" w:lineRule="auto"/>
        <w:rPr>
          <w:sz w:val="20"/>
          <w:szCs w:val="20"/>
          <w:color w:val="auto"/>
        </w:rPr>
      </w:pPr>
      <w:r>
        <w:rPr>
          <w:rFonts w:ascii="Arial" w:cs="Arial" w:eastAsia="Arial" w:hAnsi="Arial"/>
          <w:sz w:val="16"/>
          <w:szCs w:val="16"/>
          <w:color w:val="auto"/>
        </w:rPr>
        <w:t>The $280.3 million increase in Net cash provided by operating activities during the six months ended June 30, 2020 compared to the prior year period was primarily due to our results of operations as described above and the timing of cash collections and cash payments related to our operations. Beginning in late first-quarter 2020 and during the second quarter of 2020, we experienced an increase in sales volumes for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compared to pre-COVID-19 levels resulting from significant channel inventory stocking in anticipation of treating certain patients infected with COVID-19. During the second half of 2020, we anticipate a period of significant channel inventory destocking for VASOSTRICT</w:t>
      </w:r>
      <w:r>
        <w:rPr>
          <w:rFonts w:ascii="Arial" w:cs="Arial" w:eastAsia="Arial" w:hAnsi="Arial"/>
          <w:sz w:val="20"/>
          <w:szCs w:val="20"/>
          <w:color w:val="auto"/>
          <w:vertAlign w:val="superscript"/>
        </w:rPr>
        <w:t>®</w:t>
      </w:r>
      <w:r>
        <w:rPr>
          <w:rFonts w:ascii="Arial" w:cs="Arial" w:eastAsia="Arial" w:hAnsi="Arial"/>
          <w:sz w:val="16"/>
          <w:szCs w:val="16"/>
          <w:color w:val="auto"/>
        </w:rPr>
        <w:t>. This destocking, together with certain other factors, is expected to result in a decrease to Net cash provided by operating activities in the second half of 2020 as compared to the first half of 2020.</w:t>
      </w:r>
    </w:p>
    <w:p>
      <w:pPr>
        <w:spacing w:after="0" w:line="69"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$9.1 million increase in Net cash used in investing activities during the six months ended June 30, 2020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year period was primarily due to an increase in Purchases of property, plant and equipment, excluding capitalized interest of $12.7 million, partially offset by an increase in Proceeds from sale of business and other assets, net of $3.4 million.</w:t>
      </w:r>
    </w:p>
    <w:p>
      <w:pPr>
        <w:spacing w:after="0" w:line="76"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During the six months ended June 30, 2020, Net cash used in financing activities related primarily to Repayments of notes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$47.2 million associated with the June 2020 Refinancing Transactions, Repayments of term loans of $17.1 million and Payments of tax withholding for restricted shares of $6.9 million.</w:t>
      </w:r>
    </w:p>
    <w:p>
      <w:pPr>
        <w:spacing w:after="0" w:line="76"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During the six months ended June 30, 2019, Net cash provided by financing activities related primarily to the $300.0 million June 2019 borrowing under the Revolving Credit Facility. The proceeds from this transaction were offset by Repayments of term loans of $17.1 million, Payments for contingent consideration of $8.2 million, Payments of tax withholding for restricted shares of $9.4 million, Repayments of other indebtedness of $6.7 million and the net effect of the March 2019 Refinancing Transactions, which resulted in Repayments of notes totaling $1,500.0 million and Payments for debt issuance and extinguishment costs of $5.1 million, partially offset by Proceeds from issuance of notes, net of $1,483.1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As of June 30, 2020, there were no material changes in our contractual obligations from those disclosed in the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except for those related to the financing transactions described in Note 11. Debt of the Condensed Consolidated Financial Statements included in Part I, Item 1 of this report.</w:t>
      </w:r>
    </w:p>
    <w:p>
      <w:pPr>
        <w:spacing w:after="0" w:line="76"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b w:val="1"/>
          <w:bCs w:val="1"/>
          <w:i w:val="1"/>
          <w:iCs w:val="1"/>
          <w:color w:val="auto"/>
        </w:rPr>
        <w:t xml:space="preserve">Fluctuations. </w:t>
      </w:r>
      <w:r>
        <w:rPr>
          <w:rFonts w:ascii="Arial" w:cs="Arial" w:eastAsia="Arial" w:hAnsi="Arial"/>
          <w:sz w:val="17"/>
          <w:szCs w:val="17"/>
          <w:color w:val="auto"/>
        </w:rPr>
        <w:t>Our quarterly results have fluctuated in the past and may continue to fluctuate. These fluctuations may be due to the timing of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launches, purchasing patterns of our customers, market acceptance of our products, the impact of competitive products and pricing, certain actions taken by us which may impact the availability of our products, asset impairment charges, litigation-related charges, restructuring costs including separation benefits, business combination transaction costs, the impact of financing transactions, upfront, milestone and certain other payments made or accrued pursuant to licensing agreements and changes in the fair value of financial instruments and contingent assets and liabilities recorded as part of business combinations. Further, a substantial portion of our total revenues are through three wholesale drug distributors who in turn supply our products to pharmacies, hospitals and physicians. Accordingly, we are potentially subject to a concentration of credit risk with respect to our trade receivables. The impact of COVID-19 may heighten these fluctuations in our operating results.</w:t>
      </w:r>
    </w:p>
    <w:p>
      <w:pPr>
        <w:spacing w:after="0" w:line="7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Additionally, the current economic crisis and rising unemployment rates resulting from COVID-19 have significantly reduced individual disposable income and depressed consumer confidence, which could limit the ability of some consumers to purchase certain pharmaceutical products and reduce consumer spend on certain medical procedures in both the short- and medium-term. Additionally, as part of the measures to address COVID-19, certain healthcare providers are not currently performing various medical procedures.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We do not believe that inflation had a material adverse effect on our financial statements for the periods presented.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 as defined in Item 303(a)(4) of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Significant changes to our critical accounting estimates since December 31, 2019 are detailed below. For additional discussion of the Company’s critical accounting estimates, see “Critical Accounting Estimates” in Item 7 of the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As further described in Note 8. Goodwill and Other Intangibles of the Condensed Consolidated Financial Statements included in Part I, Item 1, we recorded a pre-tax, non-cash goodwill impairment charge relating to our Paladin reporting unit of $32.8 million during the first quarter of 2020. Following this impairment, there was no remaining goodwill associated with this reporting unit.</w:t>
      </w:r>
    </w:p>
    <w:p>
      <w:pPr>
        <w:spacing w:after="0" w:line="76"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 of our reporting units, which could result in the fair value of a reporting unit being less than its carrying amount in an impairment test.</w:t>
      </w:r>
    </w:p>
    <w:p>
      <w:pPr>
        <w:spacing w:after="0" w:line="49"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 For further information regarding the impact of COVID-19 on the Company, please refer to “Risk Factors” in Part II, Item 1A of this report.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For a discussion of recent accounting pronouncements, refer to Note 2. Summary of Significant Accounting Policies of the Condensed Consolidated Financial Statements included in Part I, Item 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Market risk is the potential loss arising from adverse changes in the financial markets, including interest rates and foreign currency exchange rates.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Our exposure to interest rate risk relates primarily to our variable-rate indebtedness associated with our Credit Facilities. At June 30, 2020 and December 31, 2019, the aggregate principal amounts of such variable-rate indebtedness were $3,612.6 million and $3,629.6 million, respectively. Borrowings under the Credit Facilities may from time to time bear interest at variable rates, in certain cases subject to a floor. At June 30, 2020 and December 31, 2019, a hypothetical 1% increase in the applicable rate over the floor would have resulted in $36.1 million and $36.3 million, respectively, of incremental interest expense (representing the annual rate of expense) related to our variable-rate debt borrowings.</w:t>
      </w:r>
    </w:p>
    <w:p>
      <w:pPr>
        <w:spacing w:after="0" w:line="68"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To the extent that we utilize additional amounts under the Revolving Credit Facility or otherwise increase the amount of our variable-rate indebtedness, we will be exposed to additional interest rate risk.</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2020 and December 31, 2019, we had no other assets or liabilities with significant interest rate sensitivity.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20" w:firstLine="486"/>
        <w:spacing w:after="0" w:line="291" w:lineRule="auto"/>
        <w:rPr>
          <w:sz w:val="20"/>
          <w:szCs w:val="20"/>
          <w:color w:val="auto"/>
        </w:rPr>
      </w:pPr>
      <w:r>
        <w:rPr>
          <w:rFonts w:ascii="Arial" w:cs="Arial" w:eastAsia="Arial" w:hAnsi="Arial"/>
          <w:sz w:val="16"/>
          <w:szCs w:val="16"/>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our business, financial condition, results of operations and cash flows.</w:t>
      </w:r>
    </w:p>
    <w:p>
      <w:pPr>
        <w:spacing w:after="0" w:line="58"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All assets and liabilities of our international subsidiaries, which maintain their financial statements in local currency, are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(income) expense, net in the Condensed Consolidated Statements of Operations. Refer to Note 15. Other (Income) Expense, Net of the Condensed Consolidated Financial Statements included in Part I, Item 1 for the amounts of Foreign currency loss (gain), net.</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Based on the Company’s significant foreign currency denominated intercompany loans, we separately considered the hypothetical impact of a 10%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change in the underlying currencies of our foreign currency denominated intercompany loans, relative to the U.S. dollar, at June 30, 2020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 10% change at June 30, 2020 would have resulted in approximately $10 million in incremental foreign currency losses on such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10% change at December 31, 2019 would have resulted in approximately $11 million in incremental foreign currency losses on such date.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June 30, 2020. Based on that evaluation, the Company’s Chief Executive Officer and Principal Financial Officer concluded that the Company’s disclosure controls and procedures were effective as of June 30, 2020.</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June 30, 2020 that have materially affected, or are reasonably likely to materially affect, the Company’s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disclosures under Note 12. Commitments and Contingencies of the Condensed Consolidated Financial Statements included in Part I, Item 1 are incorporated into this Part II, Item 1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a discussion of our risk factors, see the information in Part I, Item 1A. “Risk Factors” in the Annual Report and in Part II, Item 1A. “Risk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Factors” of our First Quarter 2020 Form 10-Q. There have been no material changes to our risk factors from those described in the Annual Report and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2020 Form 10-Q, except as set forth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Widespread health problems, including the recent global coronavirus, could materially and adversely affect our business.</w:t>
      </w:r>
    </w:p>
    <w:p>
      <w:pPr>
        <w:spacing w:after="0" w:line="12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Public health outbreaks, epidemics or pandemics, such as the coronavirus, could materially and adversely impact our business. For example, the COVID-19 pandemic has resulted in global business and economic disruption and extreme volatility in the financial markets as many jurisdictions have placed restrictions on travel and non-essential business operations and implemented social distancing, shelter-in-place, quarantine and other similar measures for their residents to contain the spread of the virus. In response to these public health directives and orders, we have implemented alternative working practices and work-from-home requirements for appropriate employees, as well as social distancing, modified schedules, shift rotation and other similar policies at our manufacturing facilities. We have launched a hybrid approach selling model as of June 1, 2020 for our field employees, which allows virtual and/or live engagement with healthcare providers and other customers. We have also suspended international and domestic travel. The effects of COVID-19, including these public health directives and orders and our policies, have had an impact on our business and may in the future materially disrupt our business (including our manufacturing and supply chain operations by significantly reducing our output), negatively impact our productivity and delay our product development programs.</w:t>
      </w:r>
    </w:p>
    <w:p>
      <w:pPr>
        <w:spacing w:after="0" w:line="77"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 xml:space="preserve">The global pandemic may have significant impacts on third-party arrangements, including those with our manufacturing, supply chain and distribution partners, information technology and other service providers and business partners. For example, there may be significant disruptions in the ability of any or all of these third-party providers to meet their obligations to us on a timely basis, or at all, which may be caused by their own financial or operational difficulties, including any closures of their facilities pursuant to a governmental order or otherwise. Due to these disruptions and other factors, including changes in our workforce availability and increased demand for certain of our critical care products during this pandemic, our ability to meet our obligations to third-party distribution partners may be negatively impacted. As a result, we have delivered, and in the future we or our third-party providers may deliver, notices of the occurrence of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or similar event under certain of our third-party contracts, which could result in prolonged commercial disputes and ultimately legal proceedings to enforce contractual performance and/or recover losses. Any such occurrences could result in significant management distraction and use of resources and, in the event of an adverse judgment, could result in significant cash payments. Further, the publicity of any such dispute could harm our reputation and make the negotiation of any replacement contracts more difficult and costly, thereby prolonging the effects of any resulting disruption in our operations. Such disruptions could be acute with respect to certain of our raw material suppliers where we may not have readily accessible alternatives or alternatives may take longer to source than usual. While we attempt, when possible, to mitigate our raw material supply risks through stock management and alternative sourcing strategies, some raw materials are only available from one source. Any of these disruptions could harm our ability to meet consumer demand, including any increase in demand for any of our products, including our critical care products used during a pandemic.</w:t>
      </w:r>
    </w:p>
    <w:p>
      <w:pPr>
        <w:spacing w:after="0" w:line="74" w:lineRule="exact"/>
        <w:rPr>
          <w:sz w:val="20"/>
          <w:szCs w:val="20"/>
          <w:color w:val="auto"/>
        </w:rPr>
      </w:pPr>
    </w:p>
    <w:p>
      <w:pPr>
        <w:ind w:firstLine="486"/>
        <w:spacing w:after="0" w:line="261" w:lineRule="auto"/>
        <w:rPr>
          <w:sz w:val="20"/>
          <w:szCs w:val="20"/>
          <w:color w:val="auto"/>
        </w:rPr>
      </w:pPr>
      <w:r>
        <w:rPr>
          <w:rFonts w:ascii="Arial" w:cs="Arial" w:eastAsia="Arial" w:hAnsi="Arial"/>
          <w:sz w:val="17"/>
          <w:szCs w:val="17"/>
          <w:color w:val="auto"/>
        </w:rPr>
        <w:t>We have experienced, and expect to continue to experience, changes in customer demand as the COVID-19 pandemic evolves. The current economic crisis and rising unemployment rates resulting from COVID-19 have the potential to significantly reduce individual disposable income and depress consumer confidence, which could limit the ability of some consumers to purchase certain pharmaceutical products and reduce consumer spend on certain medical procedures in both the short- and medium-term. Additionally, as part of the measures to address COVID-19, certain healthcare providers are not currently performing various medical procedures, including those that use certain of our products. For example, during the last two weeks of the first quarter of 2020 and continuing into the second quarter of 2020, certain of our products that are physician administered,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SUPPRELIN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 and AVEED</w:t>
      </w:r>
      <w:r>
        <w:rPr>
          <w:rFonts w:ascii="Arial" w:cs="Arial" w:eastAsia="Arial" w:hAnsi="Arial"/>
          <w:sz w:val="22"/>
          <w:szCs w:val="22"/>
          <w:color w:val="auto"/>
          <w:vertAlign w:val="superscript"/>
        </w:rPr>
        <w:t>®</w:t>
      </w:r>
      <w:r>
        <w:rPr>
          <w:rFonts w:ascii="Arial" w:cs="Arial" w:eastAsia="Arial" w:hAnsi="Arial"/>
          <w:sz w:val="17"/>
          <w:szCs w:val="17"/>
          <w:color w:val="auto"/>
        </w:rPr>
        <w:t>, began experiencing significantly decreased sales volumes due to reduced physician office activity and patient office visits compared to prior year because of the COVID-19 pandemic. Furthermore, we are unable to predict the impact that COVID-19 may have going forward on the business, results of operations or financial position of any of our major customers, which could impact each customer to varying degrees and at different times and could ultimately impact our own financial performance. Certain of our competitors may also be better equipped to weather the impact of COVID-19 both domestically and abroad and better able to address changes in customer demand.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Additionally, our product development programs have been, and may continue to be, adversely affected by the global pandemic and the prioritization of production during this pandemic. The public health directives in response to COVID-19 requiring social distancing and restricting non-essential business operations have in certain cases caused and may continue to cause delays, increased costs and additional challenges in our product development programs, including obtaining adequate patient enrollment and successfully bringing product candidates to market. In addition, we may face additional challenges receiving regulatory approvals as previously scheduled dates or anticipated deadlines for action by the FDA on our applications and products in development, including dates scheduled for 2020, could be subject to delays beyond our control as regulators, such as the FDA, focus on COVID-19. For example, as a result of COVID-19 and its impact on medical aesthetics physician office closures and consumer spending, we have moved the anticipated product launch of QWO to spring 2021. In addition, we have assessed, and expect to continue to assess, the timeline for commercialization of other products.</w:t>
      </w:r>
    </w:p>
    <w:p>
      <w:pPr>
        <w:spacing w:after="0" w:line="8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markets transactions. The COVID-19 pandemic has resulted in significant disruptions to and volatility in the local, national and global financial markets and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as a result of the actual or perceived impact that financial institutions believe the pandemic will have on our business. Such terms could further restrict our operations and exacerbate any impact on our results of operations and liquidity that may result from COVID-19. In addition, a recession or market correction resulting from the spread of COVID-19 could materially affect our business and the value of our ordinary shares.</w:t>
      </w:r>
    </w:p>
    <w:p>
      <w:pPr>
        <w:spacing w:after="0" w:line="7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Additionally, COVID-19 could increase the magnitude of many of the other risks described herein and in the Annual Report and have other adverse effects on our operations that we are not currently able to predict. For example, the global economic disruptions and volatility in the financial markets could further depress our ability to obtain or renew insurance on satisfactory terms or at all. Additionally, we may also be required to delay or limit our internal strategies in the short- and medium-term by, for example, redirecting significant resources and management attention away from implementing our strategic priorities or executing opportunistic corporate development transactions.</w:t>
      </w:r>
    </w:p>
    <w:p>
      <w:pPr>
        <w:spacing w:after="0" w:line="8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magnitude of the effect of COVID-19 on our business will depend, in part, on the length and severity of the restrictions (including the effects of recent “re-opening” actions and plans following a recent slowdown of the virus infection rate in certain countries and localities) and other limitations on our ability to conduct our business in the ordinary course. The longer the pandemic continues or resurges, the more severe the impacts described above will be on both our domestic and international business. The extent, length and consequences of the pandemic are uncertain and impossible to predict, but could be material. COVID-19 and other similar outbreaks, epidemics or pandemics could have a material adverse effect on our business, financial condition, results of operations and cash flows and could cause significant volatility in the trading prices of our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purchases or sales of equity securities by the Company during the three months ended June 30,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15" w:lineRule="exact"/>
        <w:rPr>
          <w:sz w:val="20"/>
          <w:szCs w:val="20"/>
          <w:color w:val="auto"/>
        </w:rPr>
      </w:pPr>
    </w:p>
    <w:p>
      <w:pPr>
        <w:ind w:left="6380"/>
        <w:spacing w:after="0"/>
        <w:rPr>
          <w:sz w:val="20"/>
          <w:szCs w:val="20"/>
          <w:color w:val="auto"/>
        </w:rPr>
      </w:pPr>
      <w:r>
        <w:rPr>
          <w:rFonts w:ascii="Arial" w:cs="Arial" w:eastAsia="Arial" w:hAnsi="Arial"/>
          <w:sz w:val="14"/>
          <w:szCs w:val="14"/>
          <w:b w:val="1"/>
          <w:bCs w:val="1"/>
          <w:u w:val="single" w:color="auto"/>
          <w:color w:val="auto"/>
        </w:rPr>
        <w:t>Incorporated by Reference from:</w:t>
      </w:r>
    </w:p>
    <w:p>
      <w:pPr>
        <w:spacing w:after="0" w:line="42" w:lineRule="exact"/>
        <w:rPr>
          <w:sz w:val="20"/>
          <w:szCs w:val="20"/>
          <w:color w:val="auto"/>
        </w:rPr>
      </w:pPr>
    </w:p>
    <w:p>
      <w:pPr>
        <w:ind w:left="20"/>
        <w:spacing w:after="0"/>
        <w:tabs>
          <w:tab w:leader="none" w:pos="960" w:val="left"/>
          <w:tab w:leader="none" w:pos="6360" w:val="left"/>
          <w:tab w:leader="none" w:pos="7480" w:val="left"/>
          <w:tab w:leader="none" w:pos="94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u w:val="single" w:color="auto"/>
          <w:color w:val="auto"/>
        </w:rPr>
        <w:t>File Number</w:t>
      </w:r>
      <w:r>
        <w:rPr>
          <w:sz w:val="20"/>
          <w:szCs w:val="20"/>
          <w:color w:val="auto"/>
        </w:rPr>
        <w:tab/>
      </w:r>
      <w:r>
        <w:rPr>
          <w:rFonts w:ascii="Arial" w:cs="Arial" w:eastAsia="Arial" w:hAnsi="Arial"/>
          <w:sz w:val="14"/>
          <w:szCs w:val="14"/>
          <w:b w:val="1"/>
          <w:bCs w:val="1"/>
          <w:u w:val="single" w:color="auto"/>
          <w:color w:val="auto"/>
        </w:rPr>
        <w:t>Filing Type</w:t>
      </w:r>
      <w:r>
        <w:rPr>
          <w:sz w:val="20"/>
          <w:szCs w:val="20"/>
          <w:color w:val="auto"/>
        </w:rPr>
        <w:tab/>
      </w:r>
      <w:r>
        <w:rPr>
          <w:rFonts w:ascii="Arial" w:cs="Arial" w:eastAsia="Arial" w:hAnsi="Arial"/>
          <w:sz w:val="13"/>
          <w:szCs w:val="13"/>
          <w:b w:val="1"/>
          <w:bCs w:val="1"/>
          <w:u w:val="single" w:color="auto"/>
          <w:color w:val="auto"/>
        </w:rPr>
        <w:t>Filing Date</w:t>
      </w:r>
    </w:p>
    <w:p>
      <w:pPr>
        <w:sectPr>
          <w:pgSz w:w="11900" w:h="16838" w:orient="portrait"/>
          <w:cols w:equalWidth="0" w:num="1">
            <w:col w:w="10460"/>
          </w:cols>
          <w:pgMar w:left="320" w:top="118" w:right="1119" w:bottom="1440" w:gutter="0" w:footer="0" w:header="0"/>
        </w:sectPr>
      </w:pPr>
    </w:p>
    <w:tbl>
      <w:tblPr>
        <w:tblLayout w:type="fixed"/>
        <w:tblInd w:w="20" w:type="dxa"/>
        <w:tblCellMar>
          <w:top w:w="0" w:type="dxa"/>
          <w:left w:w="0" w:type="dxa"/>
          <w:bottom w:w="0" w:type="dxa"/>
          <w:right w:w="0" w:type="dxa"/>
        </w:tblCellMar>
      </w:tblPr>
      <w:tr>
        <w:trPr>
          <w:trHeight w:val="226"/>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5400" w:type="dxa"/>
            <w:vAlign w:val="bottom"/>
            <w:gridSpan w:val="26"/>
          </w:tcPr>
          <w:p>
            <w:pPr>
              <w:spacing w:after="0"/>
              <w:rPr>
                <w:rFonts w:ascii="Arial" w:cs="Arial" w:eastAsia="Arial" w:hAnsi="Arial"/>
                <w:sz w:val="18"/>
                <w:szCs w:val="18"/>
                <w:color w:val="0000FF"/>
                <w:w w:val="98"/>
              </w:rPr>
            </w:pPr>
            <w:hyperlink r:id="rId64">
              <w:r>
                <w:rPr>
                  <w:rFonts w:ascii="Arial" w:cs="Arial" w:eastAsia="Arial" w:hAnsi="Arial"/>
                  <w:sz w:val="18"/>
                  <w:szCs w:val="18"/>
                  <w:color w:val="0000FF"/>
                  <w:w w:val="98"/>
                </w:rPr>
                <w:t>First Supplemental Indenture, dated as of June 16, 2020, among Par</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880" w:type="dxa"/>
            <w:vAlign w:val="bottom"/>
            <w:tcBorders>
              <w:top w:val="single" w:sz="8" w:color="0000FF"/>
            </w:tcBorders>
            <w:gridSpan w:val="9"/>
          </w:tcPr>
          <w:p>
            <w:pPr>
              <w:spacing w:after="0" w:line="156"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Pharmaceutical, Inc., the guarantors named therein and Wells Fargo</w:t>
              </w:r>
            </w:hyperlink>
          </w:p>
        </w:tc>
        <w:tc>
          <w:tcPr>
            <w:tcW w:w="520" w:type="dxa"/>
            <w:vAlign w:val="bottom"/>
            <w:gridSpan w:val="17"/>
          </w:tcPr>
          <w:p>
            <w:pPr>
              <w:ind w:left="20"/>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Bank,</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National Association, as trustee, to the Indenture, dated as of March 28,</w:t>
              </w:r>
            </w:hyperlink>
          </w:p>
        </w:tc>
        <w:tc>
          <w:tcPr>
            <w:tcW w:w="1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5400" w:type="dxa"/>
            <w:vAlign w:val="bottom"/>
            <w:gridSpan w:val="26"/>
          </w:tcPr>
          <w:p>
            <w:pPr>
              <w:spacing w:after="0" w:line="15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2019, among Par Pharmaceutical, Inc., the guarantors named therein and</w:t>
              </w:r>
            </w:hyperlink>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5260" w:type="dxa"/>
            <w:vAlign w:val="bottom"/>
            <w:tcBorders>
              <w:top w:val="single" w:sz="8" w:color="0000FF"/>
            </w:tcBorders>
            <w:gridSpan w:val="20"/>
          </w:tcPr>
          <w:p>
            <w:pPr>
              <w:spacing w:after="0" w:line="142" w:lineRule="exact"/>
              <w:rPr>
                <w:rFonts w:ascii="Arial" w:cs="Arial" w:eastAsia="Arial" w:hAnsi="Arial"/>
                <w:sz w:val="16"/>
                <w:szCs w:val="16"/>
                <w:u w:val="single" w:color="auto"/>
                <w:color w:val="0000FF"/>
              </w:rPr>
            </w:pPr>
            <w:hyperlink r:id="rId64">
              <w:r>
                <w:rPr>
                  <w:rFonts w:ascii="Arial" w:cs="Arial" w:eastAsia="Arial" w:hAnsi="Arial"/>
                  <w:sz w:val="16"/>
                  <w:szCs w:val="16"/>
                  <w:u w:val="single" w:color="auto"/>
                  <w:color w:val="0000FF"/>
                </w:rPr>
                <w:t>Wells Fargo Bank, National Association, as trustee, relating to the 7.500%</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5400" w:type="dxa"/>
            <w:vAlign w:val="bottom"/>
            <w:gridSpan w:val="26"/>
          </w:tcPr>
          <w:p>
            <w:pPr>
              <w:spacing w:after="0"/>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Senior Secured Notes due 2027</w:t>
              </w:r>
            </w:hyperlink>
          </w:p>
        </w:tc>
        <w:tc>
          <w:tcPr>
            <w:tcW w:w="0" w:type="dxa"/>
            <w:vAlign w:val="bottom"/>
          </w:tcPr>
          <w:p>
            <w:pPr>
              <w:spacing w:after="0"/>
              <w:rPr>
                <w:sz w:val="1"/>
                <w:szCs w:val="1"/>
                <w:color w:val="auto"/>
              </w:rPr>
            </w:pPr>
          </w:p>
        </w:tc>
      </w:tr>
      <w:tr>
        <w:trPr>
          <w:trHeight w:val="190"/>
        </w:trPr>
        <w:tc>
          <w:tcPr>
            <w:tcW w:w="960" w:type="dxa"/>
            <w:vAlign w:val="bottom"/>
          </w:tcPr>
          <w:p>
            <w:pPr>
              <w:spacing w:after="0" w:line="190" w:lineRule="exact"/>
              <w:rPr>
                <w:sz w:val="20"/>
                <w:szCs w:val="20"/>
                <w:color w:val="auto"/>
              </w:rPr>
            </w:pPr>
            <w:r>
              <w:rPr>
                <w:rFonts w:ascii="Arial" w:cs="Arial" w:eastAsia="Arial" w:hAnsi="Arial"/>
                <w:sz w:val="18"/>
                <w:szCs w:val="18"/>
                <w:color w:val="auto"/>
              </w:rPr>
              <w:t>4.2</w:t>
            </w:r>
          </w:p>
        </w:tc>
        <w:tc>
          <w:tcPr>
            <w:tcW w:w="5100" w:type="dxa"/>
            <w:vAlign w:val="bottom"/>
            <w:tcBorders>
              <w:bottom w:val="single" w:sz="8" w:color="0000FF"/>
            </w:tcBorders>
            <w:gridSpan w:val="12"/>
          </w:tcPr>
          <w:p>
            <w:pPr>
              <w:spacing w:after="0" w:line="170"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Indenture, dated as of June 16, 2020, among Endo Designated Activity</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5100" w:type="dxa"/>
            <w:vAlign w:val="bottom"/>
            <w:gridSpan w:val="12"/>
          </w:tcPr>
          <w:p>
            <w:pPr>
              <w:spacing w:after="0" w:line="15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Company, Endo Finance LLC, Endo Finco Inc., the guarantors named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10"/>
            <w:vMerge w:val="restart"/>
          </w:tcPr>
          <w:p>
            <w:pPr>
              <w:spacing w:after="0"/>
              <w:rPr>
                <w:rFonts w:ascii="Arial" w:cs="Arial" w:eastAsia="Arial" w:hAnsi="Arial"/>
                <w:sz w:val="18"/>
                <w:szCs w:val="18"/>
                <w:color w:val="0000FF"/>
              </w:rPr>
            </w:pPr>
            <w:hyperlink r:id="rId65">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5040" w:type="dxa"/>
            <w:vAlign w:val="bottom"/>
            <w:tcBorders>
              <w:top w:val="single" w:sz="8" w:color="0000FF"/>
            </w:tcBorders>
            <w:gridSpan w:val="10"/>
          </w:tcPr>
          <w:p>
            <w:pPr>
              <w:spacing w:after="0" w:line="156" w:lineRule="exact"/>
              <w:rPr>
                <w:rFonts w:ascii="Arial" w:cs="Arial" w:eastAsia="Arial" w:hAnsi="Arial"/>
                <w:sz w:val="18"/>
                <w:szCs w:val="18"/>
                <w:color w:val="0000FF"/>
                <w:w w:val="88"/>
              </w:rPr>
            </w:pPr>
            <w:hyperlink r:id="rId65">
              <w:r>
                <w:rPr>
                  <w:rFonts w:ascii="Arial" w:cs="Arial" w:eastAsia="Arial" w:hAnsi="Arial"/>
                  <w:sz w:val="18"/>
                  <w:szCs w:val="18"/>
                  <w:color w:val="0000FF"/>
                  <w:w w:val="88"/>
                </w:rPr>
                <w:t>therein and Wells Fargo Bank, National Association, as trustee, relating</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5340" w:type="dxa"/>
            <w:vAlign w:val="bottom"/>
            <w:tcBorders>
              <w:top w:val="single" w:sz="8" w:color="0000FF"/>
            </w:tcBorders>
            <w:gridSpan w:val="23"/>
          </w:tcPr>
          <w:p>
            <w:pPr>
              <w:spacing w:after="0" w:line="142" w:lineRule="exact"/>
              <w:rPr>
                <w:rFonts w:ascii="Arial" w:cs="Arial" w:eastAsia="Arial" w:hAnsi="Arial"/>
                <w:sz w:val="16"/>
                <w:szCs w:val="16"/>
                <w:u w:val="single" w:color="auto"/>
                <w:color w:val="0000FF"/>
              </w:rPr>
            </w:pPr>
            <w:hyperlink r:id="rId65">
              <w:r>
                <w:rPr>
                  <w:rFonts w:ascii="Arial" w:cs="Arial" w:eastAsia="Arial" w:hAnsi="Arial"/>
                  <w:sz w:val="16"/>
                  <w:szCs w:val="16"/>
                  <w:u w:val="single" w:color="auto"/>
                  <w:color w:val="0000FF"/>
                </w:rPr>
                <w:t>the 9.500% Senior Secured Second Lien Notes due 2027 (including Form</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5400" w:type="dxa"/>
            <w:vAlign w:val="bottom"/>
            <w:gridSpan w:val="26"/>
          </w:tcPr>
          <w:p>
            <w:pPr>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of 9.500% Senior Secured Second Lien Notes due 2027)</w:t>
              </w:r>
            </w:hyperlink>
          </w:p>
        </w:tc>
        <w:tc>
          <w:tcPr>
            <w:tcW w:w="0" w:type="dxa"/>
            <w:vAlign w:val="bottom"/>
          </w:tcPr>
          <w:p>
            <w:pPr>
              <w:spacing w:after="0"/>
              <w:rPr>
                <w:sz w:val="1"/>
                <w:szCs w:val="1"/>
                <w:color w:val="auto"/>
              </w:rPr>
            </w:pPr>
          </w:p>
        </w:tc>
      </w:tr>
      <w:tr>
        <w:trPr>
          <w:trHeight w:val="190"/>
        </w:trPr>
        <w:tc>
          <w:tcPr>
            <w:tcW w:w="960" w:type="dxa"/>
            <w:vAlign w:val="bottom"/>
          </w:tcPr>
          <w:p>
            <w:pPr>
              <w:spacing w:after="0" w:line="170" w:lineRule="exact"/>
              <w:rPr>
                <w:sz w:val="20"/>
                <w:szCs w:val="20"/>
                <w:color w:val="auto"/>
              </w:rPr>
            </w:pPr>
            <w:r>
              <w:rPr>
                <w:rFonts w:ascii="Arial" w:cs="Arial" w:eastAsia="Arial" w:hAnsi="Arial"/>
                <w:sz w:val="18"/>
                <w:szCs w:val="18"/>
                <w:color w:val="auto"/>
              </w:rPr>
              <w:t>4.3</w:t>
            </w:r>
          </w:p>
        </w:tc>
        <w:tc>
          <w:tcPr>
            <w:tcW w:w="5400" w:type="dxa"/>
            <w:vAlign w:val="bottom"/>
            <w:gridSpan w:val="26"/>
          </w:tcPr>
          <w:p>
            <w:pPr>
              <w:spacing w:after="0" w:line="170" w:lineRule="exact"/>
              <w:rPr>
                <w:rFonts w:ascii="Arial" w:cs="Arial" w:eastAsia="Arial" w:hAnsi="Arial"/>
                <w:sz w:val="18"/>
                <w:szCs w:val="18"/>
                <w:color w:val="0000FF"/>
                <w:w w:val="95"/>
              </w:rPr>
            </w:pPr>
            <w:hyperlink r:id="rId66">
              <w:r>
                <w:rPr>
                  <w:rFonts w:ascii="Arial" w:cs="Arial" w:eastAsia="Arial" w:hAnsi="Arial"/>
                  <w:sz w:val="18"/>
                  <w:szCs w:val="18"/>
                  <w:color w:val="0000FF"/>
                  <w:w w:val="95"/>
                </w:rPr>
                <w:t>Indenture, dated as of June 16, 2020, among Endo Designated Activity</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510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Company, Endo Finance LLC, Endo Finco Inc., the guarantors named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10"/>
            <w:vMerge w:val="restart"/>
          </w:tcPr>
          <w:p>
            <w:pPr>
              <w:spacing w:after="0"/>
              <w:rPr>
                <w:rFonts w:ascii="Arial" w:cs="Arial" w:eastAsia="Arial" w:hAnsi="Arial"/>
                <w:sz w:val="18"/>
                <w:szCs w:val="18"/>
                <w:color w:val="0000FF"/>
              </w:rPr>
            </w:pPr>
            <w:hyperlink r:id="rId66">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5040" w:type="dxa"/>
            <w:vAlign w:val="bottom"/>
            <w:tcBorders>
              <w:top w:val="single" w:sz="8" w:color="0000FF"/>
            </w:tcBorders>
            <w:gridSpan w:val="10"/>
          </w:tcPr>
          <w:p>
            <w:pPr>
              <w:spacing w:after="0" w:line="156" w:lineRule="exact"/>
              <w:rPr>
                <w:rFonts w:ascii="Arial" w:cs="Arial" w:eastAsia="Arial" w:hAnsi="Arial"/>
                <w:sz w:val="18"/>
                <w:szCs w:val="18"/>
                <w:color w:val="0000FF"/>
                <w:w w:val="88"/>
              </w:rPr>
            </w:pPr>
            <w:hyperlink r:id="rId66">
              <w:r>
                <w:rPr>
                  <w:rFonts w:ascii="Arial" w:cs="Arial" w:eastAsia="Arial" w:hAnsi="Arial"/>
                  <w:sz w:val="18"/>
                  <w:szCs w:val="18"/>
                  <w:color w:val="0000FF"/>
                  <w:w w:val="88"/>
                </w:rPr>
                <w:t>therein and Wells Fargo Bank, National Association, as trustee, relating</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5340" w:type="dxa"/>
            <w:vAlign w:val="bottom"/>
            <w:tcBorders>
              <w:top w:val="single" w:sz="8" w:color="0000FF"/>
            </w:tcBorders>
            <w:gridSpan w:val="23"/>
          </w:tcPr>
          <w:p>
            <w:pPr>
              <w:spacing w:after="0" w:line="142" w:lineRule="exact"/>
              <w:rPr>
                <w:rFonts w:ascii="Arial" w:cs="Arial" w:eastAsia="Arial" w:hAnsi="Arial"/>
                <w:sz w:val="16"/>
                <w:szCs w:val="16"/>
                <w:u w:val="single" w:color="auto"/>
                <w:color w:val="0000FF"/>
              </w:rPr>
            </w:pPr>
            <w:hyperlink r:id="rId66">
              <w:r>
                <w:rPr>
                  <w:rFonts w:ascii="Arial" w:cs="Arial" w:eastAsia="Arial" w:hAnsi="Arial"/>
                  <w:sz w:val="16"/>
                  <w:szCs w:val="16"/>
                  <w:u w:val="single" w:color="auto"/>
                  <w:color w:val="0000FF"/>
                </w:rPr>
                <w:t>the 6.000% Senior Notes due 2028 (including Form of 6.000% Senior</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5400" w:type="dxa"/>
            <w:vAlign w:val="bottom"/>
            <w:gridSpan w:val="26"/>
          </w:tcPr>
          <w:p>
            <w:pPr>
              <w:spacing w:after="0"/>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Notes due 2028)</w:t>
              </w:r>
            </w:hyperlink>
          </w:p>
        </w:tc>
        <w:tc>
          <w:tcPr>
            <w:tcW w:w="0" w:type="dxa"/>
            <w:vAlign w:val="bottom"/>
          </w:tcPr>
          <w:p>
            <w:pPr>
              <w:spacing w:after="0"/>
              <w:rPr>
                <w:sz w:val="1"/>
                <w:szCs w:val="1"/>
                <w:color w:val="auto"/>
              </w:rPr>
            </w:pPr>
          </w:p>
        </w:tc>
      </w:tr>
      <w:tr>
        <w:trPr>
          <w:trHeight w:val="190"/>
        </w:trPr>
        <w:tc>
          <w:tcPr>
            <w:tcW w:w="960" w:type="dxa"/>
            <w:vAlign w:val="bottom"/>
          </w:tcPr>
          <w:p>
            <w:pPr>
              <w:spacing w:after="0" w:line="170" w:lineRule="exact"/>
              <w:rPr>
                <w:sz w:val="20"/>
                <w:szCs w:val="20"/>
                <w:color w:val="auto"/>
              </w:rPr>
            </w:pPr>
            <w:r>
              <w:rPr>
                <w:rFonts w:ascii="Arial" w:cs="Arial" w:eastAsia="Arial" w:hAnsi="Arial"/>
                <w:sz w:val="18"/>
                <w:szCs w:val="18"/>
                <w:color w:val="auto"/>
              </w:rPr>
              <w:t>4.4</w:t>
            </w:r>
          </w:p>
        </w:tc>
        <w:tc>
          <w:tcPr>
            <w:tcW w:w="5400" w:type="dxa"/>
            <w:vAlign w:val="bottom"/>
            <w:gridSpan w:val="26"/>
          </w:tcPr>
          <w:p>
            <w:pPr>
              <w:spacing w:after="0" w:line="170" w:lineRule="exact"/>
              <w:rPr>
                <w:rFonts w:ascii="Arial" w:cs="Arial" w:eastAsia="Arial" w:hAnsi="Arial"/>
                <w:sz w:val="18"/>
                <w:szCs w:val="18"/>
                <w:color w:val="0000FF"/>
              </w:rPr>
            </w:pPr>
            <w:hyperlink r:id="rId67">
              <w:r>
                <w:rPr>
                  <w:rFonts w:ascii="Arial" w:cs="Arial" w:eastAsia="Arial" w:hAnsi="Arial"/>
                  <w:sz w:val="18"/>
                  <w:szCs w:val="18"/>
                  <w:color w:val="0000FF"/>
                </w:rPr>
                <w:t>Supplemental Indenture, dated as of May 28, 2020, among Endo</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640" w:type="dxa"/>
            <w:vAlign w:val="bottom"/>
            <w:tcBorders>
              <w:top w:val="single" w:sz="8" w:color="0000FF"/>
            </w:tcBorders>
            <w:gridSpan w:val="5"/>
          </w:tcPr>
          <w:p>
            <w:pPr>
              <w:spacing w:after="0" w:line="156"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Designated Activity Company, Endo Finance LLC, Endo Finco</w:t>
              </w:r>
            </w:hyperlink>
          </w:p>
        </w:tc>
        <w:tc>
          <w:tcPr>
            <w:tcW w:w="760" w:type="dxa"/>
            <w:vAlign w:val="bottom"/>
            <w:gridSpan w:val="21"/>
          </w:tcPr>
          <w:p>
            <w:pPr>
              <w:jc w:val="right"/>
              <w:ind w:right="200"/>
              <w:spacing w:after="0" w:line="156" w:lineRule="exact"/>
              <w:rPr>
                <w:rFonts w:ascii="Arial" w:cs="Arial" w:eastAsia="Arial" w:hAnsi="Arial"/>
                <w:sz w:val="18"/>
                <w:szCs w:val="18"/>
                <w:color w:val="0000FF"/>
                <w:w w:val="84"/>
              </w:rPr>
            </w:pPr>
            <w:hyperlink r:id="rId67">
              <w:r>
                <w:rPr>
                  <w:rFonts w:ascii="Arial" w:cs="Arial" w:eastAsia="Arial" w:hAnsi="Arial"/>
                  <w:sz w:val="18"/>
                  <w:szCs w:val="18"/>
                  <w:color w:val="0000FF"/>
                  <w:w w:val="84"/>
                </w:rPr>
                <w:t>Inc., the</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520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guarantors named therein and Wells Fargo Bank, National Association,</w:t>
              </w:r>
            </w:hyperlink>
          </w:p>
        </w:tc>
        <w:tc>
          <w:tcPr>
            <w:tcW w:w="200" w:type="dxa"/>
            <w:vAlign w:val="bottom"/>
            <w:gridSpan w:val="9"/>
          </w:tcPr>
          <w:p>
            <w:pPr>
              <w:spacing w:after="0" w:line="156" w:lineRule="exact"/>
              <w:rPr>
                <w:rFonts w:ascii="Arial" w:cs="Arial" w:eastAsia="Arial" w:hAnsi="Arial"/>
                <w:sz w:val="18"/>
                <w:szCs w:val="18"/>
                <w:color w:val="0000FF"/>
                <w:w w:val="94"/>
              </w:rPr>
            </w:pPr>
            <w:hyperlink r:id="rId67">
              <w:r>
                <w:rPr>
                  <w:rFonts w:ascii="Arial" w:cs="Arial" w:eastAsia="Arial" w:hAnsi="Arial"/>
                  <w:sz w:val="18"/>
                  <w:szCs w:val="18"/>
                  <w:color w:val="0000FF"/>
                  <w:w w:val="94"/>
                </w:rPr>
                <w:t>as</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53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trustee, to the Indenture, dated as of July 9, 2015, among Endo</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500" w:type="dxa"/>
            <w:vAlign w:val="bottom"/>
            <w:tcBorders>
              <w:top w:val="single" w:sz="8" w:color="0000FF"/>
            </w:tcBorders>
            <w:gridSpan w:val="3"/>
          </w:tcPr>
          <w:p>
            <w:pPr>
              <w:spacing w:after="0" w:line="15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Designated Activity Company, Endo Finance LLC, Endo Finco</w:t>
              </w:r>
            </w:hyperlink>
          </w:p>
        </w:tc>
        <w:tc>
          <w:tcPr>
            <w:tcW w:w="40" w:type="dxa"/>
            <w:vAlign w:val="bottom"/>
          </w:tcPr>
          <w:p>
            <w:pPr>
              <w:spacing w:after="0"/>
              <w:rPr>
                <w:sz w:val="13"/>
                <w:szCs w:val="13"/>
                <w:color w:val="auto"/>
              </w:rPr>
            </w:pPr>
          </w:p>
        </w:tc>
        <w:tc>
          <w:tcPr>
            <w:tcW w:w="860" w:type="dxa"/>
            <w:vAlign w:val="bottom"/>
            <w:gridSpan w:val="22"/>
          </w:tcPr>
          <w:p>
            <w:pPr>
              <w:jc w:val="right"/>
              <w:ind w:right="200"/>
              <w:spacing w:after="0" w:line="156"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Inc., the</w:t>
              </w:r>
            </w:hyperlink>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5200" w:type="dxa"/>
            <w:vAlign w:val="bottom"/>
            <w:tcBorders>
              <w:top w:val="single" w:sz="8" w:color="0000FF"/>
            </w:tcBorders>
            <w:gridSpan w:val="17"/>
          </w:tcPr>
          <w:p>
            <w:pPr>
              <w:spacing w:after="0" w:line="142" w:lineRule="exact"/>
              <w:rPr>
                <w:rFonts w:ascii="Arial" w:cs="Arial" w:eastAsia="Arial" w:hAnsi="Arial"/>
                <w:sz w:val="16"/>
                <w:szCs w:val="16"/>
                <w:u w:val="single" w:color="auto"/>
                <w:color w:val="0000FF"/>
              </w:rPr>
            </w:pPr>
            <w:hyperlink r:id="rId67">
              <w:r>
                <w:rPr>
                  <w:rFonts w:ascii="Arial" w:cs="Arial" w:eastAsia="Arial" w:hAnsi="Arial"/>
                  <w:sz w:val="16"/>
                  <w:szCs w:val="16"/>
                  <w:u w:val="single" w:color="auto"/>
                  <w:color w:val="0000FF"/>
                </w:rPr>
                <w:t>guarantors named therein and Wells Fargo Bank, National Association,</w:t>
              </w:r>
            </w:hyperlink>
          </w:p>
        </w:tc>
        <w:tc>
          <w:tcPr>
            <w:tcW w:w="200" w:type="dxa"/>
            <w:vAlign w:val="bottom"/>
            <w:gridSpan w:val="9"/>
          </w:tcPr>
          <w:p>
            <w:pPr>
              <w:spacing w:after="0" w:line="142" w:lineRule="exact"/>
              <w:rPr>
                <w:rFonts w:ascii="Arial" w:cs="Arial" w:eastAsia="Arial" w:hAnsi="Arial"/>
                <w:sz w:val="16"/>
                <w:szCs w:val="16"/>
                <w:u w:val="single" w:color="auto"/>
                <w:color w:val="0000FF"/>
              </w:rPr>
            </w:pPr>
            <w:hyperlink r:id="rId67">
              <w:r>
                <w:rPr>
                  <w:rFonts w:ascii="Arial" w:cs="Arial" w:eastAsia="Arial" w:hAnsi="Arial"/>
                  <w:sz w:val="16"/>
                  <w:szCs w:val="16"/>
                  <w:u w:val="single" w:color="auto"/>
                  <w:color w:val="0000FF"/>
                </w:rPr>
                <w:t>as</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5400" w:type="dxa"/>
            <w:vAlign w:val="bottom"/>
            <w:gridSpan w:val="26"/>
          </w:tcPr>
          <w:p>
            <w:pPr>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trustee, relating to the 6.000% Senior Notes due 2023</w:t>
              </w:r>
            </w:hyperlink>
          </w:p>
        </w:tc>
        <w:tc>
          <w:tcPr>
            <w:tcW w:w="0" w:type="dxa"/>
            <w:vAlign w:val="bottom"/>
          </w:tcPr>
          <w:p>
            <w:pPr>
              <w:spacing w:after="0"/>
              <w:rPr>
                <w:sz w:val="1"/>
                <w:szCs w:val="1"/>
                <w:color w:val="auto"/>
              </w:rPr>
            </w:pPr>
          </w:p>
        </w:tc>
      </w:tr>
      <w:tr>
        <w:trPr>
          <w:trHeight w:val="190"/>
        </w:trPr>
        <w:tc>
          <w:tcPr>
            <w:tcW w:w="960" w:type="dxa"/>
            <w:vAlign w:val="bottom"/>
          </w:tcPr>
          <w:p>
            <w:pPr>
              <w:spacing w:after="0" w:line="170" w:lineRule="exact"/>
              <w:rPr>
                <w:sz w:val="20"/>
                <w:szCs w:val="20"/>
                <w:color w:val="auto"/>
              </w:rPr>
            </w:pPr>
            <w:r>
              <w:rPr>
                <w:rFonts w:ascii="Arial" w:cs="Arial" w:eastAsia="Arial" w:hAnsi="Arial"/>
                <w:sz w:val="18"/>
                <w:szCs w:val="18"/>
                <w:color w:val="auto"/>
              </w:rPr>
              <w:t>4.5</w:t>
            </w:r>
          </w:p>
        </w:tc>
        <w:tc>
          <w:tcPr>
            <w:tcW w:w="5400" w:type="dxa"/>
            <w:vAlign w:val="bottom"/>
            <w:gridSpan w:val="26"/>
          </w:tcPr>
          <w:p>
            <w:pPr>
              <w:spacing w:after="0" w:line="170" w:lineRule="exact"/>
              <w:rPr>
                <w:rFonts w:ascii="Arial" w:cs="Arial" w:eastAsia="Arial" w:hAnsi="Arial"/>
                <w:sz w:val="18"/>
                <w:szCs w:val="18"/>
                <w:color w:val="0000FF"/>
              </w:rPr>
            </w:pPr>
            <w:hyperlink r:id="rId68">
              <w:r>
                <w:rPr>
                  <w:rFonts w:ascii="Arial" w:cs="Arial" w:eastAsia="Arial" w:hAnsi="Arial"/>
                  <w:sz w:val="18"/>
                  <w:szCs w:val="18"/>
                  <w:color w:val="0000FF"/>
                </w:rPr>
                <w:t>Supplemental Indenture, dated as of May 28, 2020, among Endo</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640" w:type="dxa"/>
            <w:vAlign w:val="bottom"/>
            <w:tcBorders>
              <w:top w:val="single" w:sz="8" w:color="0000FF"/>
            </w:tcBorders>
            <w:gridSpan w:val="5"/>
          </w:tcPr>
          <w:p>
            <w:pPr>
              <w:spacing w:after="0" w:line="156"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Designated Activity Company, Endo Finance LLC, Endo Finco</w:t>
              </w:r>
            </w:hyperlink>
          </w:p>
        </w:tc>
        <w:tc>
          <w:tcPr>
            <w:tcW w:w="760" w:type="dxa"/>
            <w:vAlign w:val="bottom"/>
            <w:gridSpan w:val="21"/>
          </w:tcPr>
          <w:p>
            <w:pPr>
              <w:jc w:val="right"/>
              <w:ind w:right="200"/>
              <w:spacing w:after="0" w:line="156" w:lineRule="exact"/>
              <w:rPr>
                <w:rFonts w:ascii="Arial" w:cs="Arial" w:eastAsia="Arial" w:hAnsi="Arial"/>
                <w:sz w:val="18"/>
                <w:szCs w:val="18"/>
                <w:color w:val="0000FF"/>
                <w:w w:val="84"/>
              </w:rPr>
            </w:pPr>
            <w:hyperlink r:id="rId68">
              <w:r>
                <w:rPr>
                  <w:rFonts w:ascii="Arial" w:cs="Arial" w:eastAsia="Arial" w:hAnsi="Arial"/>
                  <w:sz w:val="18"/>
                  <w:szCs w:val="18"/>
                  <w:color w:val="0000FF"/>
                  <w:w w:val="84"/>
                </w:rPr>
                <w:t>Inc., the</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520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guarantors named therein and Wells Fargo Bank, National Association,</w:t>
              </w:r>
            </w:hyperlink>
          </w:p>
        </w:tc>
        <w:tc>
          <w:tcPr>
            <w:tcW w:w="200" w:type="dxa"/>
            <w:vAlign w:val="bottom"/>
            <w:gridSpan w:val="9"/>
          </w:tcPr>
          <w:p>
            <w:pPr>
              <w:spacing w:after="0" w:line="156"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as</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5300" w:type="dxa"/>
            <w:vAlign w:val="bottom"/>
            <w:tcBorders>
              <w:top w:val="single" w:sz="8" w:color="0000FF"/>
            </w:tcBorders>
            <w:gridSpan w:val="21"/>
          </w:tcPr>
          <w:p>
            <w:pPr>
              <w:spacing w:after="0" w:line="156" w:lineRule="exact"/>
              <w:rPr>
                <w:rFonts w:ascii="Arial" w:cs="Arial" w:eastAsia="Arial" w:hAnsi="Arial"/>
                <w:sz w:val="18"/>
                <w:szCs w:val="18"/>
                <w:color w:val="0000FF"/>
                <w:w w:val="96"/>
              </w:rPr>
            </w:pPr>
            <w:hyperlink r:id="rId68">
              <w:r>
                <w:rPr>
                  <w:rFonts w:ascii="Arial" w:cs="Arial" w:eastAsia="Arial" w:hAnsi="Arial"/>
                  <w:sz w:val="18"/>
                  <w:szCs w:val="18"/>
                  <w:color w:val="0000FF"/>
                  <w:w w:val="96"/>
                </w:rPr>
                <w:t>trustee, to the Indenture, dated as of January 27, 2015, among Endo</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860" w:type="dxa"/>
            <w:vAlign w:val="bottom"/>
            <w:tcBorders>
              <w:top w:val="single" w:sz="8" w:color="0000FF"/>
            </w:tcBorders>
            <w:gridSpan w:val="8"/>
          </w:tcPr>
          <w:p>
            <w:pPr>
              <w:spacing w:after="0" w:line="15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Designated Activity Company, Endo Finance LLC, Endo Finco Inc.,</w:t>
              </w:r>
            </w:hyperlink>
          </w:p>
        </w:tc>
        <w:tc>
          <w:tcPr>
            <w:tcW w:w="540" w:type="dxa"/>
            <w:vAlign w:val="bottom"/>
            <w:gridSpan w:val="18"/>
          </w:tcPr>
          <w:p>
            <w:pPr>
              <w:jc w:val="right"/>
              <w:ind w:right="200"/>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5200" w:type="dxa"/>
            <w:vAlign w:val="bottom"/>
            <w:tcBorders>
              <w:top w:val="single" w:sz="8" w:color="0000FF"/>
            </w:tcBorders>
            <w:gridSpan w:val="17"/>
          </w:tcPr>
          <w:p>
            <w:pPr>
              <w:spacing w:after="0" w:line="142" w:lineRule="exact"/>
              <w:rPr>
                <w:rFonts w:ascii="Arial" w:cs="Arial" w:eastAsia="Arial" w:hAnsi="Arial"/>
                <w:sz w:val="16"/>
                <w:szCs w:val="16"/>
                <w:u w:val="single" w:color="auto"/>
                <w:color w:val="0000FF"/>
              </w:rPr>
            </w:pPr>
            <w:hyperlink r:id="rId68">
              <w:r>
                <w:rPr>
                  <w:rFonts w:ascii="Arial" w:cs="Arial" w:eastAsia="Arial" w:hAnsi="Arial"/>
                  <w:sz w:val="16"/>
                  <w:szCs w:val="16"/>
                  <w:u w:val="single" w:color="auto"/>
                  <w:color w:val="0000FF"/>
                </w:rPr>
                <w:t>guarantors named therein and Wells Fargo Bank, National Association,</w:t>
              </w:r>
            </w:hyperlink>
          </w:p>
        </w:tc>
        <w:tc>
          <w:tcPr>
            <w:tcW w:w="200" w:type="dxa"/>
            <w:vAlign w:val="bottom"/>
            <w:gridSpan w:val="9"/>
          </w:tcPr>
          <w:p>
            <w:pPr>
              <w:spacing w:after="0" w:line="142" w:lineRule="exact"/>
              <w:rPr>
                <w:rFonts w:ascii="Arial" w:cs="Arial" w:eastAsia="Arial" w:hAnsi="Arial"/>
                <w:sz w:val="16"/>
                <w:szCs w:val="16"/>
                <w:u w:val="single" w:color="auto"/>
                <w:color w:val="0000FF"/>
              </w:rPr>
            </w:pPr>
            <w:hyperlink r:id="rId68">
              <w:r>
                <w:rPr>
                  <w:rFonts w:ascii="Arial" w:cs="Arial" w:eastAsia="Arial" w:hAnsi="Arial"/>
                  <w:sz w:val="16"/>
                  <w:szCs w:val="16"/>
                  <w:u w:val="single" w:color="auto"/>
                  <w:color w:val="0000FF"/>
                </w:rPr>
                <w:t>as</w:t>
              </w:r>
            </w:hyperlink>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5400" w:type="dxa"/>
            <w:vAlign w:val="bottom"/>
            <w:gridSpan w:val="26"/>
          </w:tcPr>
          <w:p>
            <w:pPr>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trustee, relating to the 6.000% Senior Notes due 2025</w:t>
              </w:r>
            </w:hyperlink>
          </w:p>
        </w:tc>
        <w:tc>
          <w:tcPr>
            <w:tcW w:w="0" w:type="dxa"/>
            <w:vAlign w:val="bottom"/>
          </w:tcPr>
          <w:p>
            <w:pPr>
              <w:spacing w:after="0"/>
              <w:rPr>
                <w:sz w:val="1"/>
                <w:szCs w:val="1"/>
                <w:color w:val="auto"/>
              </w:rPr>
            </w:pPr>
          </w:p>
        </w:tc>
      </w:tr>
      <w:tr>
        <w:trPr>
          <w:trHeight w:val="244"/>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5400" w:type="dxa"/>
            <w:vAlign w:val="bottom"/>
            <w:gridSpan w:val="26"/>
          </w:tcPr>
          <w:p>
            <w:pPr>
              <w:spacing w:after="0"/>
              <w:rPr>
                <w:rFonts w:ascii="Arial" w:cs="Arial" w:eastAsia="Arial" w:hAnsi="Arial"/>
                <w:sz w:val="18"/>
                <w:szCs w:val="18"/>
                <w:u w:val="single" w:color="auto"/>
                <w:color w:val="0000FF"/>
                <w:w w:val="92"/>
              </w:rPr>
            </w:pPr>
            <w:hyperlink r:id="rId69">
              <w:r>
                <w:rPr>
                  <w:rFonts w:ascii="Arial" w:cs="Arial" w:eastAsia="Arial" w:hAnsi="Arial"/>
                  <w:sz w:val="18"/>
                  <w:szCs w:val="18"/>
                  <w:u w:val="single" w:color="auto"/>
                  <w:color w:val="0000FF"/>
                  <w:w w:val="92"/>
                </w:rPr>
                <w:t>Endo International plc Amended and Restated 2015 Stock Incentive Plan</w:t>
              </w:r>
            </w:hyperlink>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5060" w:type="dxa"/>
            <w:vAlign w:val="bottom"/>
            <w:tcBorders>
              <w:bottom w:val="single" w:sz="8" w:color="0000FF"/>
            </w:tcBorders>
            <w:gridSpan w:val="11"/>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Collateral Trust Agreement, dated as of April 27, 2017, by and among</w:t>
              </w:r>
            </w:hyperlink>
          </w:p>
        </w:tc>
        <w:tc>
          <w:tcPr>
            <w:tcW w:w="3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5400" w:type="dxa"/>
            <w:vAlign w:val="bottom"/>
            <w:gridSpan w:val="26"/>
          </w:tcPr>
          <w:p>
            <w:pPr>
              <w:spacing w:after="0" w:line="156" w:lineRule="exact"/>
              <w:rPr>
                <w:rFonts w:ascii="Arial" w:cs="Arial" w:eastAsia="Arial" w:hAnsi="Arial"/>
                <w:sz w:val="18"/>
                <w:szCs w:val="18"/>
                <w:color w:val="0000FF"/>
                <w:w w:val="95"/>
              </w:rPr>
            </w:pPr>
            <w:hyperlink r:id="rId70">
              <w:r>
                <w:rPr>
                  <w:rFonts w:ascii="Arial" w:cs="Arial" w:eastAsia="Arial" w:hAnsi="Arial"/>
                  <w:sz w:val="18"/>
                  <w:szCs w:val="18"/>
                  <w:color w:val="0000FF"/>
                  <w:w w:val="95"/>
                </w:rPr>
                <w:t>Endo International plc, certain subsidiaries of Endo International plc as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8"/>
              </w:rPr>
            </w:pPr>
            <w:hyperlink r:id="rId70">
              <w:r>
                <w:rPr>
                  <w:rFonts w:ascii="Arial" w:cs="Arial" w:eastAsia="Arial" w:hAnsi="Arial"/>
                  <w:sz w:val="18"/>
                  <w:szCs w:val="18"/>
                  <w:color w:val="0000FF"/>
                  <w:w w:val="88"/>
                </w:rPr>
                <w:t>borrowers, Par Pharmaceutical, Inc., certain other grantors party thereto,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5220" w:type="dxa"/>
            <w:vAlign w:val="bottom"/>
            <w:tcBorders>
              <w:bottom w:val="single" w:sz="8" w:color="0000FF"/>
            </w:tcBorders>
            <w:gridSpan w:val="18"/>
          </w:tcPr>
          <w:p>
            <w:pPr>
              <w:spacing w:after="0" w:line="15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JPMorgan Chase Bank, N.A, as administrative agent, Wells Fargo Bank,</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5240" w:type="dxa"/>
            <w:vAlign w:val="bottom"/>
            <w:gridSpan w:val="19"/>
          </w:tcPr>
          <w:p>
            <w:pPr>
              <w:spacing w:after="0" w:line="142" w:lineRule="exact"/>
              <w:rPr>
                <w:rFonts w:ascii="Arial" w:cs="Arial" w:eastAsia="Arial" w:hAnsi="Arial"/>
                <w:sz w:val="16"/>
                <w:szCs w:val="16"/>
                <w:u w:val="single" w:color="auto"/>
                <w:color w:val="0000FF"/>
              </w:rPr>
            </w:pPr>
            <w:hyperlink r:id="rId70">
              <w:r>
                <w:rPr>
                  <w:rFonts w:ascii="Arial" w:cs="Arial" w:eastAsia="Arial" w:hAnsi="Arial"/>
                  <w:sz w:val="16"/>
                  <w:szCs w:val="16"/>
                  <w:u w:val="single" w:color="auto"/>
                  <w:color w:val="0000FF"/>
                </w:rPr>
                <w:t>National Association, as trustee, and Wilmington Trust, National</w:t>
              </w:r>
            </w:hyperlink>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5400" w:type="dxa"/>
            <w:vAlign w:val="bottom"/>
            <w:gridSpan w:val="26"/>
          </w:tcPr>
          <w:p>
            <w:pPr>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Association, as collateral trustee</w:t>
              </w:r>
            </w:hyperlink>
          </w:p>
        </w:tc>
        <w:tc>
          <w:tcPr>
            <w:tcW w:w="0" w:type="dxa"/>
            <w:vAlign w:val="bottom"/>
          </w:tcPr>
          <w:p>
            <w:pPr>
              <w:spacing w:after="0"/>
              <w:rPr>
                <w:sz w:val="1"/>
                <w:szCs w:val="1"/>
                <w:color w:val="auto"/>
              </w:rPr>
            </w:pPr>
          </w:p>
        </w:tc>
      </w:tr>
      <w:tr>
        <w:trPr>
          <w:trHeight w:val="190"/>
        </w:trPr>
        <w:tc>
          <w:tcPr>
            <w:tcW w:w="960" w:type="dxa"/>
            <w:vAlign w:val="bottom"/>
          </w:tcPr>
          <w:p>
            <w:pPr>
              <w:spacing w:after="0" w:line="170" w:lineRule="exact"/>
              <w:rPr>
                <w:sz w:val="20"/>
                <w:szCs w:val="20"/>
                <w:color w:val="auto"/>
              </w:rPr>
            </w:pPr>
            <w:r>
              <w:rPr>
                <w:rFonts w:ascii="Arial" w:cs="Arial" w:eastAsia="Arial" w:hAnsi="Arial"/>
                <w:sz w:val="18"/>
                <w:szCs w:val="18"/>
                <w:color w:val="auto"/>
              </w:rPr>
              <w:t>10.3</w:t>
            </w:r>
          </w:p>
        </w:tc>
        <w:tc>
          <w:tcPr>
            <w:tcW w:w="5400" w:type="dxa"/>
            <w:vAlign w:val="bottom"/>
            <w:gridSpan w:val="26"/>
          </w:tcPr>
          <w:p>
            <w:pPr>
              <w:spacing w:after="0" w:line="170"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Second Lien Collateral Trust Agreement, dated as of June 16, 2020, by</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and among Endo International plc, certain subsidiaries of Endo</w:t>
              </w:r>
            </w:hyperlink>
          </w:p>
        </w:tc>
        <w:tc>
          <w:tcPr>
            <w:tcW w:w="58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5400" w:type="dxa"/>
            <w:vAlign w:val="bottom"/>
            <w:gridSpan w:val="26"/>
          </w:tcPr>
          <w:p>
            <w:pPr>
              <w:spacing w:after="0" w:line="15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International plc as borrowers, Endo Designated Activity Company, Endo</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53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Finance LLC, Endo Finco Inc., certain other grantors party thereto,</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820" w:type="dxa"/>
            <w:vAlign w:val="bottom"/>
            <w:tcBorders>
              <w:top w:val="single" w:sz="8" w:color="0000FF"/>
            </w:tcBorders>
            <w:gridSpan w:val="7"/>
          </w:tcPr>
          <w:p>
            <w:pPr>
              <w:spacing w:after="0" w:line="15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JPMorgan Chase Bank, N.A, as administrative agent, Wells Fargo</w:t>
              </w:r>
            </w:hyperlink>
          </w:p>
        </w:tc>
        <w:tc>
          <w:tcPr>
            <w:tcW w:w="580" w:type="dxa"/>
            <w:vAlign w:val="bottom"/>
            <w:gridSpan w:val="19"/>
          </w:tcPr>
          <w:p>
            <w:pPr>
              <w:jc w:val="right"/>
              <w:ind w:right="200"/>
              <w:spacing w:after="0" w:line="156" w:lineRule="exact"/>
              <w:rPr>
                <w:rFonts w:ascii="Arial" w:cs="Arial" w:eastAsia="Arial" w:hAnsi="Arial"/>
                <w:sz w:val="18"/>
                <w:szCs w:val="18"/>
                <w:color w:val="0000FF"/>
                <w:w w:val="78"/>
              </w:rPr>
            </w:pPr>
            <w:hyperlink r:id="rId71">
              <w:r>
                <w:rPr>
                  <w:rFonts w:ascii="Arial" w:cs="Arial" w:eastAsia="Arial" w:hAnsi="Arial"/>
                  <w:sz w:val="18"/>
                  <w:szCs w:val="18"/>
                  <w:color w:val="0000FF"/>
                  <w:w w:val="78"/>
                </w:rPr>
                <w:t>Bank,</w:t>
              </w:r>
            </w:hyperlink>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5240" w:type="dxa"/>
            <w:vAlign w:val="bottom"/>
            <w:tcBorders>
              <w:top w:val="single" w:sz="8" w:color="0000FF"/>
            </w:tcBorders>
            <w:gridSpan w:val="19"/>
          </w:tcPr>
          <w:p>
            <w:pPr>
              <w:spacing w:after="0" w:line="142" w:lineRule="exact"/>
              <w:rPr>
                <w:rFonts w:ascii="Arial" w:cs="Arial" w:eastAsia="Arial" w:hAnsi="Arial"/>
                <w:sz w:val="16"/>
                <w:szCs w:val="16"/>
                <w:u w:val="single" w:color="auto"/>
                <w:color w:val="0000FF"/>
              </w:rPr>
            </w:pPr>
            <w:hyperlink r:id="rId71">
              <w:r>
                <w:rPr>
                  <w:rFonts w:ascii="Arial" w:cs="Arial" w:eastAsia="Arial" w:hAnsi="Arial"/>
                  <w:sz w:val="16"/>
                  <w:szCs w:val="16"/>
                  <w:u w:val="single" w:color="auto"/>
                  <w:color w:val="0000FF"/>
                </w:rPr>
                <w:t>National Association, as trustee, and Wilmington Trust, National</w:t>
              </w:r>
            </w:hyperlink>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5400" w:type="dxa"/>
            <w:vAlign w:val="bottom"/>
            <w:gridSpan w:val="26"/>
          </w:tcPr>
          <w:p>
            <w:pPr>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Association, as collateral trustee</w:t>
              </w:r>
            </w:hyperlink>
          </w:p>
        </w:tc>
        <w:tc>
          <w:tcPr>
            <w:tcW w:w="0" w:type="dxa"/>
            <w:vAlign w:val="bottom"/>
          </w:tcPr>
          <w:p>
            <w:pPr>
              <w:spacing w:after="0"/>
              <w:rPr>
                <w:sz w:val="1"/>
                <w:szCs w:val="1"/>
                <w:color w:val="auto"/>
              </w:rPr>
            </w:pPr>
          </w:p>
        </w:tc>
      </w:tr>
      <w:tr>
        <w:trPr>
          <w:trHeight w:val="190"/>
        </w:trPr>
        <w:tc>
          <w:tcPr>
            <w:tcW w:w="960" w:type="dxa"/>
            <w:vAlign w:val="bottom"/>
          </w:tcPr>
          <w:p>
            <w:pPr>
              <w:spacing w:after="0" w:line="170" w:lineRule="exact"/>
              <w:rPr>
                <w:sz w:val="20"/>
                <w:szCs w:val="20"/>
                <w:color w:val="auto"/>
              </w:rPr>
            </w:pPr>
            <w:r>
              <w:rPr>
                <w:rFonts w:ascii="Arial" w:cs="Arial" w:eastAsia="Arial" w:hAnsi="Arial"/>
                <w:sz w:val="18"/>
                <w:szCs w:val="18"/>
                <w:color w:val="auto"/>
              </w:rPr>
              <w:t>10.4</w:t>
            </w:r>
          </w:p>
        </w:tc>
        <w:tc>
          <w:tcPr>
            <w:tcW w:w="5400" w:type="dxa"/>
            <w:vAlign w:val="bottom"/>
            <w:gridSpan w:val="26"/>
          </w:tcPr>
          <w:p>
            <w:pPr>
              <w:spacing w:after="0" w:line="170" w:lineRule="exact"/>
              <w:rPr>
                <w:rFonts w:ascii="Arial" w:cs="Arial" w:eastAsia="Arial" w:hAnsi="Arial"/>
                <w:sz w:val="18"/>
                <w:szCs w:val="18"/>
                <w:color w:val="0000FF"/>
              </w:rPr>
            </w:pPr>
            <w:hyperlink r:id="rId72">
              <w:r>
                <w:rPr>
                  <w:rFonts w:ascii="Arial" w:cs="Arial" w:eastAsia="Arial" w:hAnsi="Arial"/>
                  <w:sz w:val="18"/>
                  <w:szCs w:val="18"/>
                  <w:color w:val="0000FF"/>
                </w:rPr>
                <w:t>Intercreditor Agreement, dated as of June 16, 2020, by and among</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60" w:type="dxa"/>
            <w:vAlign w:val="bottom"/>
          </w:tcPr>
          <w:p>
            <w:pPr>
              <w:spacing w:after="0"/>
              <w:rPr>
                <w:sz w:val="13"/>
                <w:szCs w:val="13"/>
                <w:color w:val="auto"/>
              </w:rPr>
            </w:pPr>
          </w:p>
        </w:tc>
        <w:tc>
          <w:tcPr>
            <w:tcW w:w="5400" w:type="dxa"/>
            <w:vAlign w:val="bottom"/>
            <w:gridSpan w:val="26"/>
          </w:tcPr>
          <w:p>
            <w:pPr>
              <w:spacing w:after="0" w:line="156" w:lineRule="exact"/>
              <w:rPr>
                <w:rFonts w:ascii="Arial" w:cs="Arial" w:eastAsia="Arial" w:hAnsi="Arial"/>
                <w:sz w:val="18"/>
                <w:szCs w:val="18"/>
                <w:color w:val="0000FF"/>
                <w:w w:val="97"/>
              </w:rPr>
            </w:pPr>
            <w:hyperlink r:id="rId72">
              <w:r>
                <w:rPr>
                  <w:rFonts w:ascii="Arial" w:cs="Arial" w:eastAsia="Arial" w:hAnsi="Arial"/>
                  <w:sz w:val="18"/>
                  <w:szCs w:val="18"/>
                  <w:color w:val="0000FF"/>
                  <w:w w:val="97"/>
                </w:rPr>
                <w:t>Wilmington Trust, National Association, as first priority representative,</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88"/>
              </w:rPr>
            </w:pPr>
            <w:hyperlink r:id="rId72">
              <w:r>
                <w:rPr>
                  <w:rFonts w:ascii="Arial" w:cs="Arial" w:eastAsia="Arial" w:hAnsi="Arial"/>
                  <w:sz w:val="18"/>
                  <w:szCs w:val="18"/>
                  <w:color w:val="0000FF"/>
                  <w:w w:val="88"/>
                </w:rPr>
                <w:t>Wilmington Trust, National Association, as second priority representative,</w:t>
              </w:r>
            </w:hyperlink>
          </w:p>
        </w:tc>
        <w:tc>
          <w:tcPr>
            <w:tcW w:w="200" w:type="dxa"/>
            <w:vAlign w:val="bottom"/>
            <w:tcBorders>
              <w:bottom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380" w:type="dxa"/>
            <w:vAlign w:val="bottom"/>
            <w:tcBorders>
              <w:bottom w:val="single" w:sz="8" w:color="0000FF"/>
            </w:tcBorders>
          </w:tcPr>
          <w:p>
            <w:pPr>
              <w:spacing w:after="0" w:line="156" w:lineRule="exact"/>
              <w:rPr>
                <w:rFonts w:ascii="Arial" w:cs="Arial" w:eastAsia="Arial" w:hAnsi="Arial"/>
                <w:sz w:val="18"/>
                <w:szCs w:val="18"/>
                <w:color w:val="0000FF"/>
                <w:w w:val="88"/>
              </w:rPr>
            </w:pPr>
            <w:hyperlink r:id="rId72">
              <w:r>
                <w:rPr>
                  <w:rFonts w:ascii="Arial" w:cs="Arial" w:eastAsia="Arial" w:hAnsi="Arial"/>
                  <w:sz w:val="18"/>
                  <w:szCs w:val="18"/>
                  <w:color w:val="0000FF"/>
                  <w:w w:val="88"/>
                </w:rPr>
                <w:t>and certain grantors party thereto</w:t>
              </w:r>
            </w:hyperlink>
          </w:p>
        </w:tc>
        <w:tc>
          <w:tcPr>
            <w:tcW w:w="3000" w:type="dxa"/>
            <w:vAlign w:val="bottom"/>
            <w:gridSpan w:val="2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5400" w:type="dxa"/>
            <w:vAlign w:val="bottom"/>
            <w:gridSpan w:val="26"/>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Certification of the President and Chief Executive Officer of Endo</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4760" w:type="dxa"/>
            <w:vAlign w:val="bottom"/>
            <w:tcBorders>
              <w:top w:val="single" w:sz="8" w:color="0000FF"/>
            </w:tcBorders>
            <w:gridSpan w:val="6"/>
          </w:tcPr>
          <w:p>
            <w:pPr>
              <w:spacing w:after="0" w:line="195" w:lineRule="exact"/>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pursuant to Section 302 of the Sarbanes-Oxley Act of 2002</w:t>
              </w:r>
            </w:hyperlink>
          </w:p>
        </w:tc>
        <w:tc>
          <w:tcPr>
            <w:tcW w:w="400" w:type="dxa"/>
            <w:vAlign w:val="bottom"/>
            <w:gridSpan w:val="9"/>
          </w:tcPr>
          <w:p>
            <w:pPr>
              <w:spacing w:after="0"/>
              <w:rPr>
                <w:sz w:val="16"/>
                <w:szCs w:val="16"/>
                <w:color w:val="auto"/>
              </w:rPr>
            </w:pPr>
          </w:p>
        </w:tc>
        <w:tc>
          <w:tcPr>
            <w:tcW w:w="24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line="170" w:lineRule="exact"/>
              <w:rPr>
                <w:sz w:val="20"/>
                <w:szCs w:val="20"/>
                <w:color w:val="auto"/>
              </w:rPr>
            </w:pPr>
            <w:r>
              <w:rPr>
                <w:rFonts w:ascii="Arial" w:cs="Arial" w:eastAsia="Arial" w:hAnsi="Arial"/>
                <w:sz w:val="18"/>
                <w:szCs w:val="18"/>
                <w:color w:val="auto"/>
              </w:rPr>
              <w:t>31.2</w:t>
            </w:r>
          </w:p>
        </w:tc>
        <w:tc>
          <w:tcPr>
            <w:tcW w:w="5400" w:type="dxa"/>
            <w:vAlign w:val="bottom"/>
            <w:gridSpan w:val="26"/>
          </w:tcPr>
          <w:p>
            <w:pPr>
              <w:spacing w:after="0" w:line="170" w:lineRule="exact"/>
              <w:rPr>
                <w:rFonts w:ascii="Arial" w:cs="Arial" w:eastAsia="Arial" w:hAnsi="Arial"/>
                <w:sz w:val="18"/>
                <w:szCs w:val="18"/>
                <w:color w:val="0000FF"/>
                <w:w w:val="97"/>
              </w:rPr>
            </w:pPr>
            <w:hyperlink w:anchor="page54">
              <w:r>
                <w:rPr>
                  <w:rFonts w:ascii="Arial" w:cs="Arial" w:eastAsia="Arial" w:hAnsi="Arial"/>
                  <w:sz w:val="18"/>
                  <w:szCs w:val="18"/>
                  <w:color w:val="0000FF"/>
                  <w:w w:val="97"/>
                </w:rPr>
                <w:t>Certification of the Chief Financial Officer of Endo pursuant to Section</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54">
              <w:r>
                <w:rPr>
                  <w:rFonts w:ascii="Arial" w:cs="Arial" w:eastAsia="Arial" w:hAnsi="Arial"/>
                  <w:sz w:val="18"/>
                  <w:szCs w:val="18"/>
                  <w:color w:val="0000FF"/>
                  <w:w w:val="90"/>
                </w:rPr>
                <w:t>302 of the Sarbanes-Oxley Act of 2002</w:t>
              </w:r>
            </w:hyperlink>
          </w:p>
        </w:tc>
        <w:tc>
          <w:tcPr>
            <w:tcW w:w="2340" w:type="dxa"/>
            <w:vAlign w:val="bottom"/>
            <w:tcBorders>
              <w:top w:val="single" w:sz="8" w:color="0000FF"/>
            </w:tcBorders>
            <w:gridSpan w:val="13"/>
          </w:tcPr>
          <w:p>
            <w:pPr>
              <w:spacing w:after="0"/>
              <w:rPr>
                <w:sz w:val="13"/>
                <w:szCs w:val="13"/>
                <w:color w:val="auto"/>
              </w:rPr>
            </w:pPr>
          </w:p>
        </w:tc>
        <w:tc>
          <w:tcPr>
            <w:tcW w:w="2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749"/>
        </w:trPr>
        <w:tc>
          <w:tcPr>
            <w:tcW w:w="960" w:type="dxa"/>
            <w:vAlign w:val="bottom"/>
          </w:tcPr>
          <w:p>
            <w:pPr>
              <w:spacing w:after="0"/>
              <w:rPr>
                <w:sz w:val="24"/>
                <w:szCs w:val="24"/>
                <w:color w:val="auto"/>
              </w:rPr>
            </w:pPr>
          </w:p>
        </w:tc>
        <w:tc>
          <w:tcPr>
            <w:tcW w:w="4760" w:type="dxa"/>
            <w:vAlign w:val="bottom"/>
            <w:gridSpan w:val="6"/>
          </w:tcPr>
          <w:p>
            <w:pPr>
              <w:ind w:left="4560"/>
              <w:spacing w:after="0"/>
              <w:rPr>
                <w:sz w:val="20"/>
                <w:szCs w:val="20"/>
                <w:color w:val="auto"/>
              </w:rPr>
            </w:pPr>
            <w:r>
              <w:rPr>
                <w:rFonts w:ascii="Arial" w:cs="Arial" w:eastAsia="Arial" w:hAnsi="Arial"/>
                <w:sz w:val="18"/>
                <w:szCs w:val="18"/>
                <w:color w:val="auto"/>
                <w:w w:val="89"/>
              </w:rPr>
              <w:t>47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70"/>
              <w:spacing w:after="0"/>
              <w:rPr>
                <w:sz w:val="20"/>
                <w:szCs w:val="20"/>
                <w:color w:val="auto"/>
              </w:rPr>
            </w:pPr>
            <w:r>
              <w:rPr>
                <w:rFonts w:ascii="Arial" w:cs="Arial" w:eastAsia="Arial" w:hAnsi="Arial"/>
                <w:sz w:val="18"/>
                <w:szCs w:val="18"/>
                <w:color w:val="auto"/>
                <w:w w:val="88"/>
              </w:rPr>
              <w:t>001-36326</w:t>
            </w:r>
          </w:p>
        </w:tc>
        <w:tc>
          <w:tcPr>
            <w:tcW w:w="2020" w:type="dxa"/>
            <w:vAlign w:val="bottom"/>
          </w:tcPr>
          <w:p>
            <w:pPr>
              <w:ind w:left="180"/>
              <w:spacing w:after="0"/>
              <w:rPr>
                <w:sz w:val="20"/>
                <w:szCs w:val="20"/>
                <w:color w:val="auto"/>
              </w:rPr>
            </w:pPr>
            <w:r>
              <w:rPr>
                <w:rFonts w:ascii="Arial" w:cs="Arial" w:eastAsia="Arial" w:hAnsi="Arial"/>
                <w:sz w:val="18"/>
                <w:szCs w:val="18"/>
                <w:color w:val="auto"/>
                <w:w w:val="95"/>
              </w:rPr>
              <w:t>Current Report on Form</w:t>
            </w:r>
          </w:p>
        </w:tc>
        <w:tc>
          <w:tcPr>
            <w:tcW w:w="1120" w:type="dxa"/>
            <w:vAlign w:val="bottom"/>
          </w:tcPr>
          <w:p>
            <w:pPr>
              <w:ind w:left="120"/>
              <w:spacing w:after="0"/>
              <w:rPr>
                <w:sz w:val="20"/>
                <w:szCs w:val="20"/>
                <w:color w:val="auto"/>
              </w:rPr>
            </w:pPr>
            <w:r>
              <w:rPr>
                <w:rFonts w:ascii="Arial" w:cs="Arial" w:eastAsia="Arial" w:hAnsi="Arial"/>
                <w:sz w:val="18"/>
                <w:szCs w:val="18"/>
                <w:color w:val="auto"/>
                <w:w w:val="85"/>
              </w:rPr>
              <w:t>June 16, 2020</w:t>
            </w:r>
          </w:p>
        </w:tc>
      </w:tr>
      <w:tr>
        <w:trPr>
          <w:trHeight w:val="230"/>
        </w:trPr>
        <w:tc>
          <w:tcPr>
            <w:tcW w:w="94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Arial" w:cs="Arial" w:eastAsia="Arial" w:hAnsi="Arial"/>
                <w:sz w:val="18"/>
                <w:szCs w:val="18"/>
                <w:color w:val="auto"/>
              </w:rPr>
              <w:t>8-K</w:t>
            </w:r>
          </w:p>
        </w:tc>
        <w:tc>
          <w:tcPr>
            <w:tcW w:w="1120" w:type="dxa"/>
            <w:vAlign w:val="bottom"/>
          </w:tcPr>
          <w:p>
            <w:pPr>
              <w:spacing w:after="0"/>
              <w:rPr>
                <w:sz w:val="20"/>
                <w:szCs w:val="20"/>
                <w:color w:val="auto"/>
              </w:rPr>
            </w:pPr>
          </w:p>
        </w:tc>
      </w:tr>
      <w:tr>
        <w:trPr>
          <w:trHeight w:val="877"/>
        </w:trPr>
        <w:tc>
          <w:tcPr>
            <w:tcW w:w="940" w:type="dxa"/>
            <w:vAlign w:val="bottom"/>
          </w:tcPr>
          <w:p>
            <w:pPr>
              <w:jc w:val="right"/>
              <w:ind w:right="70"/>
              <w:spacing w:after="0"/>
              <w:rPr>
                <w:sz w:val="20"/>
                <w:szCs w:val="20"/>
                <w:color w:val="auto"/>
              </w:rPr>
            </w:pPr>
            <w:r>
              <w:rPr>
                <w:rFonts w:ascii="Arial" w:cs="Arial" w:eastAsia="Arial" w:hAnsi="Arial"/>
                <w:sz w:val="18"/>
                <w:szCs w:val="18"/>
                <w:color w:val="auto"/>
                <w:w w:val="88"/>
              </w:rPr>
              <w:t>001-36326</w:t>
            </w:r>
          </w:p>
        </w:tc>
        <w:tc>
          <w:tcPr>
            <w:tcW w:w="2020" w:type="dxa"/>
            <w:vAlign w:val="bottom"/>
          </w:tcPr>
          <w:p>
            <w:pPr>
              <w:ind w:left="180"/>
              <w:spacing w:after="0"/>
              <w:rPr>
                <w:sz w:val="20"/>
                <w:szCs w:val="20"/>
                <w:color w:val="auto"/>
              </w:rPr>
            </w:pPr>
            <w:r>
              <w:rPr>
                <w:rFonts w:ascii="Arial" w:cs="Arial" w:eastAsia="Arial" w:hAnsi="Arial"/>
                <w:sz w:val="18"/>
                <w:szCs w:val="18"/>
                <w:color w:val="auto"/>
                <w:w w:val="95"/>
              </w:rPr>
              <w:t>Current Report on Form</w:t>
            </w:r>
          </w:p>
        </w:tc>
        <w:tc>
          <w:tcPr>
            <w:tcW w:w="1120" w:type="dxa"/>
            <w:vAlign w:val="bottom"/>
          </w:tcPr>
          <w:p>
            <w:pPr>
              <w:ind w:left="120"/>
              <w:spacing w:after="0"/>
              <w:rPr>
                <w:sz w:val="20"/>
                <w:szCs w:val="20"/>
                <w:color w:val="auto"/>
              </w:rPr>
            </w:pPr>
            <w:r>
              <w:rPr>
                <w:rFonts w:ascii="Arial" w:cs="Arial" w:eastAsia="Arial" w:hAnsi="Arial"/>
                <w:sz w:val="18"/>
                <w:szCs w:val="18"/>
                <w:color w:val="auto"/>
                <w:w w:val="85"/>
              </w:rPr>
              <w:t>June 16, 2020</w:t>
            </w:r>
          </w:p>
        </w:tc>
      </w:tr>
      <w:tr>
        <w:trPr>
          <w:trHeight w:val="230"/>
        </w:trPr>
        <w:tc>
          <w:tcPr>
            <w:tcW w:w="94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Arial" w:cs="Arial" w:eastAsia="Arial" w:hAnsi="Arial"/>
                <w:sz w:val="18"/>
                <w:szCs w:val="18"/>
                <w:color w:val="auto"/>
              </w:rPr>
              <w:t>8-K</w:t>
            </w:r>
          </w:p>
        </w:tc>
        <w:tc>
          <w:tcPr>
            <w:tcW w:w="1120" w:type="dxa"/>
            <w:vAlign w:val="bottom"/>
          </w:tcPr>
          <w:p>
            <w:pPr>
              <w:spacing w:after="0"/>
              <w:rPr>
                <w:sz w:val="20"/>
                <w:szCs w:val="20"/>
                <w:color w:val="auto"/>
              </w:rPr>
            </w:pPr>
          </w:p>
        </w:tc>
      </w:tr>
      <w:tr>
        <w:trPr>
          <w:trHeight w:val="701"/>
        </w:trPr>
        <w:tc>
          <w:tcPr>
            <w:tcW w:w="940" w:type="dxa"/>
            <w:vAlign w:val="bottom"/>
          </w:tcPr>
          <w:p>
            <w:pPr>
              <w:jc w:val="right"/>
              <w:ind w:right="70"/>
              <w:spacing w:after="0"/>
              <w:rPr>
                <w:sz w:val="20"/>
                <w:szCs w:val="20"/>
                <w:color w:val="auto"/>
              </w:rPr>
            </w:pPr>
            <w:r>
              <w:rPr>
                <w:rFonts w:ascii="Arial" w:cs="Arial" w:eastAsia="Arial" w:hAnsi="Arial"/>
                <w:sz w:val="18"/>
                <w:szCs w:val="18"/>
                <w:color w:val="auto"/>
                <w:w w:val="88"/>
              </w:rPr>
              <w:t>001-36326</w:t>
            </w:r>
          </w:p>
        </w:tc>
        <w:tc>
          <w:tcPr>
            <w:tcW w:w="2020" w:type="dxa"/>
            <w:vAlign w:val="bottom"/>
          </w:tcPr>
          <w:p>
            <w:pPr>
              <w:ind w:left="180"/>
              <w:spacing w:after="0"/>
              <w:rPr>
                <w:sz w:val="20"/>
                <w:szCs w:val="20"/>
                <w:color w:val="auto"/>
              </w:rPr>
            </w:pPr>
            <w:r>
              <w:rPr>
                <w:rFonts w:ascii="Arial" w:cs="Arial" w:eastAsia="Arial" w:hAnsi="Arial"/>
                <w:sz w:val="18"/>
                <w:szCs w:val="18"/>
                <w:color w:val="auto"/>
                <w:w w:val="95"/>
              </w:rPr>
              <w:t>Current Report on Form</w:t>
            </w:r>
          </w:p>
        </w:tc>
        <w:tc>
          <w:tcPr>
            <w:tcW w:w="1120" w:type="dxa"/>
            <w:vAlign w:val="bottom"/>
          </w:tcPr>
          <w:p>
            <w:pPr>
              <w:ind w:left="120"/>
              <w:spacing w:after="0"/>
              <w:rPr>
                <w:sz w:val="20"/>
                <w:szCs w:val="20"/>
                <w:color w:val="auto"/>
              </w:rPr>
            </w:pPr>
            <w:r>
              <w:rPr>
                <w:rFonts w:ascii="Arial" w:cs="Arial" w:eastAsia="Arial" w:hAnsi="Arial"/>
                <w:sz w:val="18"/>
                <w:szCs w:val="18"/>
                <w:color w:val="auto"/>
                <w:w w:val="85"/>
              </w:rPr>
              <w:t>June 16, 2020</w:t>
            </w:r>
          </w:p>
        </w:tc>
      </w:tr>
      <w:tr>
        <w:trPr>
          <w:trHeight w:val="230"/>
        </w:trPr>
        <w:tc>
          <w:tcPr>
            <w:tcW w:w="94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Arial" w:cs="Arial" w:eastAsia="Arial" w:hAnsi="Arial"/>
                <w:sz w:val="18"/>
                <w:szCs w:val="18"/>
                <w:color w:val="auto"/>
              </w:rPr>
              <w:t>8-K</w:t>
            </w:r>
          </w:p>
        </w:tc>
        <w:tc>
          <w:tcPr>
            <w:tcW w:w="1120" w:type="dxa"/>
            <w:vAlign w:val="bottom"/>
          </w:tcPr>
          <w:p>
            <w:pPr>
              <w:spacing w:after="0"/>
              <w:rPr>
                <w:sz w:val="20"/>
                <w:szCs w:val="20"/>
                <w:color w:val="auto"/>
              </w:rPr>
            </w:pPr>
          </w:p>
        </w:tc>
      </w:tr>
      <w:tr>
        <w:trPr>
          <w:trHeight w:val="701"/>
        </w:trPr>
        <w:tc>
          <w:tcPr>
            <w:tcW w:w="940" w:type="dxa"/>
            <w:vAlign w:val="bottom"/>
          </w:tcPr>
          <w:p>
            <w:pPr>
              <w:jc w:val="right"/>
              <w:ind w:right="70"/>
              <w:spacing w:after="0"/>
              <w:rPr>
                <w:sz w:val="20"/>
                <w:szCs w:val="20"/>
                <w:color w:val="auto"/>
              </w:rPr>
            </w:pPr>
            <w:r>
              <w:rPr>
                <w:rFonts w:ascii="Arial" w:cs="Arial" w:eastAsia="Arial" w:hAnsi="Arial"/>
                <w:sz w:val="18"/>
                <w:szCs w:val="18"/>
                <w:color w:val="auto"/>
                <w:w w:val="88"/>
              </w:rPr>
              <w:t>001-36326</w:t>
            </w:r>
          </w:p>
        </w:tc>
        <w:tc>
          <w:tcPr>
            <w:tcW w:w="2020" w:type="dxa"/>
            <w:vAlign w:val="bottom"/>
          </w:tcPr>
          <w:p>
            <w:pPr>
              <w:ind w:left="180"/>
              <w:spacing w:after="0"/>
              <w:rPr>
                <w:sz w:val="20"/>
                <w:szCs w:val="20"/>
                <w:color w:val="auto"/>
              </w:rPr>
            </w:pPr>
            <w:r>
              <w:rPr>
                <w:rFonts w:ascii="Arial" w:cs="Arial" w:eastAsia="Arial" w:hAnsi="Arial"/>
                <w:sz w:val="18"/>
                <w:szCs w:val="18"/>
                <w:color w:val="auto"/>
                <w:w w:val="95"/>
              </w:rPr>
              <w:t>Current Report on Form</w:t>
            </w:r>
          </w:p>
        </w:tc>
        <w:tc>
          <w:tcPr>
            <w:tcW w:w="1120" w:type="dxa"/>
            <w:vAlign w:val="bottom"/>
          </w:tcPr>
          <w:p>
            <w:pPr>
              <w:ind w:left="120"/>
              <w:spacing w:after="0"/>
              <w:rPr>
                <w:sz w:val="20"/>
                <w:szCs w:val="20"/>
                <w:color w:val="auto"/>
              </w:rPr>
            </w:pPr>
            <w:r>
              <w:rPr>
                <w:rFonts w:ascii="Arial" w:cs="Arial" w:eastAsia="Arial" w:hAnsi="Arial"/>
                <w:sz w:val="18"/>
                <w:szCs w:val="18"/>
                <w:color w:val="auto"/>
                <w:w w:val="85"/>
              </w:rPr>
              <w:t>June 16, 2020</w:t>
            </w:r>
          </w:p>
        </w:tc>
      </w:tr>
      <w:tr>
        <w:trPr>
          <w:trHeight w:val="230"/>
        </w:trPr>
        <w:tc>
          <w:tcPr>
            <w:tcW w:w="94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Arial" w:cs="Arial" w:eastAsia="Arial" w:hAnsi="Arial"/>
                <w:sz w:val="18"/>
                <w:szCs w:val="18"/>
                <w:color w:val="auto"/>
              </w:rPr>
              <w:t>8-K</w:t>
            </w:r>
          </w:p>
        </w:tc>
        <w:tc>
          <w:tcPr>
            <w:tcW w:w="1120" w:type="dxa"/>
            <w:vAlign w:val="bottom"/>
          </w:tcPr>
          <w:p>
            <w:pPr>
              <w:spacing w:after="0"/>
              <w:rPr>
                <w:sz w:val="20"/>
                <w:szCs w:val="20"/>
                <w:color w:val="auto"/>
              </w:rPr>
            </w:pPr>
          </w:p>
        </w:tc>
      </w:tr>
      <w:tr>
        <w:trPr>
          <w:trHeight w:val="1052"/>
        </w:trPr>
        <w:tc>
          <w:tcPr>
            <w:tcW w:w="940" w:type="dxa"/>
            <w:vAlign w:val="bottom"/>
          </w:tcPr>
          <w:p>
            <w:pPr>
              <w:jc w:val="right"/>
              <w:ind w:right="70"/>
              <w:spacing w:after="0"/>
              <w:rPr>
                <w:sz w:val="20"/>
                <w:szCs w:val="20"/>
                <w:color w:val="auto"/>
              </w:rPr>
            </w:pPr>
            <w:r>
              <w:rPr>
                <w:rFonts w:ascii="Arial" w:cs="Arial" w:eastAsia="Arial" w:hAnsi="Arial"/>
                <w:sz w:val="18"/>
                <w:szCs w:val="18"/>
                <w:color w:val="auto"/>
                <w:w w:val="88"/>
              </w:rPr>
              <w:t>001-36326</w:t>
            </w:r>
          </w:p>
        </w:tc>
        <w:tc>
          <w:tcPr>
            <w:tcW w:w="2020" w:type="dxa"/>
            <w:vAlign w:val="bottom"/>
          </w:tcPr>
          <w:p>
            <w:pPr>
              <w:ind w:left="180"/>
              <w:spacing w:after="0"/>
              <w:rPr>
                <w:sz w:val="20"/>
                <w:szCs w:val="20"/>
                <w:color w:val="auto"/>
              </w:rPr>
            </w:pPr>
            <w:r>
              <w:rPr>
                <w:rFonts w:ascii="Arial" w:cs="Arial" w:eastAsia="Arial" w:hAnsi="Arial"/>
                <w:sz w:val="18"/>
                <w:szCs w:val="18"/>
                <w:color w:val="auto"/>
                <w:w w:val="95"/>
              </w:rPr>
              <w:t>Current Report on Form</w:t>
            </w:r>
          </w:p>
        </w:tc>
        <w:tc>
          <w:tcPr>
            <w:tcW w:w="1120" w:type="dxa"/>
            <w:vAlign w:val="bottom"/>
          </w:tcPr>
          <w:p>
            <w:pPr>
              <w:ind w:left="120"/>
              <w:spacing w:after="0"/>
              <w:rPr>
                <w:sz w:val="20"/>
                <w:szCs w:val="20"/>
                <w:color w:val="auto"/>
              </w:rPr>
            </w:pPr>
            <w:r>
              <w:rPr>
                <w:rFonts w:ascii="Arial" w:cs="Arial" w:eastAsia="Arial" w:hAnsi="Arial"/>
                <w:sz w:val="18"/>
                <w:szCs w:val="18"/>
                <w:color w:val="auto"/>
                <w:w w:val="85"/>
              </w:rPr>
              <w:t>June 16, 2020</w:t>
            </w:r>
          </w:p>
        </w:tc>
      </w:tr>
      <w:tr>
        <w:trPr>
          <w:trHeight w:val="230"/>
        </w:trPr>
        <w:tc>
          <w:tcPr>
            <w:tcW w:w="94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Arial" w:cs="Arial" w:eastAsia="Arial" w:hAnsi="Arial"/>
                <w:sz w:val="18"/>
                <w:szCs w:val="18"/>
                <w:color w:val="auto"/>
              </w:rPr>
              <w:t>8-K</w:t>
            </w:r>
          </w:p>
        </w:tc>
        <w:tc>
          <w:tcPr>
            <w:tcW w:w="1120" w:type="dxa"/>
            <w:vAlign w:val="bottom"/>
          </w:tcPr>
          <w:p>
            <w:pPr>
              <w:spacing w:after="0"/>
              <w:rPr>
                <w:sz w:val="20"/>
                <w:szCs w:val="20"/>
                <w:color w:val="auto"/>
              </w:rPr>
            </w:pPr>
          </w:p>
        </w:tc>
      </w:tr>
      <w:tr>
        <w:trPr>
          <w:trHeight w:val="1052"/>
        </w:trPr>
        <w:tc>
          <w:tcPr>
            <w:tcW w:w="940" w:type="dxa"/>
            <w:vAlign w:val="bottom"/>
          </w:tcPr>
          <w:p>
            <w:pPr>
              <w:jc w:val="right"/>
              <w:ind w:right="70"/>
              <w:spacing w:after="0"/>
              <w:rPr>
                <w:sz w:val="20"/>
                <w:szCs w:val="20"/>
                <w:color w:val="auto"/>
              </w:rPr>
            </w:pPr>
            <w:r>
              <w:rPr>
                <w:rFonts w:ascii="Arial" w:cs="Arial" w:eastAsia="Arial" w:hAnsi="Arial"/>
                <w:sz w:val="18"/>
                <w:szCs w:val="18"/>
                <w:color w:val="auto"/>
                <w:w w:val="88"/>
              </w:rPr>
              <w:t>001-36326</w:t>
            </w:r>
          </w:p>
        </w:tc>
        <w:tc>
          <w:tcPr>
            <w:tcW w:w="2020" w:type="dxa"/>
            <w:vAlign w:val="bottom"/>
          </w:tcPr>
          <w:p>
            <w:pPr>
              <w:ind w:left="180"/>
              <w:spacing w:after="0"/>
              <w:rPr>
                <w:sz w:val="20"/>
                <w:szCs w:val="20"/>
                <w:color w:val="auto"/>
              </w:rPr>
            </w:pPr>
            <w:r>
              <w:rPr>
                <w:rFonts w:ascii="Arial" w:cs="Arial" w:eastAsia="Arial" w:hAnsi="Arial"/>
                <w:sz w:val="18"/>
                <w:szCs w:val="18"/>
                <w:color w:val="auto"/>
                <w:w w:val="95"/>
              </w:rPr>
              <w:t>Current Report on Form</w:t>
            </w:r>
          </w:p>
        </w:tc>
        <w:tc>
          <w:tcPr>
            <w:tcW w:w="1120" w:type="dxa"/>
            <w:vAlign w:val="bottom"/>
          </w:tcPr>
          <w:p>
            <w:pPr>
              <w:ind w:left="120"/>
              <w:spacing w:after="0"/>
              <w:rPr>
                <w:sz w:val="20"/>
                <w:szCs w:val="20"/>
                <w:color w:val="auto"/>
              </w:rPr>
            </w:pPr>
            <w:r>
              <w:rPr>
                <w:rFonts w:ascii="Arial" w:cs="Arial" w:eastAsia="Arial" w:hAnsi="Arial"/>
                <w:sz w:val="18"/>
                <w:szCs w:val="18"/>
                <w:color w:val="auto"/>
                <w:w w:val="85"/>
              </w:rPr>
              <w:t>June 11, 2020</w:t>
            </w:r>
          </w:p>
        </w:tc>
      </w:tr>
      <w:tr>
        <w:trPr>
          <w:trHeight w:val="230"/>
        </w:trPr>
        <w:tc>
          <w:tcPr>
            <w:tcW w:w="94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Arial" w:cs="Arial" w:eastAsia="Arial" w:hAnsi="Arial"/>
                <w:sz w:val="18"/>
                <w:szCs w:val="18"/>
                <w:color w:val="auto"/>
              </w:rPr>
              <w:t>8-K</w:t>
            </w:r>
          </w:p>
        </w:tc>
        <w:tc>
          <w:tcPr>
            <w:tcW w:w="1120" w:type="dxa"/>
            <w:vAlign w:val="bottom"/>
          </w:tcPr>
          <w:p>
            <w:pPr>
              <w:spacing w:after="0"/>
              <w:rPr>
                <w:sz w:val="20"/>
                <w:szCs w:val="20"/>
                <w:color w:val="auto"/>
              </w:rPr>
            </w:pPr>
          </w:p>
        </w:tc>
      </w:tr>
      <w:tr>
        <w:trPr>
          <w:trHeight w:val="256"/>
        </w:trPr>
        <w:tc>
          <w:tcPr>
            <w:tcW w:w="940" w:type="dxa"/>
            <w:vAlign w:val="bottom"/>
          </w:tcPr>
          <w:p>
            <w:pPr>
              <w:jc w:val="right"/>
              <w:ind w:right="70"/>
              <w:spacing w:after="0"/>
              <w:rPr>
                <w:sz w:val="20"/>
                <w:szCs w:val="20"/>
                <w:color w:val="auto"/>
              </w:rPr>
            </w:pPr>
            <w:r>
              <w:rPr>
                <w:rFonts w:ascii="Arial" w:cs="Arial" w:eastAsia="Arial" w:hAnsi="Arial"/>
                <w:sz w:val="18"/>
                <w:szCs w:val="18"/>
                <w:color w:val="auto"/>
                <w:w w:val="88"/>
              </w:rPr>
              <w:t>001-36326</w:t>
            </w:r>
          </w:p>
        </w:tc>
        <w:tc>
          <w:tcPr>
            <w:tcW w:w="2020" w:type="dxa"/>
            <w:vAlign w:val="bottom"/>
          </w:tcPr>
          <w:p>
            <w:pPr>
              <w:ind w:left="180"/>
              <w:spacing w:after="0"/>
              <w:rPr>
                <w:sz w:val="20"/>
                <w:szCs w:val="20"/>
                <w:color w:val="auto"/>
              </w:rPr>
            </w:pPr>
            <w:r>
              <w:rPr>
                <w:rFonts w:ascii="Arial" w:cs="Arial" w:eastAsia="Arial" w:hAnsi="Arial"/>
                <w:sz w:val="18"/>
                <w:szCs w:val="18"/>
                <w:color w:val="auto"/>
                <w:w w:val="95"/>
              </w:rPr>
              <w:t>Current Report on Form</w:t>
            </w:r>
          </w:p>
        </w:tc>
        <w:tc>
          <w:tcPr>
            <w:tcW w:w="1120" w:type="dxa"/>
            <w:vAlign w:val="bottom"/>
          </w:tcPr>
          <w:p>
            <w:pPr>
              <w:ind w:left="120"/>
              <w:spacing w:after="0"/>
              <w:rPr>
                <w:sz w:val="20"/>
                <w:szCs w:val="20"/>
                <w:color w:val="auto"/>
              </w:rPr>
            </w:pPr>
            <w:r>
              <w:rPr>
                <w:rFonts w:ascii="Arial" w:cs="Arial" w:eastAsia="Arial" w:hAnsi="Arial"/>
                <w:sz w:val="18"/>
                <w:szCs w:val="18"/>
                <w:color w:val="auto"/>
                <w:w w:val="85"/>
              </w:rPr>
              <w:t>June 16, 2020</w:t>
            </w:r>
          </w:p>
        </w:tc>
      </w:tr>
      <w:tr>
        <w:trPr>
          <w:trHeight w:val="230"/>
        </w:trPr>
        <w:tc>
          <w:tcPr>
            <w:tcW w:w="94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Arial" w:cs="Arial" w:eastAsia="Arial" w:hAnsi="Arial"/>
                <w:sz w:val="18"/>
                <w:szCs w:val="18"/>
                <w:color w:val="auto"/>
              </w:rPr>
              <w:t>8-K</w:t>
            </w:r>
          </w:p>
        </w:tc>
        <w:tc>
          <w:tcPr>
            <w:tcW w:w="1120" w:type="dxa"/>
            <w:vAlign w:val="bottom"/>
          </w:tcPr>
          <w:p>
            <w:pPr>
              <w:spacing w:after="0"/>
              <w:rPr>
                <w:sz w:val="20"/>
                <w:szCs w:val="20"/>
                <w:color w:val="auto"/>
              </w:rPr>
            </w:pPr>
          </w:p>
        </w:tc>
      </w:tr>
      <w:tr>
        <w:trPr>
          <w:trHeight w:val="877"/>
        </w:trPr>
        <w:tc>
          <w:tcPr>
            <w:tcW w:w="940" w:type="dxa"/>
            <w:vAlign w:val="bottom"/>
          </w:tcPr>
          <w:p>
            <w:pPr>
              <w:jc w:val="right"/>
              <w:ind w:right="70"/>
              <w:spacing w:after="0"/>
              <w:rPr>
                <w:sz w:val="20"/>
                <w:szCs w:val="20"/>
                <w:color w:val="auto"/>
              </w:rPr>
            </w:pPr>
            <w:r>
              <w:rPr>
                <w:rFonts w:ascii="Arial" w:cs="Arial" w:eastAsia="Arial" w:hAnsi="Arial"/>
                <w:sz w:val="18"/>
                <w:szCs w:val="18"/>
                <w:color w:val="auto"/>
                <w:w w:val="88"/>
              </w:rPr>
              <w:t>001-36326</w:t>
            </w:r>
          </w:p>
        </w:tc>
        <w:tc>
          <w:tcPr>
            <w:tcW w:w="2020" w:type="dxa"/>
            <w:vAlign w:val="bottom"/>
          </w:tcPr>
          <w:p>
            <w:pPr>
              <w:ind w:left="180"/>
              <w:spacing w:after="0"/>
              <w:rPr>
                <w:sz w:val="20"/>
                <w:szCs w:val="20"/>
                <w:color w:val="auto"/>
              </w:rPr>
            </w:pPr>
            <w:r>
              <w:rPr>
                <w:rFonts w:ascii="Arial" w:cs="Arial" w:eastAsia="Arial" w:hAnsi="Arial"/>
                <w:sz w:val="18"/>
                <w:szCs w:val="18"/>
                <w:color w:val="auto"/>
                <w:w w:val="95"/>
              </w:rPr>
              <w:t>Current Report on Form</w:t>
            </w:r>
          </w:p>
        </w:tc>
        <w:tc>
          <w:tcPr>
            <w:tcW w:w="1120" w:type="dxa"/>
            <w:vAlign w:val="bottom"/>
          </w:tcPr>
          <w:p>
            <w:pPr>
              <w:ind w:left="120"/>
              <w:spacing w:after="0"/>
              <w:rPr>
                <w:sz w:val="20"/>
                <w:szCs w:val="20"/>
                <w:color w:val="auto"/>
              </w:rPr>
            </w:pPr>
            <w:r>
              <w:rPr>
                <w:rFonts w:ascii="Arial" w:cs="Arial" w:eastAsia="Arial" w:hAnsi="Arial"/>
                <w:sz w:val="18"/>
                <w:szCs w:val="18"/>
                <w:color w:val="auto"/>
                <w:w w:val="85"/>
              </w:rPr>
              <w:t>June 16, 2020</w:t>
            </w:r>
          </w:p>
        </w:tc>
      </w:tr>
      <w:tr>
        <w:trPr>
          <w:trHeight w:val="230"/>
        </w:trPr>
        <w:tc>
          <w:tcPr>
            <w:tcW w:w="94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Arial" w:cs="Arial" w:eastAsia="Arial" w:hAnsi="Arial"/>
                <w:sz w:val="18"/>
                <w:szCs w:val="18"/>
                <w:color w:val="auto"/>
              </w:rPr>
              <w:t>8-K</w:t>
            </w:r>
          </w:p>
        </w:tc>
        <w:tc>
          <w:tcPr>
            <w:tcW w:w="1120" w:type="dxa"/>
            <w:vAlign w:val="bottom"/>
          </w:tcPr>
          <w:p>
            <w:pPr>
              <w:spacing w:after="0"/>
              <w:rPr>
                <w:sz w:val="20"/>
                <w:szCs w:val="20"/>
                <w:color w:val="auto"/>
              </w:rPr>
            </w:pPr>
          </w:p>
        </w:tc>
      </w:tr>
      <w:tr>
        <w:trPr>
          <w:trHeight w:val="1052"/>
        </w:trPr>
        <w:tc>
          <w:tcPr>
            <w:tcW w:w="940" w:type="dxa"/>
            <w:vAlign w:val="bottom"/>
          </w:tcPr>
          <w:p>
            <w:pPr>
              <w:jc w:val="right"/>
              <w:ind w:right="70"/>
              <w:spacing w:after="0"/>
              <w:rPr>
                <w:sz w:val="20"/>
                <w:szCs w:val="20"/>
                <w:color w:val="auto"/>
              </w:rPr>
            </w:pPr>
            <w:r>
              <w:rPr>
                <w:rFonts w:ascii="Arial" w:cs="Arial" w:eastAsia="Arial" w:hAnsi="Arial"/>
                <w:sz w:val="18"/>
                <w:szCs w:val="18"/>
                <w:color w:val="auto"/>
                <w:w w:val="88"/>
              </w:rPr>
              <w:t>001-36326</w:t>
            </w:r>
          </w:p>
        </w:tc>
        <w:tc>
          <w:tcPr>
            <w:tcW w:w="2020" w:type="dxa"/>
            <w:vAlign w:val="bottom"/>
          </w:tcPr>
          <w:p>
            <w:pPr>
              <w:ind w:left="180"/>
              <w:spacing w:after="0"/>
              <w:rPr>
                <w:sz w:val="20"/>
                <w:szCs w:val="20"/>
                <w:color w:val="auto"/>
              </w:rPr>
            </w:pPr>
            <w:r>
              <w:rPr>
                <w:rFonts w:ascii="Arial" w:cs="Arial" w:eastAsia="Arial" w:hAnsi="Arial"/>
                <w:sz w:val="18"/>
                <w:szCs w:val="18"/>
                <w:color w:val="auto"/>
                <w:w w:val="95"/>
              </w:rPr>
              <w:t>Current Report on Form</w:t>
            </w:r>
          </w:p>
        </w:tc>
        <w:tc>
          <w:tcPr>
            <w:tcW w:w="1120" w:type="dxa"/>
            <w:vAlign w:val="bottom"/>
          </w:tcPr>
          <w:p>
            <w:pPr>
              <w:ind w:left="120"/>
              <w:spacing w:after="0"/>
              <w:rPr>
                <w:sz w:val="20"/>
                <w:szCs w:val="20"/>
                <w:color w:val="auto"/>
              </w:rPr>
            </w:pPr>
            <w:r>
              <w:rPr>
                <w:rFonts w:ascii="Arial" w:cs="Arial" w:eastAsia="Arial" w:hAnsi="Arial"/>
                <w:sz w:val="18"/>
                <w:szCs w:val="18"/>
                <w:color w:val="auto"/>
                <w:w w:val="85"/>
              </w:rPr>
              <w:t>June 16, 2020</w:t>
            </w:r>
          </w:p>
        </w:tc>
      </w:tr>
      <w:tr>
        <w:trPr>
          <w:trHeight w:val="230"/>
        </w:trPr>
        <w:tc>
          <w:tcPr>
            <w:tcW w:w="94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Arial" w:cs="Arial" w:eastAsia="Arial" w:hAnsi="Arial"/>
                <w:sz w:val="18"/>
                <w:szCs w:val="18"/>
                <w:color w:val="auto"/>
              </w:rPr>
              <w:t>8-K</w:t>
            </w:r>
          </w:p>
        </w:tc>
        <w:tc>
          <w:tcPr>
            <w:tcW w:w="112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filed herewith</w:t>
      </w:r>
    </w:p>
    <w:p>
      <w:pPr>
        <w:sectPr>
          <w:pgSz w:w="11900" w:h="16838" w:orient="portrait"/>
          <w:cols w:equalWidth="0" w:num="2">
            <w:col w:w="6320" w:space="60"/>
            <w:col w:w="4080"/>
          </w:cols>
          <w:pgMar w:left="320" w:top="118" w:right="1119" w:bottom="1440" w:gutter="0" w:footer="0" w:header="0"/>
          <w:type w:val="continuous"/>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6"/>
          </w:tcPr>
          <w:p>
            <w:pPr>
              <w:spacing w:after="0"/>
              <w:rPr>
                <w:sz w:val="20"/>
                <w:szCs w:val="20"/>
                <w:color w:val="auto"/>
              </w:rPr>
            </w:pPr>
            <w:r>
              <w:rPr>
                <w:rFonts w:ascii="Arial" w:cs="Arial" w:eastAsia="Arial" w:hAnsi="Arial"/>
                <w:sz w:val="14"/>
                <w:szCs w:val="14"/>
                <w:b w:val="1"/>
                <w:bCs w:val="1"/>
                <w:color w:val="auto"/>
              </w:rPr>
              <w:t>Incorporated by Reference from:</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5"/>
                <w:szCs w:val="15"/>
                <w:color w:val="auto"/>
              </w:rPr>
            </w:pPr>
          </w:p>
        </w:tc>
        <w:tc>
          <w:tcPr>
            <w:tcW w:w="540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File Number</w:t>
            </w:r>
          </w:p>
        </w:tc>
        <w:tc>
          <w:tcPr>
            <w:tcW w:w="108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Filing Type</w:t>
            </w:r>
          </w:p>
        </w:tc>
        <w:tc>
          <w:tcPr>
            <w:tcW w:w="780" w:type="dxa"/>
            <w:vAlign w:val="bottom"/>
          </w:tcPr>
          <w:p>
            <w:pPr>
              <w:spacing w:after="0"/>
              <w:rPr>
                <w:sz w:val="15"/>
                <w:szCs w:val="15"/>
                <w:color w:val="auto"/>
              </w:rPr>
            </w:pPr>
          </w:p>
        </w:tc>
        <w:tc>
          <w:tcPr>
            <w:tcW w:w="2060" w:type="dxa"/>
            <w:vAlign w:val="bottom"/>
            <w:gridSpan w:val="3"/>
          </w:tcPr>
          <w:p>
            <w:pPr>
              <w:ind w:left="280"/>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440" w:type="dxa"/>
            <w:vAlign w:val="bottom"/>
          </w:tcPr>
          <w:p>
            <w:pPr>
              <w:spacing w:after="0"/>
              <w:rPr>
                <w:sz w:val="18"/>
                <w:szCs w:val="18"/>
                <w:color w:val="auto"/>
              </w:rPr>
            </w:pPr>
          </w:p>
        </w:tc>
        <w:tc>
          <w:tcPr>
            <w:tcW w:w="5400" w:type="dxa"/>
            <w:vAlign w:val="bottom"/>
            <w:gridSpan w:val="8"/>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Certification of the President and Chief Executive Officer of Endo</w:t>
              </w:r>
            </w:hyperlink>
          </w:p>
        </w:tc>
        <w:tc>
          <w:tcPr>
            <w:tcW w:w="2800" w:type="dxa"/>
            <w:vAlign w:val="bottom"/>
            <w:gridSpan w:val="6"/>
          </w:tcPr>
          <w:p>
            <w:pPr>
              <w:spacing w:after="0" w:line="196" w:lineRule="exact"/>
              <w:rPr>
                <w:sz w:val="20"/>
                <w:szCs w:val="20"/>
                <w:color w:val="auto"/>
              </w:rPr>
            </w:pPr>
            <w:r>
              <w:rPr>
                <w:rFonts w:ascii="Arial" w:cs="Arial" w:eastAsia="Arial" w:hAnsi="Arial"/>
                <w:sz w:val="18"/>
                <w:szCs w:val="18"/>
                <w:color w:val="auto"/>
              </w:rPr>
              <w:t>Not applicable; furnished herewith</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760" w:type="dxa"/>
            <w:vAlign w:val="bottom"/>
            <w:tcBorders>
              <w:top w:val="single" w:sz="8" w:color="0000FF"/>
            </w:tcBorders>
            <w:gridSpan w:val="4"/>
          </w:tcPr>
          <w:p>
            <w:pPr>
              <w:spacing w:after="0" w:line="156" w:lineRule="exact"/>
              <w:rPr>
                <w:rFonts w:ascii="Arial" w:cs="Arial" w:eastAsia="Arial" w:hAnsi="Arial"/>
                <w:sz w:val="18"/>
                <w:szCs w:val="18"/>
                <w:color w:val="0000FF"/>
                <w:w w:val="87"/>
              </w:rPr>
            </w:pPr>
            <w:hyperlink w:anchor="page55">
              <w:r>
                <w:rPr>
                  <w:rFonts w:ascii="Arial" w:cs="Arial" w:eastAsia="Arial" w:hAnsi="Arial"/>
                  <w:sz w:val="18"/>
                  <w:szCs w:val="18"/>
                  <w:color w:val="0000FF"/>
                  <w:w w:val="87"/>
                </w:rPr>
                <w:t>pursuant to 18 U.S.C. Section 1350, as adopted pursuant to Section</w:t>
              </w:r>
            </w:hyperlink>
          </w:p>
        </w:tc>
        <w:tc>
          <w:tcPr>
            <w:tcW w:w="640" w:type="dxa"/>
            <w:vAlign w:val="bottom"/>
            <w:gridSpan w:val="4"/>
          </w:tcPr>
          <w:p>
            <w:pPr>
              <w:ind w:left="120"/>
              <w:spacing w:after="0" w:line="156" w:lineRule="exact"/>
              <w:rPr>
                <w:rFonts w:ascii="Arial" w:cs="Arial" w:eastAsia="Arial" w:hAnsi="Arial"/>
                <w:sz w:val="18"/>
                <w:szCs w:val="18"/>
                <w:color w:val="0000FF"/>
                <w:w w:val="99"/>
              </w:rPr>
            </w:pPr>
            <w:hyperlink w:anchor="page55">
              <w:r>
                <w:rPr>
                  <w:rFonts w:ascii="Arial" w:cs="Arial" w:eastAsia="Arial" w:hAnsi="Arial"/>
                  <w:sz w:val="18"/>
                  <w:szCs w:val="18"/>
                  <w:color w:val="0000FF"/>
                  <w:w w:val="99"/>
                </w:rPr>
                <w:t>906 of</w:t>
              </w:r>
            </w:hyperlink>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3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55">
              <w:r>
                <w:rPr>
                  <w:rFonts w:ascii="Arial" w:cs="Arial" w:eastAsia="Arial" w:hAnsi="Arial"/>
                  <w:sz w:val="18"/>
                  <w:szCs w:val="18"/>
                  <w:color w:val="0000FF"/>
                </w:rPr>
                <w:t>the Sarbanes-Oxley Act of 2002</w:t>
              </w:r>
            </w:hyperlink>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32.2</w:t>
            </w:r>
          </w:p>
        </w:tc>
        <w:tc>
          <w:tcPr>
            <w:tcW w:w="440" w:type="dxa"/>
            <w:vAlign w:val="bottom"/>
          </w:tcPr>
          <w:p>
            <w:pPr>
              <w:spacing w:after="0"/>
              <w:rPr>
                <w:sz w:val="18"/>
                <w:szCs w:val="18"/>
                <w:color w:val="auto"/>
              </w:rPr>
            </w:pPr>
          </w:p>
        </w:tc>
        <w:tc>
          <w:tcPr>
            <w:tcW w:w="8200" w:type="dxa"/>
            <w:vAlign w:val="bottom"/>
            <w:gridSpan w:val="14"/>
          </w:tcPr>
          <w:p>
            <w:pPr>
              <w:spacing w:after="0" w:line="196" w:lineRule="exact"/>
              <w:rPr>
                <w:rFonts w:ascii="Arial" w:cs="Arial" w:eastAsia="Arial" w:hAnsi="Arial"/>
                <w:sz w:val="18"/>
                <w:szCs w:val="18"/>
                <w:color w:val="0000FF"/>
                <w:w w:val="96"/>
              </w:rPr>
            </w:pPr>
            <w:hyperlink w:anchor="page56">
              <w:r>
                <w:rPr>
                  <w:rFonts w:ascii="Arial" w:cs="Arial" w:eastAsia="Arial" w:hAnsi="Arial"/>
                  <w:sz w:val="18"/>
                  <w:szCs w:val="18"/>
                  <w:color w:val="0000FF"/>
                  <w:w w:val="96"/>
                </w:rPr>
                <w:t xml:space="preserve">Certification of the Chief Financial Officer of Endo pursuant to 18 U.S.C. </w:t>
              </w:r>
            </w:hyperlink>
            <w:r>
              <w:rPr>
                <w:rFonts w:ascii="Arial" w:cs="Arial" w:eastAsia="Arial" w:hAnsi="Arial"/>
                <w:sz w:val="18"/>
                <w:szCs w:val="18"/>
                <w:color w:val="000000"/>
                <w:w w:val="96"/>
              </w:rPr>
              <w:t>Not</w:t>
            </w:r>
            <w:r>
              <w:rPr>
                <w:rFonts w:ascii="Arial" w:cs="Arial" w:eastAsia="Arial" w:hAnsi="Arial"/>
                <w:sz w:val="18"/>
                <w:szCs w:val="18"/>
                <w:color w:val="0000FF"/>
                <w:w w:val="96"/>
              </w:rPr>
              <w:t xml:space="preserve"> </w:t>
            </w:r>
            <w:r>
              <w:rPr>
                <w:rFonts w:ascii="Arial" w:cs="Arial" w:eastAsia="Arial" w:hAnsi="Arial"/>
                <w:sz w:val="18"/>
                <w:szCs w:val="18"/>
                <w:color w:val="000000"/>
                <w:w w:val="96"/>
              </w:rPr>
              <w:t>applicable; furnished herewith</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300" w:type="dxa"/>
            <w:vAlign w:val="bottom"/>
            <w:tcBorders>
              <w:top w:val="single" w:sz="8" w:color="0000FF"/>
            </w:tcBorders>
            <w:gridSpan w:val="6"/>
          </w:tcPr>
          <w:p>
            <w:pPr>
              <w:spacing w:after="0" w:line="156"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Section 1350, as adopted pursuant to Section 906 of the Sarbanes-Oxley</w:t>
              </w:r>
            </w:hyperlink>
          </w:p>
        </w:tc>
        <w:tc>
          <w:tcPr>
            <w:tcW w:w="1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56">
              <w:r>
                <w:rPr>
                  <w:rFonts w:ascii="Arial" w:cs="Arial" w:eastAsia="Arial" w:hAnsi="Arial"/>
                  <w:sz w:val="18"/>
                  <w:szCs w:val="18"/>
                  <w:color w:val="0000FF"/>
                  <w:w w:val="92"/>
                </w:rPr>
                <w:t>Act of 2002</w:t>
              </w:r>
            </w:hyperlink>
          </w:p>
        </w:tc>
        <w:tc>
          <w:tcPr>
            <w:tcW w:w="4340" w:type="dxa"/>
            <w:vAlign w:val="bottom"/>
            <w:tcBorders>
              <w:top w:val="single" w:sz="8" w:color="0000FF"/>
            </w:tcBorders>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49"/>
        </w:trPr>
        <w:tc>
          <w:tcPr>
            <w:tcW w:w="2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200" w:type="dxa"/>
            <w:vAlign w:val="bottom"/>
            <w:gridSpan w:val="14"/>
          </w:tcPr>
          <w:p>
            <w:pPr>
              <w:spacing w:after="0"/>
              <w:rPr>
                <w:sz w:val="20"/>
                <w:szCs w:val="20"/>
                <w:color w:val="auto"/>
              </w:rPr>
            </w:pPr>
            <w:r>
              <w:rPr>
                <w:rFonts w:ascii="Arial" w:cs="Arial" w:eastAsia="Arial" w:hAnsi="Arial"/>
                <w:sz w:val="18"/>
                <w:szCs w:val="18"/>
                <w:color w:val="auto"/>
                <w:w w:val="93"/>
              </w:rPr>
              <w:t>iXBRL Instance Document - the instance document does not appear in the Not applicable; submitted herewith</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gridSpan w:val="8"/>
          </w:tcPr>
          <w:p>
            <w:pPr>
              <w:spacing w:after="0"/>
              <w:rPr>
                <w:sz w:val="20"/>
                <w:szCs w:val="20"/>
                <w:color w:val="auto"/>
              </w:rPr>
            </w:pPr>
            <w:r>
              <w:rPr>
                <w:rFonts w:ascii="Arial" w:cs="Arial" w:eastAsia="Arial" w:hAnsi="Arial"/>
                <w:sz w:val="18"/>
                <w:szCs w:val="18"/>
                <w:color w:val="auto"/>
                <w:w w:val="91"/>
              </w:rPr>
              <w:t>interactive data file because its XBRL tags are embedded within the inline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0" w:type="dxa"/>
            <w:vAlign w:val="bottom"/>
            <w:gridSpan w:val="8"/>
          </w:tcPr>
          <w:p>
            <w:pPr>
              <w:spacing w:after="0"/>
              <w:rPr>
                <w:sz w:val="20"/>
                <w:szCs w:val="20"/>
                <w:color w:val="auto"/>
              </w:rPr>
            </w:pPr>
            <w:r>
              <w:rPr>
                <w:rFonts w:ascii="Arial" w:cs="Arial" w:eastAsia="Arial" w:hAnsi="Arial"/>
                <w:sz w:val="18"/>
                <w:szCs w:val="18"/>
                <w:color w:val="auto"/>
              </w:rPr>
              <w:t>XBRL document.</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400" w:type="dxa"/>
            <w:vAlign w:val="bottom"/>
            <w:gridSpan w:val="8"/>
          </w:tcPr>
          <w:p>
            <w:pPr>
              <w:spacing w:after="0"/>
              <w:rPr>
                <w:sz w:val="20"/>
                <w:szCs w:val="20"/>
                <w:color w:val="auto"/>
              </w:rPr>
            </w:pPr>
            <w:r>
              <w:rPr>
                <w:rFonts w:ascii="Arial" w:cs="Arial" w:eastAsia="Arial" w:hAnsi="Arial"/>
                <w:sz w:val="18"/>
                <w:szCs w:val="18"/>
                <w:color w:val="auto"/>
              </w:rPr>
              <w:t>iXBRL Taxonomy Extension Schema Document</w:t>
            </w:r>
          </w:p>
        </w:tc>
        <w:tc>
          <w:tcPr>
            <w:tcW w:w="280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400" w:type="dxa"/>
            <w:vAlign w:val="bottom"/>
            <w:gridSpan w:val="8"/>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280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400" w:type="dxa"/>
            <w:vAlign w:val="bottom"/>
            <w:gridSpan w:val="8"/>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280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400" w:type="dxa"/>
            <w:vAlign w:val="bottom"/>
            <w:gridSpan w:val="8"/>
          </w:tcPr>
          <w:p>
            <w:pPr>
              <w:spacing w:after="0"/>
              <w:rPr>
                <w:sz w:val="20"/>
                <w:szCs w:val="20"/>
                <w:color w:val="auto"/>
              </w:rPr>
            </w:pPr>
            <w:r>
              <w:rPr>
                <w:rFonts w:ascii="Arial" w:cs="Arial" w:eastAsia="Arial" w:hAnsi="Arial"/>
                <w:sz w:val="18"/>
                <w:szCs w:val="18"/>
                <w:color w:val="auto"/>
              </w:rPr>
              <w:t>iXBRL Taxonomy Extension Label Linkbase Document</w:t>
            </w:r>
          </w:p>
        </w:tc>
        <w:tc>
          <w:tcPr>
            <w:tcW w:w="280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400" w:type="dxa"/>
            <w:vAlign w:val="bottom"/>
            <w:gridSpan w:val="8"/>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280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6"/>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2"/>
                <w:szCs w:val="22"/>
                <w:color w:val="auto"/>
              </w:rPr>
            </w:pPr>
          </w:p>
        </w:tc>
        <w:tc>
          <w:tcPr>
            <w:tcW w:w="5400" w:type="dxa"/>
            <w:vAlign w:val="bottom"/>
            <w:gridSpan w:val="8"/>
          </w:tcPr>
          <w:p>
            <w:pPr>
              <w:spacing w:after="0"/>
              <w:rPr>
                <w:sz w:val="20"/>
                <w:szCs w:val="20"/>
                <w:color w:val="auto"/>
              </w:rPr>
            </w:pPr>
            <w:r>
              <w:rPr>
                <w:rFonts w:ascii="Arial" w:cs="Arial" w:eastAsia="Arial" w:hAnsi="Arial"/>
                <w:sz w:val="18"/>
                <w:szCs w:val="18"/>
                <w:color w:val="auto"/>
                <w:w w:val="96"/>
              </w:rPr>
              <w:t>Cover Page Interactive Data File, formatted in iXBRL and contained in</w:t>
            </w:r>
          </w:p>
        </w:tc>
        <w:tc>
          <w:tcPr>
            <w:tcW w:w="280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0" w:type="dxa"/>
            <w:vAlign w:val="bottom"/>
            <w:gridSpan w:val="8"/>
          </w:tcPr>
          <w:p>
            <w:pPr>
              <w:spacing w:after="0"/>
              <w:rPr>
                <w:sz w:val="20"/>
                <w:szCs w:val="20"/>
                <w:color w:val="auto"/>
              </w:rPr>
            </w:pPr>
            <w:r>
              <w:rPr>
                <w:rFonts w:ascii="Arial" w:cs="Arial" w:eastAsia="Arial" w:hAnsi="Arial"/>
                <w:sz w:val="18"/>
                <w:szCs w:val="18"/>
                <w:color w:val="auto"/>
              </w:rPr>
              <w:t>Exhibit 101</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5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60" w:type="dxa"/>
            <w:vAlign w:val="bottom"/>
            <w:gridSpan w:val="4"/>
          </w:tcPr>
          <w:p>
            <w:pPr>
              <w:ind w:left="4560"/>
              <w:spacing w:after="0"/>
              <w:rPr>
                <w:sz w:val="20"/>
                <w:szCs w:val="20"/>
                <w:color w:val="auto"/>
              </w:rPr>
            </w:pPr>
            <w:r>
              <w:rPr>
                <w:rFonts w:ascii="Arial" w:cs="Arial" w:eastAsia="Arial" w:hAnsi="Arial"/>
                <w:sz w:val="18"/>
                <w:szCs w:val="18"/>
                <w:color w:val="auto"/>
                <w:w w:val="89"/>
              </w:rPr>
              <w:t>48</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31750</wp:posOffset>
            </wp:positionV>
            <wp:extent cx="43891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48"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(Registrant)</w:t>
      </w:r>
    </w:p>
    <w:p>
      <w:pPr>
        <w:spacing w:after="0" w:line="32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31750</wp:posOffset>
            </wp:positionV>
            <wp:extent cx="43891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39" w:lineRule="exact"/>
        <w:rPr>
          <w:sz w:val="20"/>
          <w:szCs w:val="20"/>
          <w:color w:val="auto"/>
        </w:rPr>
      </w:pPr>
    </w:p>
    <w:p>
      <w:pPr>
        <w:ind w:left="3680"/>
        <w:spacing w:after="0"/>
        <w:tabs>
          <w:tab w:leader="none" w:pos="43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Blaise Coleman</w:t>
      </w:r>
    </w:p>
    <w:p>
      <w:pPr>
        <w:spacing w:after="0" w:line="51" w:lineRule="exact"/>
        <w:rPr>
          <w:sz w:val="20"/>
          <w:szCs w:val="20"/>
          <w:color w:val="auto"/>
        </w:rPr>
      </w:pPr>
    </w:p>
    <w:p>
      <w:pPr>
        <w:ind w:left="3680"/>
        <w:spacing w:after="0"/>
        <w:tabs>
          <w:tab w:leader="none" w:pos="43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42"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(Principal Executive Officer)</w:t>
      </w:r>
    </w:p>
    <w:p>
      <w:pPr>
        <w:spacing w:after="0" w:line="26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31750</wp:posOffset>
            </wp:positionV>
            <wp:extent cx="43891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39" w:lineRule="exact"/>
        <w:rPr>
          <w:sz w:val="20"/>
          <w:szCs w:val="20"/>
          <w:color w:val="auto"/>
        </w:rPr>
      </w:pPr>
    </w:p>
    <w:p>
      <w:pPr>
        <w:ind w:left="3680"/>
        <w:spacing w:after="0"/>
        <w:tabs>
          <w:tab w:leader="none" w:pos="43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Mark T. Bradley</w:t>
      </w:r>
    </w:p>
    <w:p>
      <w:pPr>
        <w:spacing w:after="0" w:line="51" w:lineRule="exact"/>
        <w:rPr>
          <w:sz w:val="20"/>
          <w:szCs w:val="20"/>
          <w:color w:val="auto"/>
        </w:rPr>
      </w:pPr>
    </w:p>
    <w:p>
      <w:pPr>
        <w:ind w:left="3680"/>
        <w:spacing w:after="0"/>
        <w:tabs>
          <w:tab w:leader="none" w:pos="43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Executive Vice President, Chief Financial Officer</w:t>
      </w:r>
    </w:p>
    <w:p>
      <w:pPr>
        <w:spacing w:after="0" w:line="42"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(Principal Financial Officer)</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40"/>
          </w:cols>
          <w:pgMar w:left="320" w:top="118" w:right="5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104" w:lineRule="exact"/>
        <w:rPr>
          <w:sz w:val="20"/>
          <w:szCs w:val="20"/>
          <w:color w:val="auto"/>
        </w:rPr>
      </w:pPr>
    </w:p>
    <w:p>
      <w:pPr>
        <w:ind w:left="600" w:hanging="187"/>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146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Blaise Coleman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19"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2020</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T. Bradley, certify that:</w:t>
      </w:r>
    </w:p>
    <w:p>
      <w:pPr>
        <w:spacing w:after="0" w:line="104" w:lineRule="exact"/>
        <w:rPr>
          <w:sz w:val="20"/>
          <w:szCs w:val="20"/>
          <w:color w:val="auto"/>
        </w:rPr>
      </w:pPr>
    </w:p>
    <w:p>
      <w:pPr>
        <w:ind w:left="600" w:hanging="187"/>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146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T. Bradley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2020</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 Blaise Coleman, as President and Chief Executive Officer of Endo International plc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89" w:lineRule="exact"/>
        <w:rPr>
          <w:sz w:val="20"/>
          <w:szCs w:val="20"/>
          <w:color w:val="auto"/>
        </w:rPr>
      </w:pPr>
    </w:p>
    <w:p>
      <w:pPr>
        <w:ind w:left="420" w:right="460" w:firstLine="398"/>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2020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BLAISE COLEMAN</w:t>
            </w:r>
          </w:p>
        </w:tc>
        <w:tc>
          <w:tcPr>
            <w:tcW w:w="920" w:type="dxa"/>
            <w:vAlign w:val="bottom"/>
          </w:tcPr>
          <w:p>
            <w:pPr>
              <w:spacing w:after="0"/>
              <w:rPr>
                <w:sz w:val="17"/>
                <w:szCs w:val="17"/>
                <w:color w:val="auto"/>
              </w:rPr>
            </w:pPr>
          </w:p>
        </w:tc>
      </w:tr>
      <w:tr>
        <w:trPr>
          <w:trHeight w:val="290"/>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2740" w:type="dxa"/>
            <w:vAlign w:val="bottom"/>
            <w:gridSpan w:val="2"/>
          </w:tcPr>
          <w:p>
            <w:pPr>
              <w:spacing w:after="0"/>
              <w:rPr>
                <w:sz w:val="20"/>
                <w:szCs w:val="20"/>
                <w:color w:val="auto"/>
              </w:rPr>
            </w:pPr>
            <w:r>
              <w:rPr>
                <w:rFonts w:ascii="Arial" w:cs="Arial" w:eastAsia="Arial" w:hAnsi="Arial"/>
                <w:sz w:val="18"/>
                <w:szCs w:val="18"/>
                <w:color w:val="auto"/>
              </w:rPr>
              <w:t>Blaise Coleman</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9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17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I, Mark T. Bradley, as Chief Financial Officer of Endo International plc (the Company), hereby certify, pursuant to 18 U.S.C. Section 1350, as adopted pursuant to Section 906 of the Sarbanes-Oxley Act of 2002, that:</w:t>
      </w:r>
    </w:p>
    <w:p>
      <w:pPr>
        <w:spacing w:after="0" w:line="49" w:lineRule="exact"/>
        <w:rPr>
          <w:sz w:val="20"/>
          <w:szCs w:val="20"/>
          <w:color w:val="auto"/>
        </w:rPr>
      </w:pPr>
    </w:p>
    <w:p>
      <w:pPr>
        <w:ind w:left="420" w:right="460" w:firstLine="398"/>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2020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MARK T. BRADLEY</w:t>
            </w:r>
          </w:p>
        </w:tc>
        <w:tc>
          <w:tcPr>
            <w:tcW w:w="1700" w:type="dxa"/>
            <w:vAlign w:val="bottom"/>
          </w:tcPr>
          <w:p>
            <w:pPr>
              <w:spacing w:after="0"/>
              <w:rPr>
                <w:sz w:val="17"/>
                <w:szCs w:val="17"/>
                <w:color w:val="auto"/>
              </w:rPr>
            </w:pPr>
          </w:p>
        </w:tc>
      </w:tr>
      <w:tr>
        <w:trPr>
          <w:trHeight w:val="290"/>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580" w:type="dxa"/>
            <w:vAlign w:val="bottom"/>
            <w:gridSpan w:val="2"/>
          </w:tcPr>
          <w:p>
            <w:pPr>
              <w:spacing w:after="0"/>
              <w:rPr>
                <w:sz w:val="20"/>
                <w:szCs w:val="20"/>
                <w:color w:val="auto"/>
              </w:rPr>
            </w:pPr>
            <w:r>
              <w:rPr>
                <w:rFonts w:ascii="Arial" w:cs="Arial" w:eastAsia="Arial" w:hAnsi="Arial"/>
                <w:sz w:val="18"/>
                <w:szCs w:val="18"/>
                <w:color w:val="auto"/>
              </w:rPr>
              <w:t>Mark T. Bradley</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gridSpan w:val="2"/>
          </w:tcPr>
          <w:p>
            <w:pPr>
              <w:spacing w:after="0"/>
              <w:rPr>
                <w:sz w:val="20"/>
                <w:szCs w:val="20"/>
                <w:color w:val="auto"/>
              </w:rPr>
            </w:pPr>
            <w:r>
              <w:rPr>
                <w:rFonts w:ascii="Arial" w:cs="Arial" w:eastAsia="Arial" w:hAnsi="Arial"/>
                <w:sz w:val="18"/>
                <w:szCs w:val="18"/>
                <w:color w:val="auto"/>
                <w:w w:val="92"/>
              </w:rPr>
              <w:t>Executive Vice President, Chief Financial Officer</w:t>
            </w:r>
          </w:p>
        </w:tc>
      </w:tr>
      <w:tr>
        <w:trPr>
          <w:trHeight w:val="230"/>
        </w:trPr>
        <w:tc>
          <w:tcPr>
            <w:tcW w:w="96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17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2"/>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8"/>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64" Type="http://schemas.openxmlformats.org/officeDocument/2006/relationships/hyperlink" Target="https://www.sec.gov/Archives/edgar/data/1593034/000119312520170531/d941026dex42.htm" TargetMode="External"/><Relationship Id="rId65" Type="http://schemas.openxmlformats.org/officeDocument/2006/relationships/hyperlink" Target="https://www.sec.gov/Archives/edgar/data/1593034/000119312520170531/d941026dex44.htm" TargetMode="External"/><Relationship Id="rId66" Type="http://schemas.openxmlformats.org/officeDocument/2006/relationships/hyperlink" Target="https://www.sec.gov/Archives/edgar/data/1593034/000119312520170531/d941026dex46.htm" TargetMode="External"/><Relationship Id="rId67" Type="http://schemas.openxmlformats.org/officeDocument/2006/relationships/hyperlink" Target="https://www.sec.gov/Archives/edgar/data/1593034/000119312520170531/d941026dex48.htm" TargetMode="External"/><Relationship Id="rId68" Type="http://schemas.openxmlformats.org/officeDocument/2006/relationships/hyperlink" Target="https://www.sec.gov/Archives/edgar/data/1593034/000119312520170531/d941026dex49.htm" TargetMode="External"/><Relationship Id="rId69" Type="http://schemas.openxmlformats.org/officeDocument/2006/relationships/hyperlink" Target="https://www.sec.gov/Archives/edgar/data/1593034/000159303420000049/a20200611ex101stockinc.htm" TargetMode="External"/><Relationship Id="rId70" Type="http://schemas.openxmlformats.org/officeDocument/2006/relationships/hyperlink" Target="https://www.sec.gov/Archives/edgar/data/1593034/000119312520170531/d941026dex101.htm" TargetMode="External"/><Relationship Id="rId71" Type="http://schemas.openxmlformats.org/officeDocument/2006/relationships/hyperlink" Target="https://www.sec.gov/Archives/edgar/data/1593034/000119312520170531/d941026dex102.htm" TargetMode="External"/><Relationship Id="rId72" Type="http://schemas.openxmlformats.org/officeDocument/2006/relationships/hyperlink" Target="https://www.sec.gov/Archives/edgar/data/1593034/000119312520170531/d94102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2020-08-06T13:07:41Z</dcterms:created>
  <dcterms:modified xsi:type="dcterms:W3CDTF">2020-08-06T13:07:41Z</dcterms:modified>
</cp:coreProperties>
</file>