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4240" w:right="1920" w:hanging="2303"/>
        <w:spacing w:after="0" w:line="266" w:lineRule="auto"/>
        <w:tabs>
          <w:tab w:leader="none" w:pos="2239" w:val="left"/>
        </w:tabs>
        <w:numPr>
          <w:ilvl w:val="1"/>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34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66" w:lineRule="exact"/>
        <w:rPr>
          <w:rFonts w:ascii="MS PGothic" w:cs="MS PGothic" w:eastAsia="MS PGothic" w:hAnsi="MS PGothic"/>
          <w:sz w:val="16"/>
          <w:szCs w:val="16"/>
          <w:color w:val="auto"/>
        </w:rPr>
      </w:pPr>
    </w:p>
    <w:p>
      <w:pPr>
        <w:ind w:left="2120" w:hanging="345"/>
        <w:spacing w:after="0"/>
        <w:tabs>
          <w:tab w:leader="none" w:pos="212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 w:lineRule="exact"/>
        <w:rPr>
          <w:sz w:val="24"/>
          <w:szCs w:val="24"/>
          <w:color w:val="auto"/>
        </w:rPr>
      </w:pPr>
    </w:p>
    <w:p>
      <w:pPr>
        <w:ind w:left="4480"/>
        <w:spacing w:after="0"/>
        <w:tabs>
          <w:tab w:leader="none" w:pos="6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001-36326</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Endo International plc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0" w:lineRule="exact"/>
        <w:rPr>
          <w:sz w:val="24"/>
          <w:szCs w:val="24"/>
          <w:color w:val="auto"/>
        </w:rPr>
      </w:pPr>
    </w:p>
    <w:tbl>
      <w:tblPr>
        <w:tblLayout w:type="fixed"/>
        <w:tblInd w:w="1500" w:type="dxa"/>
        <w:tblCellMar>
          <w:top w:w="0" w:type="dxa"/>
          <w:left w:w="0" w:type="dxa"/>
          <w:bottom w:w="0" w:type="dxa"/>
          <w:right w:w="0" w:type="dxa"/>
        </w:tblCellMar>
      </w:tblPr>
      <w:tr>
        <w:trPr>
          <w:trHeight w:val="186"/>
        </w:trPr>
        <w:tc>
          <w:tcPr>
            <w:tcW w:w="4780" w:type="dxa"/>
            <w:vAlign w:val="bottom"/>
          </w:tcPr>
          <w:p>
            <w:pPr>
              <w:jc w:val="center"/>
              <w:ind w:right="1368"/>
              <w:spacing w:after="0"/>
              <w:rPr>
                <w:sz w:val="20"/>
                <w:szCs w:val="20"/>
                <w:color w:val="auto"/>
              </w:rPr>
            </w:pPr>
            <w:r>
              <w:rPr>
                <w:rFonts w:ascii="Arial" w:cs="Arial" w:eastAsia="Arial" w:hAnsi="Arial"/>
                <w:sz w:val="14"/>
                <w:szCs w:val="14"/>
                <w:b w:val="1"/>
                <w:bCs w:val="1"/>
                <w:color w:val="auto"/>
              </w:rPr>
              <w:t>Ireland</w:t>
            </w:r>
          </w:p>
        </w:tc>
        <w:tc>
          <w:tcPr>
            <w:tcW w:w="3540" w:type="dxa"/>
            <w:vAlign w:val="bottom"/>
          </w:tcPr>
          <w:p>
            <w:pPr>
              <w:jc w:val="center"/>
              <w:ind w:left="1408"/>
              <w:spacing w:after="0"/>
              <w:rPr>
                <w:sz w:val="20"/>
                <w:szCs w:val="20"/>
                <w:color w:val="auto"/>
              </w:rPr>
            </w:pPr>
            <w:r>
              <w:rPr>
                <w:rFonts w:ascii="Arial" w:cs="Arial" w:eastAsia="Arial" w:hAnsi="Arial"/>
                <w:sz w:val="14"/>
                <w:szCs w:val="14"/>
                <w:b w:val="1"/>
                <w:bCs w:val="1"/>
                <w:color w:val="auto"/>
                <w:w w:val="93"/>
              </w:rPr>
              <w:t>68-0683755</w:t>
            </w:r>
          </w:p>
        </w:tc>
      </w:tr>
      <w:tr>
        <w:trPr>
          <w:trHeight w:val="203"/>
        </w:trPr>
        <w:tc>
          <w:tcPr>
            <w:tcW w:w="4780" w:type="dxa"/>
            <w:vAlign w:val="bottom"/>
          </w:tcPr>
          <w:p>
            <w:pPr>
              <w:jc w:val="center"/>
              <w:ind w:right="136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540" w:type="dxa"/>
            <w:vAlign w:val="bottom"/>
          </w:tcPr>
          <w:p>
            <w:pPr>
              <w:jc w:val="center"/>
              <w:ind w:left="1388"/>
              <w:spacing w:after="0"/>
              <w:rPr>
                <w:sz w:val="20"/>
                <w:szCs w:val="20"/>
                <w:color w:val="auto"/>
              </w:rPr>
            </w:pPr>
            <w:r>
              <w:rPr>
                <w:rFonts w:ascii="Arial" w:cs="Arial" w:eastAsia="Arial" w:hAnsi="Arial"/>
                <w:sz w:val="14"/>
                <w:szCs w:val="14"/>
                <w:color w:val="auto"/>
                <w:w w:val="96"/>
              </w:rPr>
              <w:t>(I.R.S. Employer Identification No.)</w:t>
            </w:r>
          </w:p>
        </w:tc>
      </w:tr>
      <w:tr>
        <w:trPr>
          <w:trHeight w:val="257"/>
        </w:trPr>
        <w:tc>
          <w:tcPr>
            <w:tcW w:w="4780" w:type="dxa"/>
            <w:vAlign w:val="bottom"/>
          </w:tcPr>
          <w:p>
            <w:pPr>
              <w:jc w:val="center"/>
              <w:ind w:right="1388"/>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540" w:type="dxa"/>
            <w:vAlign w:val="bottom"/>
          </w:tcPr>
          <w:p>
            <w:pPr>
              <w:spacing w:after="0"/>
              <w:rPr>
                <w:sz w:val="22"/>
                <w:szCs w:val="22"/>
                <w:color w:val="auto"/>
              </w:rPr>
            </w:pPr>
          </w:p>
        </w:tc>
      </w:tr>
      <w:tr>
        <w:trPr>
          <w:trHeight w:val="203"/>
        </w:trPr>
        <w:tc>
          <w:tcPr>
            <w:tcW w:w="4780" w:type="dxa"/>
            <w:vAlign w:val="bottom"/>
          </w:tcPr>
          <w:p>
            <w:pPr>
              <w:ind w:left="300"/>
              <w:spacing w:after="0"/>
              <w:rPr>
                <w:sz w:val="20"/>
                <w:szCs w:val="20"/>
                <w:color w:val="auto"/>
              </w:rPr>
            </w:pPr>
            <w:r>
              <w:rPr>
                <w:rFonts w:ascii="Arial" w:cs="Arial" w:eastAsia="Arial" w:hAnsi="Arial"/>
                <w:sz w:val="14"/>
                <w:szCs w:val="14"/>
                <w:b w:val="1"/>
                <w:bCs w:val="1"/>
                <w:color w:val="auto"/>
              </w:rPr>
              <w:t>Ballsbridge, Dublin 4, Ireland</w:t>
            </w:r>
          </w:p>
        </w:tc>
        <w:tc>
          <w:tcPr>
            <w:tcW w:w="3540" w:type="dxa"/>
            <w:vAlign w:val="bottom"/>
          </w:tcPr>
          <w:p>
            <w:pPr>
              <w:jc w:val="center"/>
              <w:ind w:left="1388"/>
              <w:spacing w:after="0"/>
              <w:rPr>
                <w:sz w:val="20"/>
                <w:szCs w:val="20"/>
                <w:color w:val="auto"/>
              </w:rPr>
            </w:pPr>
            <w:r>
              <w:rPr>
                <w:rFonts w:ascii="Arial" w:cs="Arial" w:eastAsia="Arial" w:hAnsi="Arial"/>
                <w:sz w:val="14"/>
                <w:szCs w:val="14"/>
                <w:b w:val="1"/>
                <w:bCs w:val="1"/>
                <w:color w:val="auto"/>
                <w:w w:val="93"/>
              </w:rPr>
              <w:t>Not Applicable</w:t>
            </w:r>
          </w:p>
        </w:tc>
      </w:tr>
      <w:tr>
        <w:trPr>
          <w:trHeight w:val="203"/>
        </w:trPr>
        <w:tc>
          <w:tcPr>
            <w:tcW w:w="4780" w:type="dxa"/>
            <w:vAlign w:val="bottom"/>
          </w:tcPr>
          <w:p>
            <w:pPr>
              <w:jc w:val="center"/>
              <w:ind w:right="1388"/>
              <w:spacing w:after="0"/>
              <w:rPr>
                <w:sz w:val="20"/>
                <w:szCs w:val="20"/>
                <w:color w:val="auto"/>
              </w:rPr>
            </w:pPr>
            <w:r>
              <w:rPr>
                <w:rFonts w:ascii="Arial" w:cs="Arial" w:eastAsia="Arial" w:hAnsi="Arial"/>
                <w:sz w:val="14"/>
                <w:szCs w:val="14"/>
                <w:color w:val="auto"/>
                <w:w w:val="95"/>
              </w:rPr>
              <w:t>(Address of principal executive offices)</w:t>
            </w:r>
          </w:p>
        </w:tc>
        <w:tc>
          <w:tcPr>
            <w:tcW w:w="3540" w:type="dxa"/>
            <w:vAlign w:val="bottom"/>
          </w:tcPr>
          <w:p>
            <w:pPr>
              <w:jc w:val="center"/>
              <w:ind w:left="1388"/>
              <w:spacing w:after="0"/>
              <w:rPr>
                <w:sz w:val="20"/>
                <w:szCs w:val="20"/>
                <w:color w:val="auto"/>
              </w:rPr>
            </w:pPr>
            <w:r>
              <w:rPr>
                <w:rFonts w:ascii="Arial" w:cs="Arial" w:eastAsia="Arial" w:hAnsi="Arial"/>
                <w:sz w:val="14"/>
                <w:szCs w:val="14"/>
                <w:color w:val="auto"/>
                <w:w w:val="96"/>
              </w:rPr>
              <w:t>(Zip Code)</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011-353-1-268-2000</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12(b) of the Act: </w:t>
      </w:r>
      <w:r>
        <w:rPr>
          <w:rFonts w:ascii="Arial" w:cs="Arial" w:eastAsia="Arial" w:hAnsi="Arial"/>
          <w:sz w:val="14"/>
          <w:szCs w:val="14"/>
          <w:color w:val="auto"/>
        </w:rPr>
        <w:t>None (1)</w:t>
      </w:r>
    </w:p>
    <w:p>
      <w:pPr>
        <w:spacing w:after="0" w:line="72" w:lineRule="exact"/>
        <w:rPr>
          <w:sz w:val="24"/>
          <w:szCs w:val="24"/>
          <w:color w:val="auto"/>
        </w:rPr>
      </w:pPr>
    </w:p>
    <w:p>
      <w:pPr>
        <w:ind w:left="960" w:right="100" w:hanging="289"/>
        <w:spacing w:after="0" w:line="238" w:lineRule="auto"/>
        <w:tabs>
          <w:tab w:leader="none" w:pos="960" w:val="left"/>
        </w:tabs>
        <w:numPr>
          <w:ilvl w:val="0"/>
          <w:numId w:val="2"/>
        </w:numPr>
        <w:rPr>
          <w:rFonts w:ascii="Arial" w:cs="Arial" w:eastAsia="Arial" w:hAnsi="Arial"/>
          <w:sz w:val="11"/>
          <w:szCs w:val="11"/>
          <w:color w:val="auto"/>
        </w:rPr>
      </w:pPr>
      <w:r>
        <w:rPr>
          <w:rFonts w:ascii="Arial" w:cs="Arial" w:eastAsia="Arial" w:hAnsi="Arial"/>
          <w:sz w:val="11"/>
          <w:szCs w:val="11"/>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ectPr>
          <w:pgSz w:w="11900" w:h="16838" w:orient="portrait"/>
          <w:cols w:equalWidth="0" w:num="1">
            <w:col w:w="11200"/>
          </w:cols>
          <w:pgMar w:left="340" w:top="882" w:right="359" w:bottom="1440" w:gutter="0" w:footer="0" w:header="0"/>
        </w:sectPr>
      </w:pP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368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9760" w:type="dxa"/>
            <w:vAlign w:val="bottom"/>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420" w:type="dxa"/>
            <w:vAlign w:val="bottom"/>
          </w:tcPr>
          <w:p>
            <w:pPr>
              <w:ind w:left="100"/>
              <w:spacing w:after="0"/>
              <w:rPr>
                <w:sz w:val="20"/>
                <w:szCs w:val="20"/>
                <w:color w:val="auto"/>
              </w:rPr>
            </w:pPr>
            <w:r>
              <w:rPr>
                <w:rFonts w:ascii="Arial" w:cs="Arial" w:eastAsia="Arial" w:hAnsi="Arial"/>
                <w:sz w:val="14"/>
                <w:szCs w:val="14"/>
                <w:color w:val="auto"/>
              </w:rPr>
              <w:t>Yes</w:t>
            </w:r>
          </w:p>
        </w:tc>
        <w:tc>
          <w:tcPr>
            <w:tcW w:w="3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56"/>
        </w:trPr>
        <w:tc>
          <w:tcPr>
            <w:tcW w:w="97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420" w:type="dxa"/>
            <w:vAlign w:val="bottom"/>
          </w:tcPr>
          <w:p>
            <w:pPr>
              <w:ind w:left="100"/>
              <w:spacing w:after="0"/>
              <w:rPr>
                <w:sz w:val="20"/>
                <w:szCs w:val="20"/>
                <w:color w:val="auto"/>
              </w:rPr>
            </w:pPr>
            <w:r>
              <w:rPr>
                <w:rFonts w:ascii="Arial" w:cs="Arial" w:eastAsia="Arial" w:hAnsi="Arial"/>
                <w:sz w:val="14"/>
                <w:szCs w:val="14"/>
                <w:color w:val="auto"/>
              </w:rPr>
              <w:t>Yes</w:t>
            </w:r>
          </w:p>
        </w:tc>
        <w:tc>
          <w:tcPr>
            <w:tcW w:w="3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99"/>
        </w:trPr>
        <w:tc>
          <w:tcPr>
            <w:tcW w:w="9760" w:type="dxa"/>
            <w:vAlign w:val="bottom"/>
          </w:tcPr>
          <w:p>
            <w:pPr>
              <w:spacing w:after="0"/>
              <w:rPr>
                <w:sz w:val="20"/>
                <w:szCs w:val="20"/>
                <w:color w:val="auto"/>
              </w:rPr>
            </w:pPr>
            <w:r>
              <w:rPr>
                <w:rFonts w:ascii="Arial" w:cs="Arial" w:eastAsia="Arial" w:hAnsi="Arial"/>
                <w:sz w:val="14"/>
                <w:szCs w:val="14"/>
                <w:color w:val="auto"/>
                <w:w w:val="97"/>
              </w:rPr>
              <w:t>Indicate by check mark whether the registrant (1) has filed all reports required to be filed by Section 13 or 15(d) of the Securities Exchange Act of 1934 during the</w:t>
            </w:r>
          </w:p>
        </w:tc>
        <w:tc>
          <w:tcPr>
            <w:tcW w:w="420" w:type="dxa"/>
            <w:vAlign w:val="bottom"/>
          </w:tcPr>
          <w:p>
            <w:pPr>
              <w:ind w:left="100"/>
              <w:spacing w:after="0"/>
              <w:rPr>
                <w:sz w:val="20"/>
                <w:szCs w:val="20"/>
                <w:color w:val="auto"/>
              </w:rPr>
            </w:pPr>
            <w:r>
              <w:rPr>
                <w:rFonts w:ascii="Arial" w:cs="Arial" w:eastAsia="Arial" w:hAnsi="Arial"/>
                <w:sz w:val="14"/>
                <w:szCs w:val="14"/>
                <w:color w:val="auto"/>
              </w:rPr>
              <w:t>Yes</w:t>
            </w:r>
          </w:p>
        </w:tc>
        <w:tc>
          <w:tcPr>
            <w:tcW w:w="3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3"/>
        </w:trPr>
        <w:tc>
          <w:tcPr>
            <w:tcW w:w="9760" w:type="dxa"/>
            <w:vAlign w:val="bottom"/>
          </w:tcPr>
          <w:p>
            <w:pPr>
              <w:spacing w:after="0" w:line="143" w:lineRule="exact"/>
              <w:rPr>
                <w:sz w:val="20"/>
                <w:szCs w:val="20"/>
                <w:color w:val="auto"/>
              </w:rPr>
            </w:pPr>
            <w:r>
              <w:rPr>
                <w:rFonts w:ascii="Arial" w:cs="Arial" w:eastAsia="Arial" w:hAnsi="Arial"/>
                <w:sz w:val="14"/>
                <w:szCs w:val="14"/>
                <w:color w:val="auto"/>
                <w:w w:val="93"/>
              </w:rPr>
              <w:t>preceding 12 months (or for such shorter period that the registrant was required to file such reports), and (2) has been subject to such filing requirements for the past 90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760" w:type="dxa"/>
            <w:vAlign w:val="bottom"/>
          </w:tcPr>
          <w:p>
            <w:pPr>
              <w:spacing w:after="0"/>
              <w:rPr>
                <w:sz w:val="20"/>
                <w:szCs w:val="20"/>
                <w:color w:val="auto"/>
              </w:rPr>
            </w:pPr>
            <w:r>
              <w:rPr>
                <w:rFonts w:ascii="Arial" w:cs="Arial" w:eastAsia="Arial" w:hAnsi="Arial"/>
                <w:sz w:val="14"/>
                <w:szCs w:val="14"/>
                <w:color w:val="auto"/>
              </w:rPr>
              <w:t>days.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9760" w:type="dxa"/>
            <w:vAlign w:val="bottom"/>
            <w:vMerge w:val="restart"/>
          </w:tcPr>
          <w:p>
            <w:pPr>
              <w:spacing w:after="0"/>
              <w:rPr>
                <w:sz w:val="20"/>
                <w:szCs w:val="20"/>
                <w:color w:val="auto"/>
              </w:rPr>
            </w:pPr>
            <w:r>
              <w:rPr>
                <w:rFonts w:ascii="Arial" w:cs="Arial" w:eastAsia="Arial" w:hAnsi="Arial"/>
                <w:sz w:val="14"/>
                <w:szCs w:val="14"/>
                <w:color w:val="auto"/>
                <w:w w:val="94"/>
              </w:rPr>
              <w:t>Indicate by check mark whether the registrant has submitted electronically every Interactive Data File required to be submitted pursuant to Rule 405 of Regulation S-T</w:t>
            </w:r>
          </w:p>
        </w:tc>
        <w:tc>
          <w:tcPr>
            <w:tcW w:w="420" w:type="dxa"/>
            <w:vAlign w:val="bottom"/>
          </w:tcPr>
          <w:p>
            <w:pPr>
              <w:ind w:left="100"/>
              <w:spacing w:after="0"/>
              <w:rPr>
                <w:sz w:val="20"/>
                <w:szCs w:val="20"/>
                <w:color w:val="auto"/>
              </w:rPr>
            </w:pPr>
            <w:r>
              <w:rPr>
                <w:rFonts w:ascii="Arial" w:cs="Arial" w:eastAsia="Arial" w:hAnsi="Arial"/>
                <w:sz w:val="14"/>
                <w:szCs w:val="14"/>
                <w:color w:val="auto"/>
              </w:rPr>
              <w:t>Yes</w:t>
            </w:r>
          </w:p>
        </w:tc>
        <w:tc>
          <w:tcPr>
            <w:tcW w:w="3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45"/>
        </w:trPr>
        <w:tc>
          <w:tcPr>
            <w:tcW w:w="97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9760" w:type="dxa"/>
            <w:vAlign w:val="bottom"/>
          </w:tcPr>
          <w:p>
            <w:pPr>
              <w:spacing w:after="0"/>
              <w:rPr>
                <w:sz w:val="20"/>
                <w:szCs w:val="20"/>
                <w:color w:val="auto"/>
              </w:rPr>
            </w:pPr>
            <w:r>
              <w:rPr>
                <w:rFonts w:ascii="Arial" w:cs="Arial" w:eastAsia="Arial" w:hAnsi="Arial"/>
                <w:sz w:val="14"/>
                <w:szCs w:val="14"/>
                <w:color w:val="auto"/>
              </w:rPr>
              <w:t>(§ 232.405 of this chapter) during the preceding 12 months (or for such shorter period that the registrant was required to submit such files).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6" w:lineRule="exact"/>
        <w:rPr>
          <w:sz w:val="24"/>
          <w:szCs w:val="24"/>
          <w:color w:val="auto"/>
        </w:rPr>
      </w:pPr>
    </w:p>
    <w:p>
      <w:pPr>
        <w:jc w:val="both"/>
        <w:ind w:right="2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258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58" w:lineRule="exact"/>
        <w:rPr>
          <w:sz w:val="24"/>
          <w:szCs w:val="24"/>
          <w:color w:val="auto"/>
        </w:rPr>
      </w:pPr>
    </w:p>
    <w:p>
      <w:pPr>
        <w:spacing w:after="0" w:line="161" w:lineRule="exact"/>
        <w:tabs>
          <w:tab w:leader="none" w:pos="2580" w:val="left"/>
          <w:tab w:leader="none" w:pos="75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42" w:lineRule="exact"/>
        <w:rPr>
          <w:sz w:val="24"/>
          <w:szCs w:val="24"/>
          <w:color w:val="auto"/>
        </w:rPr>
      </w:pPr>
    </w:p>
    <w:p>
      <w:pPr>
        <w:ind w:left="7560"/>
        <w:spacing w:after="0"/>
        <w:rPr>
          <w:sz w:val="20"/>
          <w:szCs w:val="20"/>
          <w:color w:val="auto"/>
        </w:rPr>
      </w:pPr>
      <w:r>
        <w:rPr>
          <w:rFonts w:ascii="Arial" w:cs="Arial" w:eastAsia="Arial" w:hAnsi="Arial"/>
          <w:sz w:val="14"/>
          <w:szCs w:val="14"/>
          <w:color w:val="auto"/>
        </w:rPr>
        <w:t>Emerging growth company</w:t>
      </w:r>
    </w:p>
    <w:p>
      <w:pPr>
        <w:spacing w:after="0" w:line="154" w:lineRule="exact"/>
        <w:rPr>
          <w:sz w:val="24"/>
          <w:szCs w:val="24"/>
          <w:color w:val="auto"/>
        </w:rPr>
      </w:pPr>
    </w:p>
    <w:p>
      <w:pPr>
        <w:ind w:right="1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5" w:lineRule="exact"/>
        <w:rPr>
          <w:sz w:val="24"/>
          <w:szCs w:val="24"/>
          <w:color w:val="auto"/>
        </w:rPr>
      </w:pPr>
    </w:p>
    <w:p>
      <w:pPr>
        <w:ind w:right="1140"/>
        <w:spacing w:after="0" w:line="269"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56" w:lineRule="exact"/>
        <w:rPr>
          <w:sz w:val="24"/>
          <w:szCs w:val="24"/>
          <w:color w:val="auto"/>
        </w:rPr>
      </w:pPr>
    </w:p>
    <w:p>
      <w:pPr>
        <w:ind w:right="1320"/>
        <w:spacing w:after="0" w:line="236"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75" w:lineRule="exact"/>
        <w:rPr>
          <w:sz w:val="24"/>
          <w:szCs w:val="24"/>
          <w:color w:val="auto"/>
        </w:rPr>
      </w:pPr>
    </w:p>
    <w:p>
      <w:pPr>
        <w:ind w:right="1340"/>
        <w:spacing w:after="0" w:line="236"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61" w:lineRule="exact"/>
        <w:rPr>
          <w:sz w:val="24"/>
          <w:szCs w:val="24"/>
          <w:color w:val="auto"/>
        </w:rPr>
      </w:pPr>
    </w:p>
    <w:p>
      <w:pPr>
        <w:spacing w:after="0" w:line="161" w:lineRule="exact"/>
        <w:tabs>
          <w:tab w:leader="none" w:pos="9840" w:val="left"/>
          <w:tab w:leader="none" w:pos="10300" w:val="left"/>
          <w:tab w:leader="none" w:pos="10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0" w:lineRule="exact"/>
        <w:rPr>
          <w:sz w:val="24"/>
          <w:szCs w:val="24"/>
          <w:color w:val="auto"/>
        </w:rPr>
      </w:pPr>
    </w:p>
    <w:p>
      <w:pPr>
        <w:sectPr>
          <w:pgSz w:w="11900" w:h="16838" w:orient="portrait"/>
          <w:cols w:equalWidth="0" w:num="2">
            <w:col w:w="10820" w:space="240"/>
            <w:col w:w="140"/>
          </w:cols>
          <w:pgMar w:left="340" w:top="882" w:right="359" w:bottom="1440" w:gutter="0" w:footer="0" w:header="0"/>
          <w:type w:val="continuous"/>
        </w:sectPr>
      </w:pPr>
    </w:p>
    <w:p>
      <w:pPr>
        <w:spacing w:after="0" w:line="71" w:lineRule="exact"/>
        <w:rPr>
          <w:sz w:val="24"/>
          <w:szCs w:val="24"/>
          <w:color w:val="auto"/>
        </w:rPr>
      </w:pPr>
    </w:p>
    <w:p>
      <w:pPr>
        <w:ind w:right="100"/>
        <w:spacing w:after="0" w:line="268" w:lineRule="auto"/>
        <w:rPr>
          <w:sz w:val="20"/>
          <w:szCs w:val="20"/>
          <w:color w:val="auto"/>
        </w:rPr>
      </w:pPr>
      <w:r>
        <w:rPr>
          <w:rFonts w:ascii="Arial" w:cs="Arial" w:eastAsia="Arial" w:hAnsi="Arial"/>
          <w:sz w:val="12"/>
          <w:szCs w:val="12"/>
          <w:color w:val="auto"/>
        </w:rPr>
        <w:t>The aggregate market value of the voting common equity (ordinary shares) held by non-affiliates as of June 30, 2022 (the last business day of the registrant’s most recently completed second fiscal quarter) was $109,653,452 based on a closing sale price of $0.47 per share as reported on The Nasdaq Global Select Market on that date. Ordinary shares held by each officer and director</w:t>
      </w:r>
    </w:p>
    <w:p>
      <w:pPr>
        <w:spacing w:after="0" w:line="1" w:lineRule="exact"/>
        <w:rPr>
          <w:sz w:val="24"/>
          <w:szCs w:val="24"/>
          <w:color w:val="auto"/>
        </w:rPr>
      </w:pPr>
    </w:p>
    <w:p>
      <w:pPr>
        <w:ind w:right="540"/>
        <w:spacing w:after="0" w:line="227" w:lineRule="auto"/>
        <w:rPr>
          <w:sz w:val="20"/>
          <w:szCs w:val="20"/>
          <w:color w:val="auto"/>
        </w:rPr>
      </w:pPr>
      <w:r>
        <w:rPr>
          <w:rFonts w:ascii="Arial" w:cs="Arial" w:eastAsia="Arial" w:hAnsi="Arial"/>
          <w:sz w:val="14"/>
          <w:szCs w:val="14"/>
          <w:color w:val="auto"/>
        </w:rPr>
        <w:t>have been excluded since such persons and beneficial owners may be deemed to be affiliates. This determination of affiliate status is not necessarily a conclusive determination for other purposes. The registrant has no non-voting ordinary shares authorized or outstanding.</w:t>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ordinary shares, nominal value $0.0001 per share outstanding as of February 27, 2023 was 235,219,612.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556895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80" w:type="dxa"/>
            <w:vAlign w:val="bottom"/>
            <w:gridSpan w:val="16"/>
          </w:tcPr>
          <w:p>
            <w:pPr>
              <w:jc w:val="center"/>
              <w:ind w:right="3880"/>
              <w:spacing w:after="0"/>
              <w:rPr>
                <w:sz w:val="20"/>
                <w:szCs w:val="20"/>
                <w:color w:val="auto"/>
              </w:rPr>
            </w:pPr>
            <w:r>
              <w:rPr>
                <w:rFonts w:ascii="Arial" w:cs="Arial" w:eastAsia="Arial" w:hAnsi="Arial"/>
                <w:sz w:val="18"/>
                <w:szCs w:val="18"/>
                <w:b w:val="1"/>
                <w:bCs w:val="1"/>
                <w:color w:val="auto"/>
              </w:rPr>
              <w:t>ENDO INTERNATIONAL PLC</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80" w:type="dxa"/>
            <w:vAlign w:val="bottom"/>
            <w:gridSpan w:val="16"/>
          </w:tcPr>
          <w:p>
            <w:pPr>
              <w:jc w:val="center"/>
              <w:ind w:right="3880"/>
              <w:spacing w:after="0"/>
              <w:rPr>
                <w:sz w:val="20"/>
                <w:szCs w:val="20"/>
                <w:color w:val="auto"/>
              </w:rPr>
            </w:pPr>
            <w:r>
              <w:rPr>
                <w:rFonts w:ascii="Arial" w:cs="Arial" w:eastAsia="Arial" w:hAnsi="Arial"/>
                <w:sz w:val="18"/>
                <w:szCs w:val="18"/>
                <w:b w:val="1"/>
                <w:bCs w:val="1"/>
                <w:color w:val="auto"/>
                <w:w w:val="97"/>
              </w:rPr>
              <w:t>(DEBTOR-IN-POSSESSION)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20" w:type="dxa"/>
            <w:vAlign w:val="bottom"/>
            <w:gridSpan w:val="13"/>
          </w:tcPr>
          <w:p>
            <w:pPr>
              <w:jc w:val="center"/>
              <w:ind w:right="4140"/>
              <w:spacing w:after="0"/>
              <w:rPr>
                <w:sz w:val="20"/>
                <w:szCs w:val="20"/>
                <w:color w:val="auto"/>
              </w:rPr>
            </w:pPr>
            <w:r>
              <w:rPr>
                <w:rFonts w:ascii="Arial" w:cs="Arial" w:eastAsia="Arial" w:hAnsi="Arial"/>
                <w:sz w:val="18"/>
                <w:szCs w:val="18"/>
                <w:b w:val="1"/>
                <w:bCs w:val="1"/>
                <w:color w:val="auto"/>
              </w:rPr>
              <w:t>INDEX TO FORM 10-K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60" w:type="dxa"/>
            <w:vAlign w:val="bottom"/>
            <w:gridSpan w:val="19"/>
          </w:tcPr>
          <w:p>
            <w:pPr>
              <w:jc w:val="center"/>
              <w:ind w:right="2620"/>
              <w:spacing w:after="0"/>
              <w:rPr>
                <w:sz w:val="20"/>
                <w:szCs w:val="20"/>
                <w:color w:val="auto"/>
              </w:rPr>
            </w:pPr>
            <w:r>
              <w:rPr>
                <w:rFonts w:ascii="Arial" w:cs="Arial" w:eastAsia="Arial" w:hAnsi="Arial"/>
                <w:sz w:val="18"/>
                <w:szCs w:val="18"/>
                <w:b w:val="1"/>
                <w:bCs w:val="1"/>
                <w:color w:val="auto"/>
                <w:w w:val="98"/>
              </w:rPr>
              <w:t>FOR THE YEAR ENDED DECEMBER 31, 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33"/>
          </w:tcPr>
          <w:p>
            <w:pPr>
              <w:spacing w:after="0"/>
              <w:rPr>
                <w:sz w:val="20"/>
                <w:szCs w:val="20"/>
                <w:color w:val="auto"/>
              </w:rPr>
            </w:pPr>
            <w:r>
              <w:rPr>
                <w:rFonts w:ascii="Arial" w:cs="Arial" w:eastAsia="Arial" w:hAnsi="Arial"/>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0000FF"/>
              </w:rPr>
              <w:t>i</w:t>
            </w: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13"/>
          </w:tcPr>
          <w:p>
            <w:pPr>
              <w:jc w:val="center"/>
              <w:ind w:right="5740"/>
              <w:spacing w:after="0"/>
              <w:rPr>
                <w:sz w:val="20"/>
                <w:szCs w:val="20"/>
                <w:color w:val="auto"/>
              </w:rPr>
            </w:pPr>
            <w:r>
              <w:rPr>
                <w:rFonts w:ascii="Arial" w:cs="Arial" w:eastAsia="Arial" w:hAnsi="Arial"/>
                <w:sz w:val="18"/>
                <w:szCs w:val="18"/>
                <w:b w:val="1"/>
                <w:bCs w:val="1"/>
                <w:color w:val="0000FF"/>
                <w:w w:val="98"/>
              </w:rPr>
              <w:t>PART I</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340" w:type="dxa"/>
            <w:vAlign w:val="bottom"/>
            <w:gridSpan w:val="3"/>
          </w:tcPr>
          <w:p>
            <w:pPr>
              <w:spacing w:after="0"/>
              <w:rPr>
                <w:sz w:val="18"/>
                <w:szCs w:val="18"/>
                <w:color w:val="auto"/>
              </w:rPr>
            </w:pPr>
          </w:p>
        </w:tc>
        <w:tc>
          <w:tcPr>
            <w:tcW w:w="3660" w:type="dxa"/>
            <w:vAlign w:val="bottom"/>
            <w:gridSpan w:val="16"/>
          </w:tcPr>
          <w:p>
            <w:pPr>
              <w:ind w:left="80"/>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2"/>
          </w:tcPr>
          <w:p>
            <w:pPr>
              <w:spacing w:after="0"/>
              <w:rPr>
                <w:sz w:val="18"/>
                <w:szCs w:val="18"/>
                <w:color w:val="auto"/>
              </w:rPr>
            </w:pPr>
          </w:p>
        </w:tc>
        <w:tc>
          <w:tcPr>
            <w:tcW w:w="5740" w:type="dxa"/>
            <w:vAlign w:val="bottom"/>
            <w:gridSpan w:val="11"/>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1A</w:t>
            </w:r>
            <w:r>
              <w:rPr>
                <w:rFonts w:ascii="Arial" w:cs="Arial" w:eastAsia="Arial" w:hAnsi="Arial"/>
                <w:sz w:val="18"/>
                <w:szCs w:val="18"/>
                <w:color w:val="000000"/>
              </w:rPr>
              <w:t>.</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Risk Factors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1B.</w:t>
            </w: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Unresolved Staff Comments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Properties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340" w:type="dxa"/>
            <w:vAlign w:val="bottom"/>
            <w:gridSpan w:val="3"/>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Legal Proceedings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340" w:type="dxa"/>
            <w:vAlign w:val="bottom"/>
            <w:gridSpan w:val="3"/>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Mine Safety Disclosures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4"/>
          </w:tcPr>
          <w:p>
            <w:pPr>
              <w:jc w:val="center"/>
              <w:ind w:right="5700"/>
              <w:spacing w:after="0"/>
              <w:rPr>
                <w:sz w:val="20"/>
                <w:szCs w:val="20"/>
                <w:color w:val="auto"/>
              </w:rPr>
            </w:pPr>
            <w:r>
              <w:rPr>
                <w:rFonts w:ascii="Arial" w:cs="Arial" w:eastAsia="Arial" w:hAnsi="Arial"/>
                <w:sz w:val="18"/>
                <w:szCs w:val="18"/>
                <w:b w:val="1"/>
                <w:bCs w:val="1"/>
                <w:color w:val="0000FF"/>
              </w:rPr>
              <w:t>PART II</w:t>
            </w: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340" w:type="dxa"/>
            <w:vAlign w:val="bottom"/>
            <w:gridSpan w:val="3"/>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340" w:type="dxa"/>
            <w:vAlign w:val="bottom"/>
            <w:gridSpan w:val="3"/>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Reserved</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7.</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7A.</w:t>
            </w:r>
          </w:p>
        </w:tc>
        <w:tc>
          <w:tcPr>
            <w:tcW w:w="100" w:type="dxa"/>
            <w:vAlign w:val="bottom"/>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Quantitative and Qualitative Disclosures About Market Risk</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8.</w:t>
            </w: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Financial Statements and Supplementary Data</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9.</w:t>
            </w:r>
          </w:p>
        </w:tc>
        <w:tc>
          <w:tcPr>
            <w:tcW w:w="340" w:type="dxa"/>
            <w:vAlign w:val="bottom"/>
            <w:gridSpan w:val="3"/>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9A.</w:t>
            </w: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Controls and Procedures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9B.</w:t>
            </w: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Other Information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2"/>
              </w:rPr>
              <w:t>Item 9C.</w:t>
            </w: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7"/>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640" w:type="dxa"/>
            <w:vAlign w:val="bottom"/>
            <w:tcBorders>
              <w:top w:val="single" w:sz="8" w:color="0000FF"/>
            </w:tcBorders>
            <w:gridSpan w:val="2"/>
          </w:tcPr>
          <w:p>
            <w:pPr>
              <w:spacing w:after="0"/>
              <w:rPr>
                <w:sz w:val="24"/>
                <w:szCs w:val="24"/>
                <w:color w:val="auto"/>
              </w:rPr>
            </w:pPr>
          </w:p>
        </w:tc>
        <w:tc>
          <w:tcPr>
            <w:tcW w:w="500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10.</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Directors, Executive Officers and Corporate Governance</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6"/>
              </w:rPr>
              <w:t>Item 11.</w:t>
            </w:r>
          </w:p>
        </w:tc>
        <w:tc>
          <w:tcPr>
            <w:tcW w:w="260" w:type="dxa"/>
            <w:vAlign w:val="bottom"/>
            <w:gridSpan w:val="2"/>
          </w:tcPr>
          <w:p>
            <w:pPr>
              <w:spacing w:after="0"/>
              <w:rPr>
                <w:sz w:val="18"/>
                <w:szCs w:val="18"/>
                <w:color w:val="auto"/>
              </w:rPr>
            </w:pP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Executive Compensation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12.</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13.</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14.</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Principal Accountant Fees and Services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566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15.</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Exhibit and Financial Statement Schedules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820" w:type="dxa"/>
            <w:vAlign w:val="bottom"/>
            <w:gridSpan w:val="1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rPr>
              <w:t>Item 16.</w:t>
            </w:r>
          </w:p>
        </w:tc>
        <w:tc>
          <w:tcPr>
            <w:tcW w:w="9980" w:type="dxa"/>
            <w:vAlign w:val="bottom"/>
            <w:gridSpan w:val="29"/>
          </w:tcPr>
          <w:p>
            <w:pPr>
              <w:ind w:left="80"/>
              <w:spacing w:after="0"/>
              <w:rPr>
                <w:sz w:val="20"/>
                <w:szCs w:val="20"/>
                <w:color w:val="auto"/>
              </w:rPr>
            </w:pPr>
            <w:r>
              <w:rPr>
                <w:rFonts w:ascii="Arial" w:cs="Arial" w:eastAsia="Arial" w:hAnsi="Arial"/>
                <w:sz w:val="18"/>
                <w:szCs w:val="18"/>
                <w:color w:val="0000FF"/>
              </w:rPr>
              <w:t>Form 10-K Summary</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82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97"/>
              </w:rPr>
              <w:t>Signatures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83</w:t>
            </w:r>
          </w:p>
        </w:tc>
        <w:tc>
          <w:tcPr>
            <w:tcW w:w="20" w:type="dxa"/>
            <w:vAlign w:val="bottom"/>
          </w:tcPr>
          <w:p>
            <w:pPr>
              <w:spacing w:after="0"/>
              <w:rPr>
                <w:sz w:val="24"/>
                <w:szCs w:val="24"/>
                <w:color w:val="auto"/>
              </w:rPr>
            </w:pPr>
          </w:p>
        </w:tc>
      </w:tr>
      <w:tr>
        <w:trPr>
          <w:trHeight w:val="892"/>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COVID-19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66"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changing competitive, market and regulatory conditions; changes in legislation; our ability to obtain and maintain adequate protection for our intellectual property rights; the impacts of competition such as those related to the loss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this Annual Report on Form 10-K and in other reports that we file with the Securities and Exchange Commission (SEC).</w:t>
      </w:r>
    </w:p>
    <w:p>
      <w:pPr>
        <w:spacing w:after="0" w:line="8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6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Endo International plc was incorporated in Ireland in 2013 as a private limited company and re-registered effective February 18, 2014 as a public limited company. Endo International plc is a holding company that conducts business through its operating subsidiaries.</w:t>
      </w:r>
    </w:p>
    <w:p>
      <w:pPr>
        <w:spacing w:after="0" w:line="76"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Our ordinary shares, which previously traded on the Nasdaq Global Select Market under the ticker symbol “ENDP,” are currently quoted on the over-the-counter market using the ticker symbol “ENDPQ.” References throughout to “ordinary shares” refer to Endo International plc’s ordinary shares (1,000,000,000 authorized, par value of $0.0001 per share). In addition, we have 4,000,000 euro deferred shares outstanding (par value of $0.01 per share).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address of Endo International plc’s headquarters is Minerva House, Simmonscourt Road, Ballsbridge, Dublin 4, Ireland (telephone number: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011-353-1-268-2000).</w:t>
      </w:r>
    </w:p>
    <w:p>
      <w:pPr>
        <w:spacing w:after="0" w:line="103" w:lineRule="exact"/>
        <w:rPr>
          <w:sz w:val="20"/>
          <w:szCs w:val="20"/>
          <w:color w:val="auto"/>
        </w:rPr>
      </w:pPr>
    </w:p>
    <w:p>
      <w:pPr>
        <w:ind w:right="260" w:firstLine="486"/>
        <w:spacing w:after="0" w:line="296" w:lineRule="auto"/>
        <w:rPr>
          <w:sz w:val="20"/>
          <w:szCs w:val="20"/>
          <w:color w:val="auto"/>
        </w:rPr>
      </w:pPr>
      <w:r>
        <w:rPr>
          <w:rFonts w:ascii="Arial" w:cs="Arial" w:eastAsia="Arial" w:hAnsi="Arial"/>
          <w:sz w:val="16"/>
          <w:szCs w:val="16"/>
          <w:color w:val="auto"/>
        </w:rPr>
        <w:t>Our focus is on pharmaceutical products and we target areas where we believe we can build leading positions. Our operating model is based on a lean and nimble structure, the rational allocation of capital and an emphasis on high-value research and development (R&amp;D) targets. While our primary focus is on organic growth, we evaluate and, where appropriate, execute on opportunities to expand through the licensing or acquisition of products or companies in areas that we believe serve patients and customers while offering attractive growth characteristics and margins. We believe our operating model and the execution of our corporate strategy will enable us to create shareholder value over the long-term.</w:t>
      </w:r>
    </w:p>
    <w:p>
      <w:pPr>
        <w:spacing w:after="0" w:line="53"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four reportable business segments in which we operate are: (1) Branded Pharmaceuticals, (2) Sterile Injectables, (3) Generic Pharmaceuticals and (4) International Pharmaceuticals. Additional information about our reportable business segments is included throughout this Part I. The results of operations of our reportable business segments are discussed in Part II, Item 7 of this report “Management’s Discussion and Analysis of Financial Condition and Results of Operations” under the heading “RESULTS OF OPERATIONS.” Across all of our reportable business segments, we generated total revenues of $2.32 billion, $2.99 billion and $2.90 billion in 2022, 2021 and 2020, respectively.</w:t>
      </w:r>
    </w:p>
    <w:p>
      <w:pPr>
        <w:spacing w:after="0" w:line="6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For branded products, which we sell primarily through our Branded Pharmaceuticals and Sterile Injectables segments, we seek to invest in products or product candidates that have inherent scientific, regulatory, legal and technical complexities and market such products under recognizable brand names that are trademarked. For products we develop for the U.S. market, after the completion of required clinical trials and testing, we seek approvals from regulatory bodies such as through the submission of New Drug Applications (NDAs) or Biologics License Applications (BLAs) to the U.S. Food and Drug Administration (FDA). We believe that our patents, the protection of discoveries in connection with our development activities, our proprietary products, technologies, processes, trade secrets, know-how, innovations and all of our intellectual property are important to our business and achieving a competitive position. However, there can be no assurance that any of our patents, licenses or other intellectual property rights will afford us any protection from competition. Additional information is included throughout this Part I, Item 1.</w:t>
      </w:r>
    </w:p>
    <w:p>
      <w:pPr>
        <w:spacing w:after="0" w:line="70"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Generic products are the pharmaceutical and therapeutic equivalents of branded products and are generally sold under their generic (chemical) names rather than their brand names. For generic products, which we sell primarily through our Sterile Injectables and Generic Pharmaceuticals segments, our focus is on high-barrier-to-entry products, with an emphasis on complex sterile injectable products, such as ready-to-use (RTU) products, and first-to-file or first-to-market opportunities that are difficult to formulate or manufacture or face complex legal and regulatory challenges. In the U.S., first-to-file products refer to generic products for which the Abbreviated New Drug Applications (ANDAs) containing patent challenges (or Paragraph IV certifications) to the corresponding branded products’ listed patents were the first to be filed with the FDA. In the U.S., manufacturers that launch first-to-file products, after success in litigating or otherwise resolving related patent challenges, and receive final FDA approval have the opportunity for 180 days of generic marketing exclusivity from competing generic products other than authorized generics. First-to-market products refer to products that are the first marketed generic equivalents of the corresponding branded products for reasons apart from statutory marketing exclusivity. This can occur, for example, when a generic product is difficult to formulate or manufacture. First-to-market products allow manufacturers to mitigate risks from competitive pressures commonly associated with commoditized generic products. Additional information is included throughout this Part I, Item 1.</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Proceedings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As a result of these conditions and events, management continues to believe there is substantial doubt about our ability to continue as a going concern within one year after the date of issuance of the Consolidated Financial Statements included in Part IV, Item 15 of this report. Additional information regarding our ongoing bankruptcy proceedings is included throughout this report including, without limitation, information about recent and potential future developments related to our bankruptcy proceedings and certain related transactions, the effects of our ongoing bankruptcy proceedings and certain related transactions on our business and financial statements to date and the potential future effects of such proceedings and transactions, including discussions of related risks and uncertainties.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right="280" w:firstLine="486"/>
        <w:spacing w:after="0" w:line="285" w:lineRule="auto"/>
        <w:rPr>
          <w:sz w:val="20"/>
          <w:szCs w:val="20"/>
          <w:color w:val="auto"/>
        </w:rPr>
      </w:pPr>
      <w:r>
        <w:rPr>
          <w:rFonts w:ascii="Arial" w:cs="Arial" w:eastAsia="Arial" w:hAnsi="Arial"/>
          <w:sz w:val="16"/>
          <w:szCs w:val="16"/>
          <w:color w:val="auto"/>
        </w:rPr>
        <w:t>Endo International plc is a specialty pharmaceutical company committed to helping everyone we serve live their best life through the delivery of high-quality, life-enhancing therapies. We are focused on driving long-term growth through a diversified and durable portfolio of businesses, continuing product development and manufacturing and commercialization excellence. Our strategic priorities include expanding and enhancing our portfolio with differentiated and durable products; reinventing how we work to better serve our customers, promote innovation and improve productivity; and being a force for good by embracing and adopting sustainable practices that benefit all of our stakeholders. Specific areas of management’s focus include:</w:t>
      </w:r>
    </w:p>
    <w:p>
      <w:pPr>
        <w:spacing w:after="0" w:line="2" w:lineRule="exact"/>
        <w:rPr>
          <w:sz w:val="20"/>
          <w:szCs w:val="20"/>
          <w:color w:val="auto"/>
        </w:rPr>
      </w:pPr>
    </w:p>
    <w:p>
      <w:pPr>
        <w:ind w:left="900" w:right="20" w:hanging="244"/>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Branded Pharmaceuticals: Accelerating performance of organic growth drivers in our Specialty Products portfolio and expanding margin in our Established Products portfolio. As further described below under the heading “Select Development Projects,” management is also focused on investing in key product life cycle management and other development opportunities, with a focus on non-surgical orthopedic care interventions.</w:t>
      </w:r>
    </w:p>
    <w:p>
      <w:pPr>
        <w:spacing w:after="0" w:line="1"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Sterile Injectables: Focusing on developing injectable products with inherent scientific, regulatory, legal and technical complexities, expanding the product portfolio to include other dosages and technologies and developing or acquiring high-barrier-to-entry products that are difficult to manufacture.</w:t>
      </w:r>
    </w:p>
    <w:p>
      <w:pPr>
        <w:spacing w:after="0" w:line="1" w:lineRule="exact"/>
        <w:rPr>
          <w:rFonts w:ascii="Arial" w:cs="Arial" w:eastAsia="Arial" w:hAnsi="Arial"/>
          <w:sz w:val="18"/>
          <w:szCs w:val="18"/>
          <w:color w:val="auto"/>
        </w:rPr>
      </w:pPr>
    </w:p>
    <w:p>
      <w:pPr>
        <w:ind w:left="900" w:right="720" w:hanging="244"/>
        <w:spacing w:after="0" w:line="290" w:lineRule="auto"/>
        <w:tabs>
          <w:tab w:leader="none" w:pos="89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Generic Pharmaceuticals: Focusing on developing or acquiring high-barrier-to-entry products, including first-to-file or first-to-market opportunities that are difficult to formulate or manufacture or face complex legal and regulatory challenges.</w:t>
      </w:r>
    </w:p>
    <w:p>
      <w:pPr>
        <w:spacing w:after="0" w:line="53"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Additionally, as part of our Environmental, Social and Governance (ESG) strategy, we are committed to the adoption of more sustainable practices, including the promotion of Diversity, Equity and Inclusion (DE&amp;I) in all that we do, and to operating our business in a responsible manner that seeks to minimize environmental impact, while promoting the safe, efficient and responsible use of global resources.</w:t>
      </w:r>
    </w:p>
    <w:p>
      <w:pPr>
        <w:spacing w:after="0" w:line="5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While our primary focus is on organic growth, we plan to continue to evaluate and, where appropriate, execute on opportunities to expand through the licensing or acquisition of products or companies. There can be no assurance that we will be successful in executing on our strategy.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successfully execute our strategy, we must continue to capitalize on our following core strengths:</w:t>
      </w:r>
    </w:p>
    <w:p>
      <w:pPr>
        <w:spacing w:after="0" w:line="11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b w:val="1"/>
          <w:bCs w:val="1"/>
          <w:i w:val="1"/>
          <w:iCs w:val="1"/>
          <w:color w:val="auto"/>
        </w:rPr>
        <w:t xml:space="preserve">Experienced and dedicated management team. </w:t>
      </w:r>
      <w:r>
        <w:rPr>
          <w:rFonts w:ascii="Arial" w:cs="Arial" w:eastAsia="Arial" w:hAnsi="Arial"/>
          <w:sz w:val="17"/>
          <w:szCs w:val="17"/>
          <w:color w:val="auto"/>
        </w:rPr>
        <w:t>We have a highly skilled and customer-focused management team in critical leadership positions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Endo. Our senior management team has extensive experience in the pharmaceutical industry, including improving business performance through organic revenue growth, operational and commercial excellence and through the identification, consummation and integration of licensing and acquisition opportunities. This experience is demonstrated through a proven track record of developing products and businesses.</w:t>
      </w:r>
    </w:p>
    <w:p>
      <w:pPr>
        <w:spacing w:after="0" w:line="6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have efficient, high-quality manufacturing capabilities across a diversified array of dosage forms in the U.S. and India.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comprehensive suite of technology, manufacturing and development competencies increases the likelihood of success in commercializing high-barrier-to-entry products and obtaining first-to-file and first-to-market status on future products, yielding more sustainable market share and profitability. For example, our expanding capabilities in the rapidly growing U.S. market for sterile products afford us with a broader and more diversified product portfolio and a greater selection of targets for potential development.</w:t>
      </w:r>
    </w:p>
    <w:p>
      <w:pPr>
        <w:spacing w:after="0" w:line="80"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We believe that our competitive advantages include our integrated team-based approach to product development that combines our global formulation, regulatory, legal, manufacturing and commercial capabilities; our ability to introduce new generic equivalents for brand-name products; our quality and cost-effective production; our ability to meet customer and/or patient expectations and the breadth of our existing product offerings.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b w:val="1"/>
          <w:bCs w:val="1"/>
          <w:i w:val="1"/>
          <w:iCs w:val="1"/>
          <w:color w:val="auto"/>
        </w:rPr>
        <w:t xml:space="preserve">Growth of our branded Specialty Products portfolio while leveraging the strength of our Established Products portfolio. </w:t>
      </w:r>
      <w:r>
        <w:rPr>
          <w:rFonts w:ascii="Arial" w:cs="Arial" w:eastAsia="Arial" w:hAnsi="Arial"/>
          <w:sz w:val="17"/>
          <w:szCs w:val="17"/>
          <w:color w:val="auto"/>
        </w:rPr>
        <w:t>We have assembled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of branded products offered by our Branded Pharmaceuticals segment in the areas of urology, orthopedics, endocrinology and bariatrics, among others. Additional information on these product portfolios is included below under the heading “Products Overview.”</w:t>
      </w:r>
    </w:p>
    <w:p>
      <w:pPr>
        <w:spacing w:after="0" w:line="5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b w:val="1"/>
          <w:bCs w:val="1"/>
          <w:i w:val="1"/>
          <w:iCs w:val="1"/>
          <w:color w:val="auto"/>
        </w:rPr>
        <w:t xml:space="preserve">Optimizing our portfolios to focus on differentiated products. </w:t>
      </w:r>
      <w:r>
        <w:rPr>
          <w:rFonts w:ascii="Arial" w:cs="Arial" w:eastAsia="Arial" w:hAnsi="Arial"/>
          <w:sz w:val="17"/>
          <w:szCs w:val="17"/>
          <w:color w:val="auto"/>
        </w:rPr>
        <w:t>By leveraging operational efficiency and taking actions to optimize our cost 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appropriate, we aim to be low-cost producers of high-barrier-to-entry products, including products that meet the evolving needs of hospitals and health systems, including RTU sterile injectable products, and first-to-file and first-to-market generic opportunities that are difficult to formulate or manufacture or face complex legal and regulatory challenges. We believe that focusing on products with these characteristics will result in products with longer life cycles and higher profitability than products without these characteristics.</w:t>
      </w:r>
    </w:p>
    <w:p>
      <w:pPr>
        <w:spacing w:after="0" w:line="68"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b w:val="1"/>
          <w:bCs w:val="1"/>
          <w:i w:val="1"/>
          <w:iCs w:val="1"/>
          <w:color w:val="auto"/>
        </w:rPr>
        <w:t xml:space="preserve">Continuing proactive diversification of our business. </w:t>
      </w:r>
      <w:r>
        <w:rPr>
          <w:rFonts w:ascii="Arial" w:cs="Arial" w:eastAsia="Arial" w:hAnsi="Arial"/>
          <w:sz w:val="17"/>
          <w:szCs w:val="17"/>
          <w:color w:val="auto"/>
        </w:rPr>
        <w:t>Our primary focus is on organic growth. However, we plan to continue to evaluate and, where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appropriate, execute on opportunities to expand through the licensing or acquisition of products or companies in areas that will serve patients and customers and that we believe will offer attractive growth characteristics and margins. In particular, we intend to continue to enhance our product lines by acquiring or licensing rights to additional products and regularly evaluating selective acquisition opportunities.</w:t>
      </w:r>
    </w:p>
    <w:p>
      <w:pPr>
        <w:spacing w:after="0" w:line="6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R&amp;D expertise. </w:t>
      </w:r>
      <w:r>
        <w:rPr>
          <w:rFonts w:ascii="Arial" w:cs="Arial" w:eastAsia="Arial" w:hAnsi="Arial"/>
          <w:sz w:val="18"/>
          <w:szCs w:val="18"/>
          <w:color w:val="auto"/>
        </w:rPr>
        <w:t>Our R&amp;D efforts are focused on the development of a diversified portfolio of innovative and clinically differentiated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For example, in recent years, our Branded Pharmaceuticals research has focused on leveraging our expertise in collagenase clostridium histolyticum (CCH) and seeking additional novel indications for this class of biologics. Our Sterile Injectables and Generic Pharmaceuticals segments seek out and develop high-barrier-to-entry products, with an emphasis on complex sterile injectable products, such as RTU products, and first-to-file or first-to-market opportunities. We periodically review our R&amp;D pipeline in order to better direct investment toward those opportunities that we expect will deliver the greatest returns. Our current R&amp;D pipeline consists of products in various stages of development and reflects our expanded focus on Sterile Injectables products and solutions. For additional detail, see “Select Development Projects.” Our R&amp;D and regulatory affairs staff is based primarily in India and the U.S.</w:t>
      </w:r>
    </w:p>
    <w:p>
      <w:pPr>
        <w:spacing w:after="0" w:line="84"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Targeted sales and marketing capabilities. </w:t>
      </w:r>
      <w:r>
        <w:rPr>
          <w:rFonts w:ascii="Arial" w:cs="Arial" w:eastAsia="Arial" w:hAnsi="Arial"/>
          <w:sz w:val="18"/>
          <w:szCs w:val="18"/>
          <w:color w:val="auto"/>
        </w:rPr>
        <w:t>Our sales and marketing activities are based in the U.S. and Canada and primarily focus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promotion of our Specialty Products portfolio and Sterile Injectables segment.</w:t>
      </w:r>
    </w:p>
    <w:p>
      <w:pPr>
        <w:spacing w:after="0" w:line="62"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We market our Specialty Products directly to specialty physicians, including those specializing in urology, orthopedics, pediatric endocrinology and bariatric surgery. Our sales force also directs its marketing efforts on retail pharmacies and other healthcare professionals. We distribute our Specialty Products through independent wholesale distributors, but we also sell directly to retailers, clinics, government agencies, doctors, independent retail and specialty pharmacies and independent specialty distributors. Our marketing policy is designed to provide physicians, pharmacies, hospitals, public and private payers and appropriate healthcare professionals with products and appropriate medical information. We work to gain access to various formularies (lists of recommended or approved medicines and other products) and reimbursement lists by demonstrating the qualities and treatment benefits of our products within their approved indications.</w:t>
      </w:r>
    </w:p>
    <w:p>
      <w:pPr>
        <w:spacing w:after="0" w:line="69" w:lineRule="exact"/>
        <w:rPr>
          <w:sz w:val="20"/>
          <w:szCs w:val="20"/>
          <w:color w:val="auto"/>
        </w:rPr>
      </w:pPr>
    </w:p>
    <w:p>
      <w:pPr>
        <w:ind w:right="80" w:firstLine="486"/>
        <w:spacing w:after="0" w:line="244" w:lineRule="auto"/>
        <w:rPr>
          <w:sz w:val="20"/>
          <w:szCs w:val="20"/>
          <w:color w:val="auto"/>
        </w:rPr>
      </w:pPr>
      <w:r>
        <w:rPr>
          <w:rFonts w:ascii="Arial" w:cs="Arial" w:eastAsia="Arial" w:hAnsi="Arial"/>
          <w:sz w:val="18"/>
          <w:szCs w:val="18"/>
          <w:color w:val="auto"/>
        </w:rPr>
        <w:t>In addition to advertising in professional journals, participating in medical meetings and conventions and utilizing direct mail and internet programs to provide descriptive product literature and scientific information, we have also utilized both branded and unbranded marketing and public relations campaigns across digital, social and television platforms to reach our target consumers. For example, during the first quarter of 2022, we launched a new Dupuytren’s contracture (DC) condition awareness campaign featuring real patients and, during the fourth quarter of 2021, we launched a new multi-channel branded advertising campaign for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Peyronie’s disease (PD), including our first-ever television commercial for XIAFLEX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dedicated Sterile Injectables sales and marketing team is focused on health systems and national group purchasing organizations (GPOs). Our customers’ growing complexity requires us to engage directly with key stakeholders and decision makers. Our experienced sales and marketing team is key to growing our existing portfolio and executing on new product launches.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the revenues from external customers of our Branded Pharmaceuticals segment for the years ended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6"/>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XIAFLEX®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438,680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432,344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316,234</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SUPPRELIN® LA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88,182</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497,078</w:t>
            </w:r>
          </w:p>
        </w:tc>
      </w:tr>
      <w:tr>
        <w:trPr>
          <w:trHeight w:val="209"/>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PERCOCET®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110,112</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TESTOPEL®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35,234</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139,356</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284,702</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781,780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9"/>
          <w:szCs w:val="9"/>
          <w:color w:val="auto"/>
        </w:rPr>
        <w:t>®</w:t>
      </w:r>
      <w:r>
        <w:rPr>
          <w:rFonts w:ascii="Arial" w:cs="Arial" w:eastAsia="Arial" w:hAnsi="Arial"/>
          <w:sz w:val="14"/>
          <w:szCs w:val="14"/>
          <w:color w:val="auto"/>
        </w:rPr>
        <w:t>, NASCOBAL</w:t>
      </w:r>
      <w:r>
        <w:rPr>
          <w:rFonts w:ascii="Arial" w:cs="Arial" w:eastAsia="Arial" w:hAnsi="Arial"/>
          <w:sz w:val="9"/>
          <w:szCs w:val="9"/>
          <w:color w:val="auto"/>
        </w:rPr>
        <w:t>®</w:t>
      </w:r>
      <w:r>
        <w:rPr>
          <w:rFonts w:ascii="Arial" w:cs="Arial" w:eastAsia="Arial" w:hAnsi="Arial"/>
          <w:sz w:val="14"/>
          <w:szCs w:val="14"/>
          <w:color w:val="auto"/>
        </w:rPr>
        <w:t xml:space="preserve"> Nasal Spray and QWO</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580" w:right="180" w:hanging="329"/>
        <w:spacing w:after="0" w:line="283" w:lineRule="auto"/>
        <w:tabs>
          <w:tab w:leader="none" w:pos="56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2022 and/or any product having revenues in excess of $25 million during any completed quarterly period in 2022 or 2021.</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 Portfolio</w:t>
      </w:r>
    </w:p>
    <w:p>
      <w:pPr>
        <w:spacing w:after="0" w:line="117" w:lineRule="exact"/>
        <w:rPr>
          <w:sz w:val="20"/>
          <w:szCs w:val="20"/>
          <w:color w:val="auto"/>
        </w:rPr>
      </w:pPr>
    </w:p>
    <w:p>
      <w:pPr>
        <w:ind w:right="220" w:firstLine="486"/>
        <w:spacing w:after="0" w:line="251" w:lineRule="auto"/>
        <w:rPr>
          <w:sz w:val="20"/>
          <w:szCs w:val="20"/>
          <w:color w:val="auto"/>
        </w:rPr>
      </w:pPr>
      <w:r>
        <w:rPr>
          <w:rFonts w:ascii="Arial" w:cs="Arial" w:eastAsia="Arial" w:hAnsi="Arial"/>
          <w:sz w:val="18"/>
          <w:szCs w:val="18"/>
          <w:color w:val="auto"/>
        </w:rPr>
        <w:t>Endo commercializes a number of products within the market served by specialty distributors and specialty pharmacies and in which healthcare practitioners can purchase and bill payers directly (the buy and bill market). Our current offerings primarily relate to the following areas: (i) urology treatments, which currently focus mainly on PD and testosterone replacement therapies (TRT) for hypogonadism; (ii) orthopedics treatments, which currently focus on DC; and (iii) pediatric endocrinology treatments, which currently focus on central precocious puberty (CPP). Key product offerings in this portfolio include the following:</w:t>
      </w:r>
    </w:p>
    <w:p>
      <w:pPr>
        <w:spacing w:after="0" w:line="2" w:lineRule="exact"/>
        <w:rPr>
          <w:sz w:val="20"/>
          <w:szCs w:val="20"/>
          <w:color w:val="auto"/>
        </w:rPr>
      </w:pPr>
    </w:p>
    <w:p>
      <w:pPr>
        <w:ind w:left="900" w:right="60" w:hanging="244"/>
        <w:spacing w:after="0" w:line="232"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which is a non-surgical treatment for both DC (for adult patients with an abnormal buildup of collagen in the fingers that limits or disables hand function) and PD (for adult men with a collagen plaque and a penile curvature deformity of thirty degrees or greater at the start of therapy).</w:t>
      </w:r>
    </w:p>
    <w:p>
      <w:pPr>
        <w:spacing w:after="0" w:line="1" w:lineRule="exact"/>
        <w:rPr>
          <w:rFonts w:ascii="Arial" w:cs="Arial" w:eastAsia="Arial" w:hAnsi="Arial"/>
          <w:sz w:val="18"/>
          <w:szCs w:val="18"/>
          <w:color w:val="auto"/>
        </w:rPr>
      </w:pPr>
    </w:p>
    <w:p>
      <w:pPr>
        <w:ind w:left="900" w:right="520" w:hanging="244"/>
        <w:spacing w:after="0" w:line="219"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which is a soft, flexible 12-month hydrogel implant based on our hydrogel polymer technology that delivers histrelin acetate, a gonadotropin-releasing hormone agonist, and is indicated for the treatment of CPP in children.</w:t>
      </w:r>
    </w:p>
    <w:p>
      <w:pPr>
        <w:spacing w:after="0" w:line="1" w:lineRule="exact"/>
        <w:rPr>
          <w:rFonts w:ascii="Arial" w:cs="Arial" w:eastAsia="Arial" w:hAnsi="Arial"/>
          <w:sz w:val="18"/>
          <w:szCs w:val="18"/>
          <w:color w:val="auto"/>
        </w:rPr>
      </w:pPr>
    </w:p>
    <w:p>
      <w:pPr>
        <w:ind w:left="900" w:right="100" w:hanging="244"/>
        <w:spacing w:after="0" w:line="219"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AVEED</w:t>
      </w:r>
      <w:r>
        <w:rPr>
          <w:rFonts w:ascii="Arial" w:cs="Arial" w:eastAsia="Arial" w:hAnsi="Arial"/>
          <w:sz w:val="23"/>
          <w:szCs w:val="23"/>
          <w:color w:val="auto"/>
          <w:vertAlign w:val="superscript"/>
        </w:rPr>
        <w:t>®</w:t>
      </w:r>
      <w:r>
        <w:rPr>
          <w:rFonts w:ascii="Arial" w:cs="Arial" w:eastAsia="Arial" w:hAnsi="Arial"/>
          <w:sz w:val="18"/>
          <w:szCs w:val="18"/>
          <w:color w:val="auto"/>
        </w:rPr>
        <w:t>, which is a novel, long-acting testosterone undecanoate for injection for the treatment of hypogonadism that is dosed only five times per year after the first month of therapy.</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which is a prescription nasal spray used as a supplement to treat vitamin B12 deficiency.</w:t>
      </w:r>
    </w:p>
    <w:p>
      <w:pPr>
        <w:spacing w:after="0" w:line="40" w:lineRule="exact"/>
        <w:rPr>
          <w:sz w:val="20"/>
          <w:szCs w:val="20"/>
          <w:color w:val="auto"/>
        </w:rPr>
      </w:pPr>
    </w:p>
    <w:p>
      <w:pPr>
        <w:ind w:right="260" w:firstLine="486"/>
        <w:spacing w:after="0" w:line="224" w:lineRule="auto"/>
        <w:rPr>
          <w:sz w:val="20"/>
          <w:szCs w:val="20"/>
          <w:color w:val="auto"/>
        </w:rPr>
      </w:pPr>
      <w:r>
        <w:rPr>
          <w:rFonts w:ascii="Arial" w:cs="Arial" w:eastAsia="Arial" w:hAnsi="Arial"/>
          <w:sz w:val="18"/>
          <w:szCs w:val="18"/>
          <w:color w:val="auto"/>
        </w:rPr>
        <w:t>This portfolio has also included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(collagenase clostridium histolyticum-aaes), an injectable treatment for moderate to severe cellulite in the buttocks of adult women launched in March 2021. However, in December 2022, the Company announced it would be ceasing the production and sale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light of market concerns about the extent and variability of bruising following initial treatment as well as the potential for prolonged skin discoloration.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 Portfolio</w:t>
      </w:r>
    </w:p>
    <w:p>
      <w:pPr>
        <w:spacing w:after="0" w:line="11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This portfolio’s current treatment offerings primarily relate to the following areas: (i) pain management, including products in the opioid analgesics segment and for the treatment of pain associated with post-herpetic neuralgia, and (ii) urology, focusing mainly on the treatment of hypogonadism. Key product offerings in this portfolio include, among others, the following:</w:t>
      </w:r>
    </w:p>
    <w:p>
      <w:pPr>
        <w:ind w:left="900" w:hanging="244"/>
        <w:spacing w:after="0" w:line="20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r>
        <w:rPr>
          <w:rFonts w:ascii="Arial" w:cs="Arial" w:eastAsia="Arial" w:hAnsi="Arial"/>
          <w:sz w:val="18"/>
          <w:szCs w:val="18"/>
          <w:color w:val="auto"/>
        </w:rPr>
        <w:t>, which is an opioid analgesic approved for the treatment of moderate to moderately-severe pain.</w:t>
      </w:r>
    </w:p>
    <w:p>
      <w:pPr>
        <w:ind w:left="900" w:right="400" w:hanging="244"/>
        <w:spacing w:after="0" w:line="21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r>
        <w:rPr>
          <w:rFonts w:ascii="Arial" w:cs="Arial" w:eastAsia="Arial" w:hAnsi="Arial"/>
          <w:sz w:val="18"/>
          <w:szCs w:val="18"/>
          <w:color w:val="auto"/>
        </w:rPr>
        <w:t>, which is a unique, long-acting implantable pellet indicated for TRT in conditions associated with a deficiency or absence of endogenous testosterone.</w:t>
      </w:r>
    </w:p>
    <w:p>
      <w:pPr>
        <w:ind w:left="900" w:right="220" w:hanging="244"/>
        <w:spacing w:after="0" w:line="219"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EDEX</w:t>
      </w:r>
      <w:r>
        <w:rPr>
          <w:rFonts w:ascii="Arial" w:cs="Arial" w:eastAsia="Arial" w:hAnsi="Arial"/>
          <w:sz w:val="23"/>
          <w:szCs w:val="23"/>
          <w:color w:val="auto"/>
          <w:vertAlign w:val="superscript"/>
        </w:rPr>
        <w:t>®</w:t>
      </w:r>
      <w:r>
        <w:rPr>
          <w:rFonts w:ascii="Arial" w:cs="Arial" w:eastAsia="Arial" w:hAnsi="Arial"/>
          <w:sz w:val="18"/>
          <w:szCs w:val="18"/>
          <w:color w:val="auto"/>
        </w:rPr>
        <w:t>, which is a penile injection used to treat erectile dysfunction caused by conditions affecting nerves, blood vessels, emotions and/or a combination of factors.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pain products, including opioid products, are managed as mature brands and are not and have not been actively promoted for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the Company announced the elimination of its entire U.S. pain product field sales force.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7" w:lineRule="exact"/>
        <w:rPr>
          <w:sz w:val="20"/>
          <w:szCs w:val="20"/>
          <w:color w:val="auto"/>
        </w:rPr>
      </w:pPr>
    </w:p>
    <w:p>
      <w:pPr>
        <w:ind w:right="160" w:firstLine="486"/>
        <w:spacing w:after="0" w:line="269" w:lineRule="auto"/>
        <w:rPr>
          <w:sz w:val="20"/>
          <w:szCs w:val="20"/>
          <w:color w:val="auto"/>
        </w:rPr>
      </w:pPr>
      <w:r>
        <w:rPr>
          <w:rFonts w:ascii="Arial" w:cs="Arial" w:eastAsia="Arial" w:hAnsi="Arial"/>
          <w:sz w:val="18"/>
          <w:szCs w:val="18"/>
          <w:color w:val="auto"/>
        </w:rPr>
        <w:t>The following table displays the revenues from external customers of our Sterile Injectables segment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6"/>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785,646</w:t>
            </w:r>
          </w:p>
        </w:tc>
      </w:tr>
      <w:tr>
        <w:trPr>
          <w:trHeight w:val="229"/>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152,074</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301,127</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1,238,847</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APLISOL</w:t>
      </w:r>
      <w:r>
        <w:rPr>
          <w:rFonts w:ascii="Arial" w:cs="Arial" w:eastAsia="Arial" w:hAnsi="Arial"/>
          <w:sz w:val="9"/>
          <w:szCs w:val="9"/>
          <w:color w:val="auto"/>
        </w:rPr>
        <w:t>®</w:t>
      </w:r>
      <w:r>
        <w:rPr>
          <w:rFonts w:ascii="Arial" w:cs="Arial" w:eastAsia="Arial" w:hAnsi="Arial"/>
          <w:sz w:val="14"/>
          <w:szCs w:val="14"/>
          <w:color w:val="auto"/>
        </w:rPr>
        <w:t>, ertapenem for injection and others.</w:t>
      </w:r>
    </w:p>
    <w:p>
      <w:pPr>
        <w:spacing w:after="0" w:line="9" w:lineRule="exact"/>
        <w:rPr>
          <w:rFonts w:ascii="Arial" w:cs="Arial" w:eastAsia="Arial" w:hAnsi="Arial"/>
          <w:sz w:val="14"/>
          <w:szCs w:val="14"/>
          <w:color w:val="auto"/>
        </w:rPr>
      </w:pPr>
    </w:p>
    <w:p>
      <w:pPr>
        <w:ind w:left="580" w:right="120" w:hanging="329"/>
        <w:spacing w:after="0" w:line="283" w:lineRule="auto"/>
        <w:tabs>
          <w:tab w:leader="none" w:pos="57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the year ended December 31, 2022 and/or any product having revenues in excess of $25 million during any completed quarterly period in 2022 or 2021.</w:t>
      </w:r>
    </w:p>
    <w:p>
      <w:pPr>
        <w:spacing w:after="0" w:line="7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Sterile Injectables segment includes a product portfolio of approximately 40 product families, including branded sterile injectable products that are currently protected by certain patent rights and have inherent scientific, regulatory, legal and technical complexities and generic injectable products that are difficult to formulate or manufacture or face complex legal and regulatory challenges. Our sterile injectables products are manufactured in sterile facilities in various dosage forms and are administered at hospitals, clinics and long-term care facilities. Key product offerings in this segment include, among others, the following:</w:t>
      </w:r>
    </w:p>
    <w:p>
      <w:pPr>
        <w:spacing w:after="0" w:line="2" w:lineRule="exact"/>
        <w:rPr>
          <w:sz w:val="20"/>
          <w:szCs w:val="20"/>
          <w:color w:val="auto"/>
        </w:rPr>
      </w:pPr>
    </w:p>
    <w:p>
      <w:pPr>
        <w:ind w:left="900" w:right="300" w:hanging="244"/>
        <w:spacing w:after="0" w:line="231" w:lineRule="auto"/>
        <w:tabs>
          <w:tab w:leader="none" w:pos="895" w:val="left"/>
        </w:tabs>
        <w:numPr>
          <w:ilvl w:val="0"/>
          <w:numId w:val="8"/>
        </w:numPr>
        <w:rPr>
          <w:rFonts w:ascii="Arial" w:cs="Arial" w:eastAsia="Arial" w:hAnsi="Arial"/>
          <w:sz w:val="16"/>
          <w:szCs w:val="16"/>
          <w:color w:val="auto"/>
        </w:rPr>
      </w:pPr>
      <w:r>
        <w:rPr>
          <w:rFonts w:ascii="Arial" w:cs="Arial" w:eastAsia="Arial" w:hAnsi="Arial"/>
          <w:sz w:val="16"/>
          <w:szCs w:val="16"/>
          <w:color w:val="auto"/>
        </w:rPr>
        <w:t>VASOSTRICT</w:t>
      </w:r>
      <w:r>
        <w:rPr>
          <w:rFonts w:ascii="Arial" w:cs="Arial" w:eastAsia="Arial" w:hAnsi="Arial"/>
          <w:sz w:val="20"/>
          <w:szCs w:val="20"/>
          <w:color w:val="auto"/>
          <w:vertAlign w:val="superscript"/>
        </w:rPr>
        <w:t>®</w:t>
      </w:r>
      <w:r>
        <w:rPr>
          <w:rFonts w:ascii="Arial" w:cs="Arial" w:eastAsia="Arial" w:hAnsi="Arial"/>
          <w:sz w:val="16"/>
          <w:szCs w:val="16"/>
          <w:color w:val="auto"/>
        </w:rPr>
        <w:t>, which is indicated to increase blood pressure in adults with vasodilatory shock who remain hypotensive despite fluids and catecholamines. We offer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multiple formulations, including the RTU pre-mix bottle we launched in February 2022.</w:t>
      </w:r>
    </w:p>
    <w:p>
      <w:pPr>
        <w:ind w:left="900" w:right="360" w:hanging="244"/>
        <w:spacing w:after="0" w:line="219"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r>
        <w:rPr>
          <w:rFonts w:ascii="Arial" w:cs="Arial" w:eastAsia="Arial" w:hAnsi="Arial"/>
          <w:sz w:val="18"/>
          <w:szCs w:val="18"/>
          <w:color w:val="auto"/>
        </w:rPr>
        <w:t>, which is a non-selective alpha and beta adrenergic agonist indicated for emergency treatment of certain allergic reactions, including anaphylaxis.</w:t>
      </w:r>
    </w:p>
    <w:p>
      <w:pPr>
        <w:ind w:left="900" w:right="440" w:hanging="244"/>
        <w:spacing w:after="0" w:line="219"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APLISOL</w:t>
      </w:r>
      <w:r>
        <w:rPr>
          <w:rFonts w:ascii="Arial" w:cs="Arial" w:eastAsia="Arial" w:hAnsi="Arial"/>
          <w:sz w:val="23"/>
          <w:szCs w:val="23"/>
          <w:color w:val="auto"/>
          <w:vertAlign w:val="superscript"/>
        </w:rPr>
        <w:t>®</w:t>
      </w:r>
      <w:r>
        <w:rPr>
          <w:rFonts w:ascii="Arial" w:cs="Arial" w:eastAsia="Arial" w:hAnsi="Arial"/>
          <w:sz w:val="18"/>
          <w:szCs w:val="18"/>
          <w:color w:val="auto"/>
        </w:rPr>
        <w:t>, which is a sterile aqueous solution of a purified protein derivative for intradermal administration as an aid in the diagnosis of tuberculosis.</w:t>
      </w:r>
    </w:p>
    <w:p>
      <w:pPr>
        <w:spacing w:after="0" w:line="1" w:lineRule="exact"/>
        <w:rPr>
          <w:rFonts w:ascii="Arial" w:cs="Arial" w:eastAsia="Arial" w:hAnsi="Arial"/>
          <w:sz w:val="18"/>
          <w:szCs w:val="18"/>
          <w:color w:val="auto"/>
        </w:rPr>
      </w:pPr>
    </w:p>
    <w:p>
      <w:pPr>
        <w:ind w:left="900" w:right="280" w:hanging="244"/>
        <w:spacing w:after="0" w:line="219"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which is indicated for the treatment of certain moderate to severe infections.</w:t>
      </w:r>
    </w:p>
    <w:p>
      <w:pPr>
        <w:spacing w:after="0" w:line="1" w:lineRule="exact"/>
        <w:rPr>
          <w:rFonts w:ascii="Arial" w:cs="Arial" w:eastAsia="Arial" w:hAnsi="Arial"/>
          <w:sz w:val="18"/>
          <w:szCs w:val="18"/>
          <w:color w:val="auto"/>
        </w:rPr>
      </w:pPr>
    </w:p>
    <w:p>
      <w:pPr>
        <w:ind w:left="900" w:right="200" w:hanging="244"/>
        <w:spacing w:after="0" w:line="260"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Ephedrine sulfate injection, which is an alpha and beta adrenergic agonist and a norepinephrine-releasing agent indicated for the treatment of clinically important hypotension occurring in the setting of anesthesia.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Generic Pharmaceuticals segment includes a product portfolio of approximately 110 generic product families including solid oral extended-release products, solid oral immediate-release products, liquids, semi-solids, patches (which are medicated adhesive patches designed to deliver the pharmaceutical through the skin), powders, ophthalmics (which are sterile pharmaceutical preparations administered for ocular conditions) and sprays and includes products that treat and manage a wide variety of medical conditions.</w:t>
      </w:r>
    </w:p>
    <w:p>
      <w:pPr>
        <w:spacing w:after="0" w:line="7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Generic products are the pharmaceutical and therapeutic equivalents of branded products and are generally sold under their generic (chemical) names rather than their brand names. Generic products are substantially the same as branded products in dosage form, safety, efficacy, route of administration, quality, performance characteristics and intended use, but are generally sold at prices below those of the corresponding branded products and thus represent cost-effective alternatives for consumers.</w:t>
      </w:r>
    </w:p>
    <w:p>
      <w:pPr>
        <w:spacing w:after="0" w:line="79" w:lineRule="exact"/>
        <w:rPr>
          <w:sz w:val="20"/>
          <w:szCs w:val="20"/>
          <w:color w:val="auto"/>
        </w:rPr>
      </w:pPr>
    </w:p>
    <w:p>
      <w:pPr>
        <w:ind w:right="300" w:firstLine="486"/>
        <w:spacing w:after="0" w:line="291" w:lineRule="auto"/>
        <w:rPr>
          <w:sz w:val="20"/>
          <w:szCs w:val="20"/>
          <w:color w:val="auto"/>
        </w:rPr>
      </w:pPr>
      <w:r>
        <w:rPr>
          <w:rFonts w:ascii="Arial" w:cs="Arial" w:eastAsia="Arial" w:hAnsi="Arial"/>
          <w:sz w:val="16"/>
          <w:szCs w:val="16"/>
          <w:color w:val="auto"/>
        </w:rPr>
        <w:t>Typically, a generic product may not be marketed until the expiration of applicable patent(s) on the corresponding branded product unless a resolution of patent litigation results in an earlier opportunity to enter the market. For additional detail, see “Governmental Regulation.” However, our generics portfolio also contains certain authorized generics, which are generic versions of branded products licensed by brand drug companies under an NDA and marketed as generics. Authorized generics do not face the same regulatory barriers to introduction and are not prohibited from sale during the 180-day marketing exclusivity period granted to the first-to-file ANDA applicant. From time to time, our authorized generics have included generic versions of our branded products. We also aim to be a partner of choice to large companies seeking authorized generic distributors for their branded products. For example, in January 2021, we launched lubiprostone capsules (the authorized generic of Mallinckrodt plc’s Amitiza</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International Pharmaceuticals segment includes a variety of specialty pharmaceutical products, including over-the-counter (OTC) products, sold outside the U.S., primarily in Canada through our operating company Paladin Labs Inc. (Paladin).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Development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XIAFLEX</w:t>
      </w:r>
      <w:r>
        <w:rPr>
          <w:rFonts w:ascii="Arial" w:cs="Arial" w:eastAsia="Arial" w:hAnsi="Arial"/>
          <w:sz w:val="23"/>
          <w:szCs w:val="23"/>
          <w:b w:val="1"/>
          <w:bCs w:val="1"/>
          <w:i w:val="1"/>
          <w:iCs w:val="1"/>
          <w:color w:val="auto"/>
          <w:vertAlign w:val="superscript"/>
        </w:rPr>
        <w:t>®</w:t>
      </w:r>
    </w:p>
    <w:p>
      <w:pPr>
        <w:spacing w:after="0" w:line="60" w:lineRule="exact"/>
        <w:rPr>
          <w:sz w:val="20"/>
          <w:szCs w:val="20"/>
          <w:color w:val="auto"/>
        </w:rPr>
      </w:pPr>
    </w:p>
    <w:p>
      <w:pPr>
        <w:ind w:right="40" w:firstLine="486"/>
        <w:spacing w:after="0" w:line="218" w:lineRule="auto"/>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currently approved by the FDA and marketed in the U.S. for the treatment of both DC and PD (two separate indications). In early 2020, we announced that we had initiated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 for the treatment of plantar fibromatosis, for which we anticipate Phase 2 top-line data by the end of the first quarter of 2023. We also initiated a proof-of-concept study in plantar fasciitis during the fourth quarter of 2022. We may in the future develop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for potential additional indications, advancing our strategy of developing non-surgical orthopedic care interventions.</w:t>
      </w:r>
    </w:p>
    <w:p>
      <w:pPr>
        <w:spacing w:after="0" w:line="9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As further described in Note 12. License, Collaboration and Asset Acquisition Agreements in the Consolidated Financial Statements included in Part IV, Item 15 of this report, we completed our acquisition of BioSpecifics Technologies Corp., a Delaware corporation and a commercial-stage biopharmaceutical company (BioSpecifics) in December 2020.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Subsequent to the acquisition, BioSpecifics became our wholly-owned consolidated subsidiary.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TLC599</w:t>
      </w:r>
    </w:p>
    <w:p>
      <w:pPr>
        <w:spacing w:after="0" w:line="11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In June 2022, we announced that our subsidiary had entered into an agreement with Taiwan Liposome Company, Ltd. (TLC) to commercialize TLC599. TLC599 is an injectable compound in Phase 3 development for the treatment of osteoarthritis knee pain.</w:t>
      </w:r>
    </w:p>
    <w:p>
      <w:pPr>
        <w:spacing w:after="0" w:line="6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September 2022, we were informed by TLC of the top-line results from TLC’s Phase 3 clinical study to evaluate the efficacy and safety of TLC599 in patients with pain from osteoarthritis of the knee. While study participants treated with TLC599 showed improvement on the primary endpoint (change from baseline to week 12 on the WOMAC pain scale) consistent with the level of improvement reported in the previously conducted TLC599 Phase 2 clinical study, the difference compared to those receiving placebo was not statistically significant. Based on these data, we are evaluating options for TLC599 with TLC.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remaining pipeline consists mainly of a variety of product candidates in our Sterile Injectables and Generic Pharmaceuticals segments. As of December 31, 2022, within these two segments, we were actively pursuing approximately 70 product candidates, including: (i) approximately 30 ANDAs pending with the FDA, of which approximately 40% are associated with our Sterile Injectables segment, as well as (ii) approximately 40 additional projects in development, of which approximately 90% are associated with our Sterile Injectables segment, including RTU and other more differentiated product candidates.</w:t>
      </w:r>
    </w:p>
    <w:p>
      <w:pPr>
        <w:spacing w:after="0" w:line="80" w:lineRule="exact"/>
        <w:rPr>
          <w:sz w:val="20"/>
          <w:szCs w:val="20"/>
          <w:color w:val="auto"/>
        </w:rPr>
      </w:pPr>
    </w:p>
    <w:p>
      <w:pPr>
        <w:ind w:right="780" w:firstLine="486"/>
        <w:spacing w:after="0" w:line="311" w:lineRule="auto"/>
        <w:rPr>
          <w:sz w:val="20"/>
          <w:szCs w:val="20"/>
          <w:color w:val="auto"/>
        </w:rPr>
      </w:pPr>
      <w:r>
        <w:rPr>
          <w:rFonts w:ascii="Arial" w:cs="Arial" w:eastAsia="Arial" w:hAnsi="Arial"/>
          <w:sz w:val="16"/>
          <w:szCs w:val="16"/>
          <w:color w:val="auto"/>
        </w:rPr>
        <w:t>We expect to continue to focus investments in RTU and other product candidates in our Sterile Injectables segment, potentially including acquisitions and/or license and commercialization agreements such as the 2022 Nevakar Agreement that is further described in Note 12. License, Collaboration and Asset Acquisition Agreements in the Consolidated Financial Statements included in Part IV, Item 15 of this report.</w:t>
      </w:r>
    </w:p>
    <w:p>
      <w:pPr>
        <w:spacing w:after="0" w:line="4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primary approach to developing generic products for these two segments is to target high-barrier-to-entry product opportunities, including first-to-file or first-to-market opportunities that are difficult to formulate or manufacture or face complex legal and regulatory challenges as well as products that meet the evolving needs of hospitals and health systems.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injectable products with inherent scientific, regulatory, legal and technical complexities, as well as developing other dosage forms and technologies.</w:t>
      </w:r>
    </w:p>
    <w:p>
      <w:pPr>
        <w:spacing w:after="0" w:line="7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periodically review our development projects in order to better direct investment toward those opportunities that we expect will deliver the greatest returns. This process can lead to decisions to discontinue certain R&amp;D projects that may reduce the number of products in our previously reported pipeline.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managed care organizations (MCOs). Our current customer group reflects significant consolidation in recent years, marked by mergers and acquisitions and other alliances. Net revenues from direct customers that accounted for 10% or more of our total consolidated net revenues during the years ended December 31, 2022, 2021 and 2020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6"/>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p>
      <w:pPr>
        <w:spacing w:after="0" w:line="117"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Some wholesalers and distributors have required pharmaceutical manufacturers, including us, to enter into distribution service agreements (DSAs) pursuant to which the wholesalers and distributors provide pharmaceutical manufacturers with certain services as well as certain information including, without limitation, periodic retail demand information, current inventory levels and other information. We have entered into certain of these agreements.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Products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branded products compete with products manufactured by many other companies in highly competitive markets.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compete principally through targeted product development and through our acquisition and in-licensing strategies, where we face intense competition as a result of the limited number of assets available and the number of competitors bidding on such assets. In addition to product development and acquisitions, other competitive factors with respect to branded products include product efficacy, safety, ease of use, price, demonstrated cost-effectiveness, marketing effectiveness, service, reputation and access to technical information.</w:t>
      </w:r>
    </w:p>
    <w:p>
      <w:pPr>
        <w:spacing w:after="0" w:line="7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Branded products often must compete with therapeutically similar branded or generic products or with generic equivalents. Such competition frequently increases over time. For example, if competitors introduce new products, delivery systems or processes with therapeutic or cost advantages, our products could be subject to progressive price reductions and/or decreased volume of sales. To successfully compete for business, we must often demonstrate that our products offer not only medical benefits, but also cost advantages as compared with other forms of care. Accordingly, we face pressure to continually seek out technological innovations and to market our products effectively.</w:t>
      </w:r>
    </w:p>
    <w:p>
      <w:pPr>
        <w:spacing w:after="0" w:line="68"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Manufacturers of generic products typically invest far less in R&amp;D than research-based companies and can therefore price their products significantly lower than branded products. Accordingly, when a branded product loses its market exclusivity, it normally faces intense price competition from generic forms of the product. Due to lower prices, generic versions, where available, may be substituted by pharmacies or required in preference to branded versions under third-party reimbursement programs.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Branded Pharmaceuticals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This segment’s major competitors, including Viatris Inc. (Viatris), Jazz Pharmaceuticals plc, Takeda Pharmaceutical Company Limited and Horizon Therapeutics Public Limited Company, among others, vary depending on therapeutic and product category, dosage strength and drug-delivery systems, among other factors.</w:t>
      </w:r>
    </w:p>
    <w:p>
      <w:pPr>
        <w:spacing w:after="0" w:line="70" w:lineRule="exact"/>
        <w:rPr>
          <w:sz w:val="20"/>
          <w:szCs w:val="20"/>
          <w:color w:val="auto"/>
        </w:rPr>
      </w:pPr>
    </w:p>
    <w:p>
      <w:pPr>
        <w:ind w:right="60" w:firstLine="486"/>
        <w:spacing w:after="0" w:line="229" w:lineRule="auto"/>
        <w:rPr>
          <w:sz w:val="20"/>
          <w:szCs w:val="20"/>
          <w:color w:val="auto"/>
        </w:rPr>
      </w:pPr>
      <w:r>
        <w:rPr>
          <w:rFonts w:ascii="Arial" w:cs="Arial" w:eastAsia="Arial" w:hAnsi="Arial"/>
          <w:sz w:val="18"/>
          <w:szCs w:val="18"/>
          <w:color w:val="auto"/>
        </w:rPr>
        <w:t>Several of this segment’s products, such as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face generic and/or other forms of competition. The degree of generic and/or other competition facing this segment could increase in the future.</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Sterile Injectables</w:t>
      </w:r>
    </w:p>
    <w:p>
      <w:pPr>
        <w:spacing w:after="0" w:line="117"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This segment’s major competitors, including Hospira, Inc. (a subsidiary of Pfizer Inc.), Fresenius Kabi USA, LLC, Viatris, Amphastar Pharmaceuticals, Inc., Amneal Pharmaceuticals, Inc. (Amneal), Hikma Pharmaceuticals PLC, Sandoz and Eagle Pharmaceuticals, Inc. (Eagle), among others, vary by product. A significant portion of our sales, including sales to hospitals, clinics and long-term care facilities in the U.S., are controlled by a relatively small number of GPOs, including HealthTrust Purchasing Group, L.P., Premier Inc. and Vizient, Inc. Accordingly, it is important for us to have strong relationships with these GPOs and achieve on-time product launches in order to secure new bid opportunities.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140" w:firstLine="486"/>
        <w:spacing w:after="0" w:line="224" w:lineRule="auto"/>
        <w:rPr>
          <w:sz w:val="20"/>
          <w:szCs w:val="20"/>
          <w:color w:val="auto"/>
        </w:rPr>
      </w:pPr>
      <w:r>
        <w:rPr>
          <w:rFonts w:ascii="Arial" w:cs="Arial" w:eastAsia="Arial" w:hAnsi="Arial"/>
          <w:sz w:val="18"/>
          <w:szCs w:val="18"/>
          <w:color w:val="auto"/>
        </w:rPr>
        <w:t>This segment’s products, including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ADRENALIN</w:t>
      </w:r>
      <w:r>
        <w:rPr>
          <w:rFonts w:ascii="Arial" w:cs="Arial" w:eastAsia="Arial" w:hAnsi="Arial"/>
          <w:sz w:val="23"/>
          <w:szCs w:val="23"/>
          <w:color w:val="auto"/>
          <w:vertAlign w:val="superscript"/>
        </w:rPr>
        <w:t>®</w:t>
      </w:r>
      <w:r>
        <w:rPr>
          <w:rFonts w:ascii="Arial" w:cs="Arial" w:eastAsia="Arial" w:hAnsi="Arial"/>
          <w:sz w:val="18"/>
          <w:szCs w:val="18"/>
          <w:color w:val="auto"/>
        </w:rPr>
        <w:t>, face generic and/or other forms of competition. During the first quarter of 2022, multiple competitive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 degree of generic and/or other competition facing this segment is expected to increase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Products</w:t>
      </w:r>
    </w:p>
    <w:p>
      <w:pPr>
        <w:spacing w:after="0" w:line="11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Generic products generally face intense competition from branded equivalents, other generic equivalents (including authorized generics) and therapeutically similar branded or generic products. Our major competitors, including Teva Pharmaceutical Industries Limited, Viatris, Sandoz, Aurobindo Pharma Limited and Amneal, among others, vary by product.</w:t>
      </w:r>
    </w:p>
    <w:p>
      <w:pPr>
        <w:spacing w:after="0" w:line="7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Consolidations of our customer base described above under the heading “Major Customers”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53"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Newly introduced generic products with limited or no other generic competition typically garner higher prices relative to commoditized generic products. As such, our primary strategy is to compete with a focus on high-value, first-to-file or first-to-market opportunities, regardless of therapeutic category, and products that present significant barriers to entry for reasons such as complex formulation or regulatory or legal challenges. For additional detail, see “Our Competitive Strengths - Optimizing our portfolios to focus on differentiated products.”</w:t>
      </w:r>
    </w:p>
    <w:p>
      <w:pPr>
        <w:spacing w:after="0" w:line="63"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Even if we are successful in launching generic products with statutory generic exclusivity, competitors may enter the market when such exclusivity periods expire, resulting in significant price declines. Consequently, the success of our generics efforts depends on our continuing ability to select, develop, procure regulatory approvals of, overcome legal challenges to, launch and commercialize new generic products in a timely and cost efficient manner and to maintain efficient, high quality manufacturing capabilities. For additional detail, see “Our Competitive Strengths - Operational excellence.”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Although our business is affected by the purchasing patterns and concentration of our customers, our business is not materially impacted by seasonality.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Licenses and Proprietary Property</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a portfolio of patents and patent applications owned or licensed by us that cover aspects of our products. These patents and applications generally include claims directed to the compounds and/or methods of using the compounds, formulations of the compounds, pharmaceutical salt forms of the compounds or methods of manufacturing the compounds. Our policy is to pursue patent applications on inventions that we believe are commercially important to the development and growth of our business.</w:t>
      </w:r>
    </w:p>
    <w:p>
      <w:pPr>
        <w:spacing w:after="0" w:line="70"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Certain patents relating to products that are the subject of approved NDAs are listed in the FDA publication, “Approved Drug Products with Therapeutic Equivalence Evaluations” (Orange Book). The Orange Book does not include a listing of patents related to biological products approved pursuant to a BLA. Included below is information about certain products for which we own or license a BLA along with the date of expiration of certain relevant patents or regulatory exclusivity. In addition, we may have other relevant regulatory protection or patents that may extend beyond the expiration dates provided below.</w:t>
      </w:r>
    </w:p>
    <w:p>
      <w:pPr>
        <w:spacing w:after="0" w:line="80" w:lineRule="exact"/>
        <w:rPr>
          <w:sz w:val="20"/>
          <w:szCs w:val="20"/>
          <w:color w:val="auto"/>
        </w:rPr>
      </w:pPr>
    </w:p>
    <w:p>
      <w:pPr>
        <w:ind w:right="40" w:firstLine="486"/>
        <w:spacing w:after="0"/>
        <w:rPr>
          <w:sz w:val="20"/>
          <w:szCs w:val="20"/>
          <w:color w:val="auto"/>
        </w:rPr>
      </w:pPr>
      <w:r>
        <w:rPr>
          <w:rFonts w:ascii="Arial" w:cs="Arial" w:eastAsia="Arial" w:hAnsi="Arial"/>
          <w:sz w:val="18"/>
          <w:szCs w:val="18"/>
          <w:color w:val="auto"/>
        </w:rPr>
        <w:t>As of February 27, 2023, we held approximately: 152 U.S. issued patents, 45 U.S. patent applications pending, 427 foreign issued patents and 119 foreign patent applications pending. In addition, as of February 27, 2023, we had licenses for approximately 73 U.S. issued patents, 14 U.S. patent applications pending, 167 foreign issued patents and 83 foreign patent applications pending. We are seeking additional patent protection for several products,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We may also obtain further patents or additional regulatory or patent exclusivity for one or more indications for any of our products in the future.</w:t>
      </w:r>
    </w:p>
    <w:p>
      <w:pPr>
        <w:spacing w:after="0" w:line="90" w:lineRule="exact"/>
        <w:rPr>
          <w:sz w:val="20"/>
          <w:szCs w:val="20"/>
          <w:color w:val="auto"/>
        </w:rPr>
      </w:pPr>
    </w:p>
    <w:p>
      <w:pPr>
        <w:ind w:right="420" w:firstLine="486"/>
        <w:spacing w:after="0" w:line="236" w:lineRule="auto"/>
        <w:rPr>
          <w:sz w:val="20"/>
          <w:szCs w:val="20"/>
          <w:color w:val="auto"/>
        </w:rPr>
      </w:pPr>
      <w:r>
        <w:rPr>
          <w:rFonts w:ascii="Arial" w:cs="Arial" w:eastAsia="Arial" w:hAnsi="Arial"/>
          <w:sz w:val="18"/>
          <w:szCs w:val="18"/>
          <w:color w:val="auto"/>
        </w:rPr>
        <w:t>Our products are subject to different patent expiration dates. For example, our patents related to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expire in 2024, our patents related to AVEED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 in 2027 and our patents related to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 in 2035.</w:t>
      </w:r>
    </w:p>
    <w:p>
      <w:pPr>
        <w:spacing w:after="0" w:line="20" w:lineRule="exact"/>
        <w:rPr>
          <w:sz w:val="20"/>
          <w:szCs w:val="20"/>
          <w:color w:val="auto"/>
        </w:rPr>
      </w:pPr>
    </w:p>
    <w:p>
      <w:pPr>
        <w:jc w:val="both"/>
        <w:ind w:right="80" w:firstLine="486"/>
        <w:spacing w:after="0" w:line="236" w:lineRule="auto"/>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biological product. We own or have licensed rights to patents and patent applications related to XIAFLEX</w:t>
      </w:r>
      <w:r>
        <w:rPr>
          <w:rFonts w:ascii="Arial" w:cs="Arial" w:eastAsia="Arial" w:hAnsi="Arial"/>
          <w:sz w:val="23"/>
          <w:szCs w:val="23"/>
          <w:color w:val="auto"/>
          <w:vertAlign w:val="superscript"/>
        </w:rPr>
        <w:t>®</w:t>
      </w:r>
      <w:r>
        <w:rPr>
          <w:rFonts w:ascii="Arial" w:cs="Arial" w:eastAsia="Arial" w:hAnsi="Arial"/>
          <w:sz w:val="18"/>
          <w:szCs w:val="18"/>
          <w:color w:val="auto"/>
        </w:rPr>
        <w:t>, including drug product and methods of manufacture patents and patent applications that will expire into the late 2030s and methods of use patents and patent applications for uses such as plantar fibromatosis that will expire into the late 2030s/early 2040s.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patents provide protection by allowing us to exclude others from making, using, selling, offering for sale or importing that which is covered by the patent claims. When patent protection is not feasible, we may rely on trade secrets, non-patented proprietary know-how or continuing technological innovation. Many of our products are sold under trademarks. We also rely on confidentiality agreements with our employees, consultants and other parties to protect, among other things, trade secrets and other proprietary information.</w:t>
      </w:r>
    </w:p>
    <w:p>
      <w:pPr>
        <w:spacing w:after="0" w:line="79" w:lineRule="exact"/>
        <w:rPr>
          <w:sz w:val="20"/>
          <w:szCs w:val="20"/>
          <w:color w:val="auto"/>
        </w:rPr>
      </w:pPr>
    </w:p>
    <w:p>
      <w:pPr>
        <w:ind w:right="60" w:firstLine="486"/>
        <w:spacing w:after="0" w:line="280" w:lineRule="auto"/>
        <w:rPr>
          <w:sz w:val="20"/>
          <w:szCs w:val="20"/>
          <w:color w:val="auto"/>
        </w:rPr>
      </w:pPr>
      <w:r>
        <w:rPr>
          <w:rFonts w:ascii="Arial" w:cs="Arial" w:eastAsia="Arial" w:hAnsi="Arial"/>
          <w:sz w:val="16"/>
          <w:szCs w:val="16"/>
          <w:color w:val="auto"/>
        </w:rPr>
        <w:t>There can be no assurance that our patents, licenses or other intellectual property rights will afford us protection from competition. For example, in August 2021, the U.S. District Court for the District of Delaware held that Eagle’s proposed vasopressin product did not infringe our asserted patent claims related to VASOSTRICT</w:t>
      </w:r>
      <w:r>
        <w:rPr>
          <w:rFonts w:ascii="Arial" w:cs="Arial" w:eastAsia="Arial" w:hAnsi="Arial"/>
          <w:sz w:val="20"/>
          <w:szCs w:val="20"/>
          <w:color w:val="auto"/>
          <w:vertAlign w:val="superscript"/>
        </w:rPr>
        <w:t>®</w:t>
      </w:r>
      <w:r>
        <w:rPr>
          <w:rFonts w:ascii="Arial" w:cs="Arial" w:eastAsia="Arial" w:hAnsi="Arial"/>
          <w:sz w:val="16"/>
          <w:szCs w:val="16"/>
          <w:color w:val="auto"/>
        </w:rPr>
        <w:t>. The expiration of a basic product patent or loss of patent protection resulting from a legal challenge typically results in significant competition from generic products or biosimilars against the originally patented product and can result in a significant reduction in revenues for that product in a very short period of time that may never be reversed. In some cases, however, it is possible to obtain commercial benefits from product manufacturing trade secrets, patents on uses for products, patents on processes and intermediates for the economical manufacture of the active ingredients or patents for special formulations of the product or delivery mechanisms. There can also be no assurance that our confidentiality agreements will not be breached, that we will have adequate remedies for any breach, that others will not independently develop equivalent proprietary information or that other third parties will not otherwise gain access to our trade secrets and other intellectual property.</w:t>
      </w:r>
    </w:p>
    <w:p>
      <w:pPr>
        <w:spacing w:after="0" w:line="6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Additionally, any pending or future patent applications made by us or our subsidiaries, our license partners or entities we may acquire in the future are subject to risks and uncertainties. The coverage claimed in any such patent applications could be significantly reduced before the patent is issued and there can be no assurance that any such applications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certain U.S. patent applications are not disclosed until the patents are issued, and since publication of discoveries in the scientific or patent literature often lags behind actual discoveries, we cannot be certain of the priority of inventions covered by pending patent applications. Moreover, we may have to participate in interference and other inter-parties proceedings declared by the U.S. Patent and Trademark Office (PTO) to determine priority of invention, or in opposition proceedings in a foreign patent office, either of which could result in substantial cost to us, even if the eventual outcome is favorable to us. There can be no assurance that any patents, if issued, will be held valid by a court of competent jurisdiction. An adverse outcome could subject us to significant liabilities to third parties, require disputed rights to be licensed from third parties or require us to cease using such technology. See Item 1A. Risk Factors - “Our ability to protect and maintain our proprietary and licensed third-party technology, which is vital to our business, is uncertain.”</w:t>
      </w:r>
    </w:p>
    <w:p>
      <w:pPr>
        <w:spacing w:after="0" w:line="7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may find it necessary to initiate litigation to enforce our patent rights, to protect our intellectual property or trade secrets or to determine the scope and validity of the proprietary rights of others. However, litigation is costly and time-consuming and there can be no assurance that we will prevail. Any successful challenges to our intellectual property rights may result in a significant loss of revenue. See Note 16. Commitments and Contingencies in the Consolidated Financial Statements included in Part IV, Item 15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and U.S. Drug Enforcement Administration (DEA)</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pharmaceutical industry in the U.S. is subject to extensive and rigorous government regulation. The U.S. Federal Food, Drug, and Cosmetic Act (FFDCA), the U.S. Controlled Substances Act (CSA) and other federal and state statutes and regulations govern or influence the testing, manufacturing, packaging, labeling, storage, recordkeeping, approval, advertising, promotion, sale and distribution of pharmaceutical products. Noncompliance with applicable requirements can result in criminal prosecution, fines, civil penalties, recall or seizure of products, total or partial suspension of production and/or distribution, injunctions and refusal of the government to enter into supply contracts or to approve NDAs, ANDAs, BLAs and/or other similar applications.</w:t>
      </w:r>
    </w:p>
    <w:p>
      <w:pPr>
        <w:spacing w:after="0" w:line="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FDA approval is typically required before any new pharmaceutical or biologic product can be marketed. An NDA or BLA is a filing submitted to the FDA to obtain approval of new chemical entities and other innovations for which thorough applied research is required to demonstrate safety and effectiveness in use. The process generally involves, among other things:</w:t>
      </w:r>
    </w:p>
    <w:p>
      <w:pPr>
        <w:spacing w:after="0" w:line="3" w:lineRule="exact"/>
        <w:rPr>
          <w:sz w:val="20"/>
          <w:szCs w:val="20"/>
          <w:color w:val="auto"/>
        </w:rPr>
      </w:pPr>
    </w:p>
    <w:p>
      <w:pPr>
        <w:ind w:left="900" w:right="540" w:hanging="244"/>
        <w:spacing w:after="0" w:line="250"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and formulation studies in compliance with the FDA’s Good Laboratory Practice regulations;</w:t>
      </w:r>
    </w:p>
    <w:p>
      <w:pPr>
        <w:ind w:left="900" w:right="440" w:hanging="244"/>
        <w:spacing w:after="0" w:line="250"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 in the U.S.;</w:t>
      </w: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before each trial may be initiated and continuing review during the trial;</w:t>
      </w:r>
    </w:p>
    <w:p>
      <w:pPr>
        <w:spacing w:after="0" w:line="9" w:lineRule="exact"/>
        <w:rPr>
          <w:rFonts w:ascii="Arial" w:cs="Arial" w:eastAsia="Arial" w:hAnsi="Arial"/>
          <w:sz w:val="18"/>
          <w:szCs w:val="18"/>
          <w:color w:val="auto"/>
        </w:rPr>
      </w:pPr>
    </w:p>
    <w:p>
      <w:pPr>
        <w:ind w:left="900" w:right="540" w:hanging="244"/>
        <w:spacing w:after="0" w:line="250"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human clinical trials, including adequate and well-controlled clinical trials in accordance with good clinical practice, the protocol and the IND to establish the safety and efficacy of the proposed product for each intended use;</w:t>
      </w:r>
    </w:p>
    <w:p>
      <w:pPr>
        <w:ind w:left="900" w:hanging="244"/>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NDA or BLA for marketing approval, which must include data from preclinical testing and clinical trials;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340" w:hanging="244"/>
        <w:spacing w:after="0" w:line="254"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product’s manufacturing processes and facility or facilities to assess compliance with the FDA’s current Good Manufacturing Practice (cGMP) regulations and/or review of the Chemistry, Manufacturing and Controls section of the NDA or BLA to assess whether the facilities, methods and controls are adequate to preserve the proposed product’s identity, strength, quality, purity and potency;</w:t>
      </w:r>
    </w:p>
    <w:p>
      <w:pPr>
        <w:spacing w:after="0" w:line="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 for FDA review of an NDA or BLA unless a fee waiver applies;</w:t>
      </w:r>
    </w:p>
    <w:p>
      <w:pPr>
        <w:spacing w:after="0" w:line="9" w:lineRule="exact"/>
        <w:rPr>
          <w:rFonts w:ascii="Arial" w:cs="Arial" w:eastAsia="Arial" w:hAnsi="Arial"/>
          <w:sz w:val="18"/>
          <w:szCs w:val="18"/>
          <w:color w:val="auto"/>
        </w:rPr>
      </w:pPr>
    </w:p>
    <w:p>
      <w:pPr>
        <w:ind w:left="900" w:right="740" w:hanging="244"/>
        <w:spacing w:after="0" w:line="250"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 with the FDA on the final labeling for the product and the design and implementation of any required Risk Evaluation and Mitigation Strategy (REMS);</w:t>
      </w: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the FDA of the NDA or BLA.</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Clinical trials are typically conducted in three sequential phases, although the phases may overlap or be combined. Those phases include:</w:t>
      </w:r>
    </w:p>
    <w:p>
      <w:pPr>
        <w:spacing w:after="0" w:line="35" w:lineRule="exact"/>
        <w:rPr>
          <w:sz w:val="20"/>
          <w:szCs w:val="20"/>
          <w:color w:val="auto"/>
        </w:rPr>
      </w:pPr>
    </w:p>
    <w:p>
      <w:pPr>
        <w:ind w:left="900" w:right="20" w:hanging="244"/>
        <w:spacing w:after="0" w:line="250"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1 trials generally involve testing the product for safety, adverse effects, dosage, tolerance, absorption, distribution, metabolism, excretion and other elements of clinical pharmacology.</w:t>
      </w:r>
    </w:p>
    <w:p>
      <w:pPr>
        <w:ind w:left="900" w:right="100" w:hanging="244"/>
        <w:spacing w:after="0" w:line="250"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2 trials typically involve a small sample of the intended patient population to assess the efficacy of the compound for a specific indication, to determine dose tolerance and the optimal dose range and to gather additional information relating to safety and potential adverse effects.</w:t>
      </w:r>
    </w:p>
    <w:p>
      <w:pPr>
        <w:spacing w:after="0" w:line="1" w:lineRule="exact"/>
        <w:rPr>
          <w:rFonts w:ascii="Arial" w:cs="Arial" w:eastAsia="Arial" w:hAnsi="Arial"/>
          <w:sz w:val="18"/>
          <w:szCs w:val="18"/>
          <w:color w:val="auto"/>
        </w:rPr>
      </w:pPr>
    </w:p>
    <w:p>
      <w:pPr>
        <w:ind w:left="900" w:right="80" w:hanging="244"/>
        <w:spacing w:after="0" w:line="260"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3 trials are undertaken in an expanded patient population, typically at dispersed study sites, in order to determine the overall risk-benefit ratio of the compound and to provide an adequate basis for product labeling.</w:t>
      </w:r>
    </w:p>
    <w:p>
      <w:pPr>
        <w:spacing w:after="0" w:line="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Each trial is conducted in accordance with certain standards under protocols that detail the objectives of the study, the parameters to be used to monitor safety and the efficacy criteria to be evaluated. Each protocol must be submitted to the FDA as part of the IND. Clinical trials, clinical investigators and the trial sponsor are also subject to regulatory inspections by the FDA and other regulatory authorities to confirm compliance with applicable regulatory standards. The process of completing clinical trials for a new product may take many years and require the expenditures of substantial resources.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70"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As a condition of approval of an NDA or BLA, the FDA may require further studies, including Phase 4 post-marketing studies or post-marketing data reporting, such as evaluating known or signaled safety risks. Results of post-marketing programs may limit or expand the future marketing of the products and result in the FDA requiring labeling changes, including the addition of risk information.</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 some products, the FDA may require a REMS to confirm that a drug’s benefits outweigh its risks. REMS could include medication guides, physician communication plans or other elements.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7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most instances, FDA approval of an ANDA is required before a generic equivalent of an existing or reference-listed drug can be marketed. The ANDA process is abbreviated in that the FDA waives the requirement of conducting complete preclinical and clinical studies and generally instead relies principally on bioequivalence studies. Bioequivalence generally involves a comparison of the rate of absorption and levels of concentration of a generic product in the body with those of the previously approved product. When the rate and extent of absorption of systemically acting test and reference drugs are considered the same under the bioequivalence requirement, the two products are considered bioequivalent and are generally regarded as therapeutically equivalent (so long as the products also have the same active ingredient(s), strength/concentration, dosage form and route of administration), meaning that a pharmacist can substitute the generic product for the reference-listed drug. Under certain circumstances, an ANDA may also be submitted for a product authorized by approval of an ANDA suitability petition. Such petitions may be submitted to secure authorization to file an ANDA for a product that differs from a previously approved product in active ingredient, route of administration, dosage form or strength. In September 2007 and July 2012, the U.S. Congress re-authorized pediatric testing legislation, which now requires ANDAs approved via the suitability petition route to conduct pediatric testing. The timing of final FDA approval of an ANDA application depends on a variety of factors, including whether the applicant challenges any listed patents for the reference-listed drug and whether the manufacturer of the reference-listed drug is entitled to one or more statutory exclusivity periods during which the FDA is prohibited from finally approving generic products. In certain circumstances, a regulatory exclusivity period can extend beyond the life of a patent, thus blocking ANDAs from being approved even after the patent expiration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Certain of our products are or could become regulated and marketed as biologic products pursuant to BLAs. Our BLA-licensed products were licensed based on a determination by the FDA of safety, purity and potency as required under the U.S. Public Health Service Act (PHSA). Although the ANDA framework referenced above does not apply to generics of BLA-licensed biologics, there is an abbreviated licensure pathway for products deemed to be biosimilar to, or interchangeable with, FDA-licensed reference biological products pursuant to the U.S. Biologics Price Competition and Innovation Act of 2009 (BPCIA). The BPCIA framework was enacted as part of the U.S. Patient Protection and Affordable Care Act (PPACA). Under the BPCIA, following the expiration of a 12-year reference exclusivity period, the FDA may license, under section 351(k) of the PHSA, a biological product that it determines is biosimilar to, or interchangeable with, a reference product licensed under section 351(a) of the PHSA.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spacing w:after="0" w:line="8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Some pharmaceutical products are available in the U.S. that are not the subject of an FDA-approved NDA. In 2011, the FDA’s Center for Drug Evaluation and Research (CDER) Office of Compliance modified its enforcement policy with regard to the marketing of such “unapproved” marketed products (the Unapproved Drug Initiative). Under CDER’s revised guidance, the FDA encourages manufacturers to obtain NDA approvals for such products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product shortage. Depending on the length of the grace period and the time it takes for subsequent applications to be approved, this may result in a period of de facto market exclusivity to the first manufacturer that has obtained an approved NDA for the previously unapproved marketed product. In November 2020, the U.S. Department of Health and Human Services (HHS) announced that it was withdrawing its Unapproved Drugs Compliance Policy Guidance and terminating the Unapproved Drug Initiative described above. However, in May 2021, HHS withdrew the November 2020 termination notice and stated that the FDA would issue new guidance on its enforcement priorities for unapproved marketed products.</w:t>
      </w:r>
    </w:p>
    <w:p>
      <w:pPr>
        <w:spacing w:after="0" w:line="7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OTC products may, depending on ingredients and proposed label claims, be marketed pursuant to the OTC monograph process or could require NDA or ANDA approval. The OTC monograph process allows for OTC products to be marketed without pre-market approval and generally does not require clinical studies. The U.S. Over-the-Counter Monograph Safety, Innovation, and Reform Act, enacted on March 27, 2020, modified this process by introducing administrative orders as a replacement to rulemaking for the development of OTC monographs.</w:t>
      </w:r>
    </w:p>
    <w:p>
      <w:pPr>
        <w:spacing w:after="0" w:line="6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Laws and regulations impacting the pharmaceutical industry are constantly evolving. For example, the U.S. 21st Century Cures Act (Cures Act), which was signed into law on December 13, 2016, includes various provisions to accelerate the development and delivery of new treatments, such as those intended to expand the types of evidence manufacturers may submit to support FDA approval, to encourage patient-centered product development, to liberalize the communication of healthcare economic information to payers and to create greater transparency with regard to manufacturer expanded access programs. Central to the Cures Act are provisions that enhance and accelerate the FDA’s processes for reviewing and approving new products and supplements to approved NDAs. The Cures Act also included $1 billion in new funding to states to supplement opioid abuse prevention and treatment activities.</w:t>
      </w:r>
    </w:p>
    <w:p>
      <w:pPr>
        <w:spacing w:after="0" w:line="8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More recently, in December 2019, the Further Consolidated Appropriations Act, 2020 became law. Section 610 of Division N Title I, titled “</w:t>
      </w:r>
      <w:r>
        <w:rPr>
          <w:rFonts w:ascii="Arial" w:cs="Arial" w:eastAsia="Arial" w:hAnsi="Arial"/>
          <w:sz w:val="17"/>
          <w:szCs w:val="17"/>
          <w:i w:val="1"/>
          <w:iCs w:val="1"/>
          <w:color w:val="auto"/>
        </w:rPr>
        <w:t>Actions</w:t>
      </w:r>
      <w:r>
        <w:rPr>
          <w:rFonts w:ascii="Arial" w:cs="Arial" w:eastAsia="Arial" w:hAnsi="Arial"/>
          <w:sz w:val="17"/>
          <w:szCs w:val="17"/>
          <w:color w:val="auto"/>
        </w:rPr>
        <w:t xml:space="preserve"> </w:t>
      </w:r>
      <w:r>
        <w:rPr>
          <w:rFonts w:ascii="Arial" w:cs="Arial" w:eastAsia="Arial" w:hAnsi="Arial"/>
          <w:sz w:val="17"/>
          <w:szCs w:val="17"/>
          <w:i w:val="1"/>
          <w:iCs w:val="1"/>
          <w:color w:val="auto"/>
        </w:rPr>
        <w:t>for Delays of Generic Drugs and Biological Products</w:t>
      </w:r>
      <w:r>
        <w:rPr>
          <w:rFonts w:ascii="Arial" w:cs="Arial" w:eastAsia="Arial" w:hAnsi="Arial"/>
          <w:sz w:val="17"/>
          <w:szCs w:val="17"/>
          <w:color w:val="auto"/>
        </w:rPr>
        <w:t>,” provides generic (ANDA and 505(b)(2)) and biosimilar developers with a private right of action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sufficient quantities of reference product from the brand manufacturer, or a generic or biosimilar manufacturer, necessary for approval of the developers’ generic or biosimilar product. If a generic or biosimilar developer is successful in its suit, the defendant manufacturer would be required to provide sufficient quantities of product on commercially-reasonable, market-based terms and may be required to pay the developer’s reasonable attorney’s fees and costs as well as financial compensation under certain circumstances. The purpose of section 610 is to promote competition by facilitating the timely entry of lower-cost generic and biosimilar products. In addition, on March 27, 2020, Congress enacted the Coronavirus Aid, Relief, and Economic Security Act (CARES Act) in response to the COVID-19 pandemic. Among other provisions, the CARES Act made a number of changes to the FFDCA aimed at preventing drug shortages. Similarly, the FDA has issued a number of guidance documents describing the agency’s expectations for how drug manufacturers should comply with various FDA requirements during the pandemic, including with respect to conducting clinical trials, distributing drug samples and reporting post-marketing adverse events. Moreover, as a result of the COVID-19 pandemic, there has been increasing political and regulatory scrutiny of foreign-sourced drugs and foreign drug supply chains, resulting in proposed legislative and executive actions, including executive orders, to incentivize or compel drug manufacturing operations to relocate to the 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486"/>
        <w:spacing w:after="0" w:line="291" w:lineRule="auto"/>
        <w:rPr>
          <w:sz w:val="20"/>
          <w:szCs w:val="20"/>
          <w:color w:val="auto"/>
        </w:rPr>
      </w:pPr>
      <w:r>
        <w:rPr>
          <w:rFonts w:ascii="Arial" w:cs="Arial" w:eastAsia="Arial" w:hAnsi="Arial"/>
          <w:sz w:val="16"/>
          <w:szCs w:val="16"/>
          <w:color w:val="auto"/>
        </w:rPr>
        <w:t>A sponsor of an NDA is required to identify, in its application, any patent that claims the drug or a use of the drug subject to the application. Upon NDA approval, the FDA lists these patents in a publication referred to as the Orange Book. Any person that files an ANDA or NDA under Section 505(b)</w:t>
      </w:r>
    </w:p>
    <w:p>
      <w:pPr>
        <w:ind w:right="4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FFDCA referencing the approved drug must make a certification in respect to any listed patents for the reference drug. The FDA may not approve such an ANDA or 505(b)(2) application until expiration of the reference drug’s listed patents unless: (i) the applicant certifies that the listed patents are invalid, unenforceable and/or not infringed by the proposed generic drug and gives notice to the holder of the NDA for the listed drug of the basis upon which the patents are challenged and (ii) the holder of the listed drug does not sue the later applicant for patent infringement within 45 days of receipt of notice. Under the current law, if an infringement suit is filed, the FDA may not approve the later application until the earliest of: (i) 30 months after submission; (ii) entry of an appellate court judgment holding the patent invalid, unenforceable or not infringed; (iii) such time as a court may order; or (iv) expiration of the patent.</w:t>
      </w:r>
    </w:p>
    <w:p>
      <w:pPr>
        <w:spacing w:after="0" w:line="84"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One of the key motivators for challenging patents is the 180-day marketing exclusivity period granted to the developer of a generic version of a product that is the first to have a substantially complete ANDA received for review by the FDA and whose filing includes a certification that a reference product’s listed patent(s) are invalid, unenforceable and/or not infringed (a Paragraph IV certification) and that otherwise does not forfeit eligibility for the exclusivity. Under the U.S. Medicare Prescription Drug, Improvement, and Modernization Act of 2003, with accompanying amendments to the U.S. Drug Price Competition and Patent Term Restoration Act (the Hatch-Waxman Act), this marketing exclusivity would begin to run upon the earlier of the commercial launch of the generic product or upon an appellate court decision in the generic company’s favor or in favor of another ANDA applicant who had filed with a Paragraph IV certification and has tentative approval. In addition, the holder of the NDA for the listed drug may be entitled to certain non-patent exclusivity during which, depending on the type of exclusivity, the FDA either cannot accept or approve an application for a competing ANDA generic product or 505(b)(2) NDA product with the same active moiety. Depending on the exclusivity, the protection may apply to all of the reference drug’s approved conditions of use, or may be limited to a certain condition of use or other protected label information.</w:t>
      </w:r>
    </w:p>
    <w:p>
      <w:pPr>
        <w:spacing w:after="0" w:line="60"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6"/>
          <w:szCs w:val="16"/>
          <w:color w:val="auto"/>
        </w:rPr>
        <w:t>The FDA also regulates pharmacies and outsourcing facilities that prepare “compounded” drugs pursuant to section 503A and 503B of the FFDCA, respectively. For instance, under section 503A of the FFDCA, pharmacies may compound drugs for an identified individual based on the receipt of a valid prescription order, or notation approved by the prescribing practitioner, that a compounded product is necessary for the identified patient. Similarly, under section 503B of the FFDCA, outsourcing facilities may compound drugs and sell them to healthcare providers, but not wholesalers or distributors.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section 503A pharmacies and section 503B outsourcing facilities are subject to many regulatory requirements, compounded drugs are not subject to premarket review by the FDA and, therefore, may not have the same level of safety and efficacy as products subject to premarket review and approval by the FDA. Because they are not subject to premarket review, compounded drugs are frequently lower cost than either branded or generic products.</w:t>
      </w:r>
    </w:p>
    <w:p>
      <w:pPr>
        <w:spacing w:after="0" w:line="4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FDA enforces regulations to require that the methods used in, and the facilities and controls used for, the manufacture, processing, packing and holding of drugs conform to cGMPs. The cGMP regulations the FDA enforces are comprehensive and cover all aspects of manufacturing operations. Compliance with the regulations requires a continuous commitment of time, money and effort in all operational areas.</w:t>
      </w:r>
    </w:p>
    <w:p>
      <w:pPr>
        <w:spacing w:after="0" w:line="5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The FDA conducts pre-approval inspections of facilities engaged in the development, manufacture, processing, packing, testing and holding of the products subject to NDAs and ANDAs and pre-license inspections of facilities engaged in similar activities for biologic products subject to BLAs. In addition, manufacturers of both pharmaceutical products and active pharmaceutical ingredients (APIs) used to formulate such products also ordinarily undergo pre-approval inspections. Failure of any facility to pass a pre-approval inspection will result in delayed approval.</w:t>
      </w:r>
    </w:p>
    <w:p>
      <w:pPr>
        <w:spacing w:after="0" w:line="6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Facilities that manufacture pharmaceutical or biological products must be registered with the FDA and all such products made in such facilities must be manufactured in accordance with the latest cGMP regulations. The FDA conducts periodic inspections of facilities to assess the cGMP status of marketed products. Following such inspections, the FDA could issue a Form 483 Notice of Inspectional Observations, which could require modification to certain activities identified during the inspection. If the FDA were to find serious cGMP non-compliance during such an inspection, it could take regulatory actions. The FDA also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w:t>
      </w:r>
    </w:p>
    <w:p>
      <w:pPr>
        <w:spacing w:after="0" w:line="6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Imported API and other components needed to manufacture our products could be rejected by U.S. Customs. In respect to domestic establishments, the FDA could initiate product seizures or request, or in some instances require, product recalls and seek to enjoin or otherwise limit a product’s manufacture and distribution. In certain circumstances, violations could support civil penalties and criminal prosecutions. In addition, if the FDA concludes that a company is not in compliance with cGMP requirements, sanctions may be imposed that include preventing that company from receiving the necessary licenses to export its products and classifying that company as an unacceptable supplier, thereby disqualifying that company from selling products to federal agencies.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firstLine="486"/>
        <w:spacing w:after="0" w:line="275" w:lineRule="auto"/>
        <w:rPr>
          <w:sz w:val="20"/>
          <w:szCs w:val="20"/>
          <w:color w:val="auto"/>
        </w:rPr>
      </w:pPr>
      <w:r>
        <w:rPr>
          <w:rFonts w:ascii="Arial" w:cs="Arial" w:eastAsia="Arial" w:hAnsi="Arial"/>
          <w:sz w:val="17"/>
          <w:szCs w:val="17"/>
          <w:color w:val="auto"/>
        </w:rPr>
        <w:t>Certain of our subsidiaries sell products that are “controlled substances” as defined in the CSA and implementing regulations, which establish certain security and recordkeeping requirements administered by the DEA. The DEA regulates chemical compounds as Schedule I, II, III, IV or V substances, with Schedule I substances considered to present the highest risk of substance abuse and Schedule V substances the lowest risk. The active ingredients in some of our products are listed by the DEA as Schedule II or III substances under the CSA. Consequently, their manufacture, shipment, storage, sale and use are subject to a high degree of regulation.</w:t>
      </w:r>
    </w:p>
    <w:p>
      <w:pPr>
        <w:spacing w:after="0" w:line="6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DEA limits the availability of the active ingredients that are subject to the CSA used in several of our products as well as the production of these products. We or our contract manufacturing organizations must annually apply to the DEA for procurement and production quotas in order to obtain and produce these substances. As a result, our quotas may not be sufficient to meet commercial demand or complete clinical trials. Moreover, the DEA may adjust these quotas from time to time during the year, although the DEA has substantial discretion in whether or not to make such adjustments. See Item 1A. Risk Factors -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accounting mechanisms and monitoring systems required by the DEA to prevent loss and diversion of controlled substances and to comply with reporting obligations. Failure to maintain compliance can result in enforcement action. The DEA may seek civil penalties, refuse to renew necessary registrations or initiate proceedings to revoke or restrict those registrations or, with the U.S. Department of Justice (DOJ), seek to impose civil penalties. In certain circumstances, violations could result in criminal proceedings.</w:t>
      </w:r>
    </w:p>
    <w:p>
      <w:pPr>
        <w:spacing w:after="0" w:line="70"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October 2018, the U.S. Congress enacted the Substance Use-Disorder Prevention that Promotes Opioid Recovery and Treatment for Patients and Communities Act (H.R. 6). Intended to achieve sweeping reform to combat opioid abuse, H.R. 6, among other provisions, amends related laws administered by the FDA, DEA and the U.S. Centers for Medicare and Medicaid Services (CMS). Among other things, the law: (i) amends requirements related to the FDA’s authority to include packaging requirements in REMS requirements; (ii) increases civil and criminal penalties for manufacturers and distributors for failing to maintain effective controls against diversion of opioids or for failing to report suspicious opioid orders; (iii) requires the DEA to estimate the amount of opioid diversion when establishing manufacturing and procurement quotas; (iv) implements expanded anti-kickback and financial disclosure provisions; and (v) authorizes HHS to implement a demonstration program which would award grants to hospitals and emergency departments to develop, implement, enhance or study alternative pain management protocols and treatments that limit the use and prescription of opioids in emergency departments.</w:t>
      </w:r>
    </w:p>
    <w:p>
      <w:pPr>
        <w:spacing w:after="0" w:line="88"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Individual states also regulate controlled substances and we, as well as our third-party API suppliers and manufacturers, are subject to such regulation by several states with respect to the manufacture and distribution of these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Benefit Programs</w:t>
      </w:r>
    </w:p>
    <w:p>
      <w:pPr>
        <w:spacing w:after="0" w:line="117"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As described further in Item 1A. Risk Factors, statutory and regulatory requirements for government healthcare programs such as Medicaid, Medicare and TRICARE govern access and provider reimbursement levels, and provide for other cost-containment measures such as requiring pharmaceutical companies to pay rebates or refunds for certain sales of products reimbursed by such programs, or subjecting products to certain price ceilings. In addition to the cost-containment measures described in Item 1A. Risk Factors, sales to retail pharmacies under the TRICARE Retail Pharmacy Program are subject to certain price ceilings which require manufacturers to, among other things, pay refunds for prescriptions filled based on the applicable ceiling price limits. Beginning in the first quarter of 2017, pursuant to the Bipartisan Budget Act of 2015, manufacturers are required to pay additional rebates to state Medicaid programs if the prices of their non-innovator products rise at a rate faster than inflation (as continues to be the case for innovator products); this requirement previously existed only as to branded or innovator products and the change in law may impact our business.</w:t>
      </w:r>
    </w:p>
    <w:p>
      <w:pPr>
        <w:spacing w:after="0" w:line="5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federal government may continue to pursue legislation aimed at containing or reducing payment levels for prescription pharmaceuticals paid for in whole or in part with government funds. State governments also may continue to enact similar cost containment or transparency legislation. These efforts could have material consequences for the pharmaceutical industry and the Company. From time to time, legislative changes are made to government healthcare programs that impact our business. The U.S. Congress continues to examine various Medicare and Medicaid policy proposals that may result in a downward pressure on the prices of prescription products in these programs, including, for example, as part of the Inflation Reduction Act of 2022 that was enacted in August 2022. See Item 1A. Risk Factors - “The availability of third-party reimbursement for our products is uncertain, and we may find it difficult to maintain current price levels. Additionally, the market may not accept those products for which third-party reimbursement is not adequately provided.”</w:t>
      </w:r>
    </w:p>
    <w:p>
      <w:pPr>
        <w:spacing w:after="0" w:line="84"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Under the PPACA, pharmaceutical manufacturers of branded prescription products must pay an annual fee to the federal government. Each individual pharmaceutical manufacturer must pay a prorated share of the total industry fee based on the dollar value of its branded prescription product sales to specified federal programs.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PPACA has been subject to court challenges and repeal efforts. For example, the U.S. Tax Cuts and Jobs Act of 2017 (TCJA) repealed the requirement that individuals maintain health insurance coverage or face a penalty (known as the individual mandate). In June 2021, the U.S. Supreme Court held that state and individual plaintiffs did not have standing to challenge the minimum essential coverage provision of the PPACA; in so holding, the U.S. Supreme Court did not consider larger constitutional questions about the validity of this provision or the validity of the PPACA in its entirety. Ongoing efforts to repeal, substantially amend, eliminate or reduce funding for the PPACA may threaten the stability of the insurance marketplace and may have consequences for the coverage and accessibility of prescription drugs. The current administration has taken actions intended to strengthen and build upon the PPACA.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reimbursed by federal healthcare programs, and they also apply to hospitals, physicians and other potential purchasers of our products.</w:t>
      </w:r>
    </w:p>
    <w:p>
      <w:pPr>
        <w:spacing w:after="0" w:line="7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U.S. federal Anti-Kickback Statute (42 U.S.C. § 1320a-7b)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U.S. False Claims Act (FCA), which is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which were amended in 2020. However, the lack of uniform court interpretation of the Anti-Kickback Statute, coupled with novel enforcement theories by government authorities and stayed implementation of certain regulatory changes, make compliance with the law difficult. Violations of the federal Anti-Kickback Statute can result in significant criminal fines, exclusion from participation in Medicare and Medicaid and follow-on civil litigation, among other things, for both entities and individuals.</w:t>
      </w:r>
    </w:p>
    <w:p>
      <w:pPr>
        <w:spacing w:after="0" w:line="7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 xml:space="preserve">The civil FCA and similar state laws impose liability on any person or entity who, among other things, knowingly presents, or causes to be presented, a false or fraudulent claim for payment by a federal healthcare program.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provisions of the FCA and similar state laws allow a private individual to bring civil actions on behalf of the federal or state government and to share in any monetary recovery. The U.S. Federal Physician Payments Sunshine Act and similar state laws impose reporting requirements for various types of payments to physicians and teaching hospitals. Failure to comply with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of the Company regarding vaginal mesh devices previously sold by certain of our operating subsidiaries and investigations and litigation by certain government entities regarding the prior promotional practices of certain of our operating subsidiaries with respect to opioid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Through our international operations, the Company is subject to laws and regulations that differ from those under which the Company operates in the U.S. In most cases, non-U.S. regulatory agencies evaluate and monitor the safety, efficacy and quality of pharmaceutical products, govern the approval of clinical trials and product registrations and regulate pricing and reimbursement. Certain international markets have differing product preferences and requirements and operate in an environment of government-mandated, cost-containment programs, including price controls, such as the Patented Medicine Prices Review Board (PMPRB) in Canada.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Canada, the </w:t>
      </w:r>
      <w:r>
        <w:rPr>
          <w:rFonts w:ascii="Arial" w:cs="Arial" w:eastAsia="Arial" w:hAnsi="Arial"/>
          <w:sz w:val="17"/>
          <w:szCs w:val="17"/>
          <w:i w:val="1"/>
          <w:iCs w:val="1"/>
          <w:color w:val="auto"/>
        </w:rPr>
        <w:t>Regulations Amending the Patented Medicines Regulations (Additional Factors and Information Reporting Requirements)</w:t>
      </w:r>
      <w:r>
        <w:rPr>
          <w:rFonts w:ascii="Arial" w:cs="Arial" w:eastAsia="Arial" w:hAnsi="Arial"/>
          <w:sz w:val="17"/>
          <w:szCs w:val="17"/>
          <w:color w:val="auto"/>
        </w:rPr>
        <w:t xml:space="preserve"> (the Amendments) came into force on July 1, 2022. The Amendments made a number of changes to the regulation of Canadian drug prices by the PMPRB. The PMPRB is an administrative board with a mandate to protect Canadians from excessive pricing of patented medicines. Pharmaceutical manufacturers that are patentees are required to report applicable patents and file sales information so the PMPRB can monitor for excessive pricing as long as the product is considered to be a patented medicine. If it is determined the average price for a patented medicine is too high based on pricing tests developed by the PMPRB, a payment must be made to the PMPRB to offset the excessive revenues that were generated and/or the price of the medicine must be reduced. The PMPRB’s authority to regulate the price of a drug product is linked to patent protection, specifically when there is a patent to an invention that is intended or capable of being used for medicine or for the preparation or production of medicine.</w:t>
      </w:r>
    </w:p>
    <w:p>
      <w:pPr>
        <w:spacing w:after="0" w:line="7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Certain governments have placed restrictions on physician prescription levels and patient reimbursements, emphasized greater use of generic products and enacted across-the-board price cuts as methods of cost control.</w:t>
      </w:r>
    </w:p>
    <w:p>
      <w:pPr>
        <w:spacing w:after="0" w:line="6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Whether or not FDA approval has been obtained for a product, approval of the product by comparable regulatory authorities of other governments must be obtained prior to marketing the product in those jurisdictions. The approval process may be more or less rigorous than the U.S. process and the time required for approval may be longer or shorter than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operations are subject to substantial federal, state and local environmental laws and regulations concerning, among other matters, the generation, handling, storage, transportation, treatment and disposal of, and exposure to, hazardous substances. Violation of these laws and regulations, which may change, can lead to substantial fines and penalties. Many of our operations require environmental permits and controls to prevent and limit pollution of the environment. We believe that our facilities and the facilities of our third-party service providers are in substantial compliance with applicable environmental laws and regulations. As part of our ESG strategy, we are committed to operating our business in a responsible manner that seeks to minimize environmental impact, while promoting the safe, efficient and responsible use of global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12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contract with various third parties to provide certain critical services including manufacturing, packaging, supply, warehousing, distribution, customer service, certain financial functions, certain R&amp;D activities and medical affairs, among others.</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Refer to Note 12. License, Collaboration and Asset Acquisition Agreements and Note 16. Commitments and Contingencies in the Consolidated Financial Statements included in Part IV, Item 15 of this report for additional information.</w:t>
      </w:r>
    </w:p>
    <w:p>
      <w:pPr>
        <w:spacing w:after="0" w:line="6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primarily purchase our raw materials for the production and development of our products in the open market from third-party suppliers. We attempt, when possible, to mitigate our raw material supply risks through inventory management and alternative sourcing strategies. However, some raw materials are only available from one source. We are required to identify the suppliers of all raw materials for our products in the drug applications that we file with the FDA. If the raw materials from an approved supplier for a particular product become unavailable, we would be required to qualify a substitute supplier with the FDA, which would likely interrupt manufacturing of the affected product. See Item 1A. Risk Factors for further discussion on the risks associated with the sourcing of our raw materials.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&amp; Collaboration Agreements and Acquisitions</w:t>
      </w:r>
    </w:p>
    <w:p>
      <w:pPr>
        <w:spacing w:after="0" w:line="121"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continue to seek to enhance our product line and develop a diversified portfolio of products through product acquisitions and in-licensing or acquiring licenses to products, compounds and technologies from third parties. The Company enters into strategic alliances and collaborative arrangements with third parties, which give the Company rights to develop, manufacture, market and/or sell pharmaceutical products, the rights to which are primarily owned by these third parties. These alliances and arrangements can take many forms, including licensing arrangements, co-development and co-marketing agreements, co-promotion arrangements, research collaborations and joint ventures. Such alliances and arrangements enable us to share the risk of incurring all R&amp;D expenses that do not lead to revenue-generating products; however, because profits from alliance products are shared with the counter-parties to the collaborative arrangement, the gross margins on alliance products are generally lower, sometimes substantially so, than the gross margins that could be achieved had the Company not opted for a development partner. Refer to Note 12. License, Collaboration and Asset Acquisition Agreements in the Consolidated Financial Statements included in Part IV, Item 15 of this report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 of February 27, 2023, we have 2,861 employees, of which 423 are engaged in R&amp;D and regulatory work, 356 in sales and marketing, 1,106 in manufacturing, 580 in quality assurance and 396 in general and administrative capacities. With the exception of certain production personnel in our Rochester, Michigan manufacturing facility, our employees are generally not represented by unions. We believe that our relations with our employees are good.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as of March 6, 2023, information about our executive officers: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Position and Offices</w:t>
            </w:r>
          </w:p>
        </w:tc>
      </w:tr>
      <w:tr>
        <w:trPr>
          <w:trHeight w:val="26"/>
        </w:trPr>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20"/>
              <w:spacing w:after="0"/>
              <w:rPr>
                <w:sz w:val="20"/>
                <w:szCs w:val="20"/>
                <w:color w:val="auto"/>
              </w:rPr>
            </w:pPr>
            <w:r>
              <w:rPr>
                <w:rFonts w:ascii="Arial" w:cs="Arial" w:eastAsia="Arial" w:hAnsi="Arial"/>
                <w:sz w:val="18"/>
                <w:szCs w:val="18"/>
                <w:color w:val="auto"/>
              </w:rPr>
              <w:t>Blaise Coleman</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Patrick Barry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Global Commercial Operations</w:t>
            </w: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Mark T. Bradley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Matthew J. Maletta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and Chief Legal Officer and Company Secretary</w:t>
            </w: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James P. Tursi, M.D.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Global Research &amp; Development</w:t>
            </w:r>
          </w:p>
        </w:tc>
      </w:tr>
    </w:tbl>
    <w:p>
      <w:pPr>
        <w:spacing w:after="0" w:line="188"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Blaise Coleman was appointed President, Chief Executive Officer and a member of the Board of Directors, effective March 2020. He previously served as Executive Vice President and Chief Financial Officer since December 2016. He joined Endo in January 2015 as Vice President of Corporate Financial Planning &amp; Analysis, and was then promoted to Senior Vice President, Global Finance Operations in November 2015. Prior to joining Endo, Mr. Coleman held a number of finance leadership roles with AstraZeneca, most recently as the Chief Financial Officer of the AstraZeneca/Bristol-Myers Squibb US Diabetes Alliance. Prior to that, he was the Head of Finance for the AstraZeneca Global Medicines Development organization based in Mölndal, Sweden. Mr. Coleman joined AstraZeneca in 2007 as Senior Director Commercial Finance for the US Cardiovascular Business. He joined AstraZeneca from Centocor, a wholly-owned subsidiary of Johnson &amp; Johnson, where he held positions in both the Licenses &amp; Acquisitions and Commercial Finance organizations. Mr. Coleman’s move to Centocor in early 2003 followed 7 years’ experience with the global public accounting firm, PricewaterhouseCoopers LLP. Mr. Coleman is a Certified Public Accountant; he holds a Bachelor of Science degree in accounting from Widener University and an M.B.A. from the Fuqua School of Business at Duke University.</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Patrick Barry was appointed Executive Vice President and President, Global Commercial Operations, effective April 2020. In this role, he has responsibility for the Company’s global commercial organization across each of Endo’s four reportable business segments, including Branded Pharmaceuticals, Sterile Injectables, Generic Pharmaceuticals and International Pharmaceuticals. He formerly served as Executive Vice President and Chief Commercial Officer, U.S. Branded Business since February 2018, after joining Endo in December 2016 as Senior Vice President, U.S. Branded Pharmaceuticals. Prior to joining Endo, Mr. Barry worked at Sanofi S.A. from 1992 until December 2016, holding roles of increasing responsibility in areas such as Sales Leadership, Commercial Operations, Marketing, Launch Planning and Training and Leadership Development. Most recently, he served at Sanofi S.A. as its General Manager and Head of North America General Medicines starting in September 2015 and as Vice President and Head of U.S. Specialty from April 2014 until August 2015. During this time, Mr. Barry oversaw three complex and diverse businesses with responsibility for leading sales and marketing activities for branded and generic products across the U.S. and Canada. He has a diverse therapeutic experience including aesthetics and dermatology, oncology, urology, orthopedics and medical device and surgical experience. He has an M.B.A. from Cornell University, Johnson School of Management and a B.A. in Public Relations and Marketing from McKendree University.</w:t>
      </w:r>
    </w:p>
    <w:p>
      <w:pPr>
        <w:spacing w:after="0" w:line="7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Mark T. Bradley was appointed Executive Vice President and Chief Financial Officer, effective March 2020. He previously served as Senior Vice President, Corporate Development &amp; Treasurer since June 2017. Mr. Bradley joined Endo in January 2007 as a Finance Director and has held various positions of increasing responsibility since joining the Company. Prior to joining Endo, he spent nearly 7 years as a management consultant, most recently with Deloitte Consulting, providing a broad range of strategic and operational advice and services to senior executives across a number of industries. In addition, Mr. Bradley served as a Finance Director for an industrial products company for approximately 2 years. He spent the first 5 years of his career in public accounting at Ernst &amp; Young LLP. Mr. Bradley is a licensed Certified Public Accountant and holds a Bachelor of Science degree in Accounting from Saint Joseph’s University and a Master of Business Administration from The University of Texas at Austin.</w:t>
      </w:r>
    </w:p>
    <w:p>
      <w:pPr>
        <w:spacing w:after="0" w:line="6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Matthew J. Maletta was appointed Executive Vice President and Chief Legal Officer, effective May 2015, where he has global responsibility for all legal matters affecting the Company. He was also appointed Company Secretary, effective June 2020. Prior to joining Endo in 2015, Mr. Maletta served as Vice President, Associate General Counsel and Corporate Secretary of Allergan. In this position, he served as an advisor to the Chief Executive Officer and Board of Directors and supervised several large transactions, including the $70 billion acquisition of Allergan by Actavis in 2015. Mr. Maletta also played a key role defending Allergan from an unsolicited takeover bid by Valeant Pharmaceuticals and Pershing Square Capital Management in 2014. Mr. Maletta joined Allergan in 2002 and during his tenure, held roles of increased responsibility, including serving as the lead commercial attorney for Allergan’s aesthetics businesses for several years and as Head of Human Resources in 2010. Prior to joining Allergan, Mr. Maletta was in private practice, focusing on general corporate matters, finance, governance, securities and transactions. He holds a B.A. degree in political science from the University of Minnesota, summa cum laude and Phi Beta Kappa, and a J.D. degree, cum laude, from the University of Minnesota Law School.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80" w:lineRule="auto"/>
        <w:rPr>
          <w:sz w:val="20"/>
          <w:szCs w:val="20"/>
          <w:color w:val="auto"/>
        </w:rPr>
      </w:pPr>
      <w:r>
        <w:rPr>
          <w:rFonts w:ascii="Arial" w:cs="Arial" w:eastAsia="Arial" w:hAnsi="Arial"/>
          <w:sz w:val="16"/>
          <w:szCs w:val="16"/>
          <w:color w:val="auto"/>
        </w:rPr>
        <w:t>James P. Tursi, M.D. was appointed Executive Vice President, Global Research &amp; Development, effective January 2022. In this role, Dr. Tursi is responsible for leading global research &amp; development, medical affairs and regulatory operations. Prior to joining Endo, he held senior leadership roles at Ferring Pharmaceuticals U.S., Antares Pharmaceuticals and Aralez Pharmaceuticals. Prior to Aralez, Dr. Tursi was Chief Medical Officer and Vice President of Clinical R&amp;D at Auxilium Pharmaceuticals until its acquisition by Endo in 2015. Dr. Tursi practiced medicine and surgery for over 10 years and created a medical education company, I Will Pass</w:t>
      </w:r>
      <w:r>
        <w:rPr>
          <w:rFonts w:ascii="Arial" w:cs="Arial" w:eastAsia="Arial" w:hAnsi="Arial"/>
          <w:sz w:val="20"/>
          <w:szCs w:val="20"/>
          <w:color w:val="auto"/>
          <w:vertAlign w:val="superscript"/>
        </w:rPr>
        <w:t>®</w:t>
      </w:r>
      <w:r>
        <w:rPr>
          <w:rFonts w:ascii="Arial" w:cs="Arial" w:eastAsia="Arial" w:hAnsi="Arial"/>
          <w:sz w:val="16"/>
          <w:szCs w:val="16"/>
          <w:color w:val="auto"/>
        </w:rPr>
        <w:t>, which assisted physicians in the process of board certification. He performed his residency in Gynecology and Obstetrics at the Johns Hopkins Hospital, holds a Bachelor of Science degree in Chemistry and Biology from Ursinus College and a Doctor of Medicine degree from the Medical College of Pennsylvania. Dr. Tursi is a member of the Ideal Image Board of Directors. Previously, Dr. Tursi served as a member of the Agile Therapeutics, Inc. Board of Directors from October 2014 to October 2022.</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employment agreements with each of our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internet address is www.endo.com. The contents of our website are not part of this Annual Report on Form 10-K and our internet address is included in this document as an inactive textual reference only. We currently make our Annual Reports on Form 10-K, Quarterly Reports on Form 10-Q, Current Reports on Form 8-K, proxy reports and all amendments to those reports available free of charge on our website as soon as reasonably practicable after we file such reports with, or furnish such reports to, the SEC.</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You can access our filings through the SEC’s internet site: www.sec.gov </w:t>
      </w:r>
      <w:r>
        <w:rPr>
          <w:rFonts w:ascii="Arial" w:cs="Arial" w:eastAsia="Arial" w:hAnsi="Arial"/>
          <w:sz w:val="18"/>
          <w:szCs w:val="18"/>
          <w:i w:val="1"/>
          <w:iCs w:val="1"/>
          <w:color w:val="auto"/>
        </w:rPr>
        <w:t>(intended to be an inactive textual reference only).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You may also access copies of the Company’s filings with the Canadian Securities Administrators on SEDAR through their internet site: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www.sedar.com </w:t>
      </w:r>
      <w:r>
        <w:rPr>
          <w:rFonts w:ascii="Arial" w:cs="Arial" w:eastAsia="Arial" w:hAnsi="Arial"/>
          <w:sz w:val="18"/>
          <w:szCs w:val="18"/>
          <w:i w:val="1"/>
          <w:iCs w:val="1"/>
          <w:color w:val="auto"/>
        </w:rPr>
        <w:t>(intended to be an inactive textual reference only).</w:t>
      </w:r>
    </w:p>
    <w:p>
      <w:pPr>
        <w:spacing w:after="0" w:line="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280" w:firstLine="486"/>
        <w:spacing w:after="0" w:line="342" w:lineRule="auto"/>
        <w:rPr>
          <w:sz w:val="20"/>
          <w:szCs w:val="20"/>
          <w:color w:val="auto"/>
        </w:rPr>
      </w:pPr>
      <w:r>
        <w:rPr>
          <w:rFonts w:ascii="Arial" w:cs="Arial" w:eastAsia="Arial" w:hAnsi="Arial"/>
          <w:sz w:val="16"/>
          <w:szCs w:val="16"/>
          <w:color w:val="auto"/>
        </w:rPr>
        <w:t>The following is a summary of the risk factors contained in this Annual Report on Form 10-K that could adversely affect our business, financial condition, results of operations and cash flows. In addition to this summary, we encourage you to carefully review the full risk factors in their entirety.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63" w:lineRule="exact"/>
        <w:rPr>
          <w:sz w:val="20"/>
          <w:szCs w:val="20"/>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competitive industry.</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pharmaceutical companies may obtain approval for competing versions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Pharmacies or outsourcing facilities may produce compounded versions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successfully identify, develop, maintain or introduce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exist regarding our acquisition and licensing strategy.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sales could adversely affect our prospects and opportunities for growth.</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reimbursement for our products is uncertain.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levels may be reduced because of social or political pressures.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highly dependent upon market perceptions of us, our brands and the safety and quality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and financial condition may be adversely affected by existing or future legislation and regulations.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 concentration may adversely affect 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currently dependent on outside manufacturers for the manufacture of a significant amount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dependent on third parties to supply raw materials used in our products and to provide services.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limited experience in manufacturing biologic products and may encounter difficulties in our manufacturing processes.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DEA could limit the availability of active ingredients and the production of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our ability to retain our key personnel and to continue to attract additional professional staff.</w:t>
      </w:r>
    </w:p>
    <w:p>
      <w:pPr>
        <w:spacing w:after="0" w:line="9" w:lineRule="exact"/>
        <w:rPr>
          <w:rFonts w:ascii="Arial" w:cs="Arial" w:eastAsia="Arial" w:hAnsi="Arial"/>
          <w:sz w:val="18"/>
          <w:szCs w:val="18"/>
          <w:color w:val="auto"/>
        </w:rPr>
      </w:pPr>
    </w:p>
    <w:p>
      <w:pPr>
        <w:ind w:left="500" w:hanging="249"/>
        <w:spacing w:after="0" w:line="250"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could be disrupted if our information systems fail, if we are unsuccessful in implementing necessary upgrades or if we are subject to cyber-attacks.</w:t>
      </w: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risks related to our global operations.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risks regarding widespread health problems, including the recent global coronavirus.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chain and other manufacturing disruptions could negatively impact our businesses.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impacted by the effects of climate change and encounter challenges implementing sustainability-related measures.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Bankruptcy and Our Ordinary Shares</w:t>
      </w:r>
    </w:p>
    <w:p>
      <w:pPr>
        <w:spacing w:after="0" w:line="63" w:lineRule="exact"/>
        <w:rPr>
          <w:sz w:val="20"/>
          <w:szCs w:val="20"/>
          <w:color w:val="auto"/>
        </w:rPr>
      </w:pPr>
    </w:p>
    <w:p>
      <w:pPr>
        <w:ind w:left="480" w:hanging="229"/>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risks and uncertainties associated with the Chapter 11 Cases (as defined below).</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Chapter 11 Cases may occur.</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RSA (as defined below) is subject to significant conditions and milestones that may be difficult for us to satisfy.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RSA is terminated, our ability to confirm and consummate the Sale (as defined below) could be materially and adversely affected.</w:t>
      </w:r>
    </w:p>
    <w:p>
      <w:pPr>
        <w:spacing w:after="0" w:line="20" w:lineRule="exact"/>
        <w:rPr>
          <w:rFonts w:ascii="Arial" w:cs="Arial" w:eastAsia="Arial" w:hAnsi="Arial"/>
          <w:sz w:val="17"/>
          <w:szCs w:val="17"/>
          <w:color w:val="auto"/>
        </w:rPr>
      </w:pPr>
    </w:p>
    <w:p>
      <w:pPr>
        <w:ind w:left="500" w:right="200" w:hanging="249"/>
        <w:spacing w:after="0" w:line="260"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the Sale or an alternative restructuring transaction is consummated, we may not be able to achieve our stated goals or continue as a going concern.</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prosecute the Chapter 11 Cases and consummate the Sale may be contested by third parties with litigation.</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certain instances, a chapter 11 case may be converted to a case under chapter 7 of the Bankruptcy Code.</w:t>
      </w:r>
    </w:p>
    <w:p>
      <w:pPr>
        <w:spacing w:after="0" w:line="9" w:lineRule="exact"/>
        <w:rPr>
          <w:rFonts w:ascii="Arial" w:cs="Arial" w:eastAsia="Arial" w:hAnsi="Arial"/>
          <w:sz w:val="18"/>
          <w:szCs w:val="18"/>
          <w:color w:val="auto"/>
        </w:rPr>
      </w:pPr>
    </w:p>
    <w:p>
      <w:pPr>
        <w:ind w:left="500" w:right="400" w:hanging="249"/>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Alternative plans of reorganization may be introduced, which could have less favorable terms than currently anticipated or result in significant litigation and expenses.</w:t>
      </w:r>
    </w:p>
    <w:p>
      <w:pPr>
        <w:ind w:left="480" w:hanging="229"/>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the Chapter 11 Cases, our historical financial information may not be indicative of our future performance, which may be volatile.</w:t>
      </w:r>
    </w:p>
    <w:p>
      <w:pPr>
        <w:spacing w:after="0" w:line="32" w:lineRule="exact"/>
        <w:rPr>
          <w:rFonts w:ascii="Arial" w:cs="Arial" w:eastAsia="Arial" w:hAnsi="Arial"/>
          <w:sz w:val="16"/>
          <w:szCs w:val="16"/>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claims that will not be discharged in the Chapter 11 Cases.</w:t>
      </w:r>
    </w:p>
    <w:p>
      <w:pPr>
        <w:spacing w:after="0" w:line="9" w:lineRule="exact"/>
        <w:rPr>
          <w:rFonts w:ascii="Arial" w:cs="Arial" w:eastAsia="Arial" w:hAnsi="Arial"/>
          <w:sz w:val="18"/>
          <w:szCs w:val="18"/>
          <w:color w:val="auto"/>
        </w:rPr>
      </w:pPr>
    </w:p>
    <w:p>
      <w:pPr>
        <w:ind w:left="500" w:right="100" w:hanging="249"/>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consummate the Sale with the Stalking Horse Bidder (as defined below), we may not have sufficient liquidity to implement an orderly wind-down process.</w:t>
      </w:r>
    </w:p>
    <w:p>
      <w:pPr>
        <w:ind w:left="500" w:hanging="249"/>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pursuit of the Chapter 11 Cases has consumed, and will continue to consume, a substantial portion of the time and attention of our management and could cause us to experience increased levels of employee attrition.</w:t>
      </w: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sources of financing may be insufficient to fund our cash requirements through emergence from bankruptcy.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comply with restrictions imposed by the Cash Collateral Order (as defined below).</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Aspects of the Chapter 11 Cases limit the flexibility of our management team in running our business.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trading prices of our securities have been volatile, and investments in our securities could decline in value.</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plans to pay regular dividends on our ordinary shares or to conduct ordinary share repurchases.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Shareholder activism could cause us to incur significant expenses, hinder execution of our business strategy and impact our share price.</w:t>
      </w:r>
    </w:p>
    <w:p>
      <w:pPr>
        <w:spacing w:after="0" w:line="20" w:lineRule="exact"/>
        <w:rPr>
          <w:rFonts w:ascii="Arial" w:cs="Arial" w:eastAsia="Arial" w:hAnsi="Arial"/>
          <w:sz w:val="17"/>
          <w:szCs w:val="17"/>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ordinary shares are quoted on the over-the-counter market, and thus may have a limited market and lack of liquidity.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it is likely that our ordinary shares will continue to decrease in value as a result of the Chapter 11 Cases.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63" w:lineRule="exact"/>
        <w:rPr>
          <w:sz w:val="20"/>
          <w:szCs w:val="20"/>
          <w:color w:val="auto"/>
        </w:rPr>
      </w:pPr>
    </w:p>
    <w:p>
      <w:pPr>
        <w:ind w:left="500" w:right="100" w:hanging="249"/>
        <w:spacing w:after="0" w:line="258"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regularly the subject of material legal proceedings, including significant lawsuits, product liability claims, governmental investigations and product recalls.</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and may be unable to obtain or maintain insurance adequate to cover potential liabilities.</w:t>
      </w:r>
    </w:p>
    <w:p>
      <w:pPr>
        <w:spacing w:after="0" w:line="9" w:lineRule="exact"/>
        <w:rPr>
          <w:rFonts w:ascii="Arial" w:cs="Arial" w:eastAsia="Arial" w:hAnsi="Arial"/>
          <w:sz w:val="18"/>
          <w:szCs w:val="18"/>
          <w:color w:val="auto"/>
        </w:rPr>
      </w:pPr>
    </w:p>
    <w:p>
      <w:pPr>
        <w:ind w:left="500" w:hanging="249"/>
        <w:spacing w:after="0" w:line="260"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concern around the abuse of opioids or other products, including law enforcement concerns over diversion or marketing practices, regulatory efforts to combat abuse and litigation could result in costs to our business and damage our reputation.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63" w:lineRule="exact"/>
        <w:rPr>
          <w:sz w:val="20"/>
          <w:szCs w:val="20"/>
          <w:color w:val="auto"/>
        </w:rPr>
      </w:pPr>
    </w:p>
    <w:p>
      <w:pPr>
        <w:ind w:left="500" w:right="100" w:hanging="249"/>
        <w:spacing w:after="0" w:line="258"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fund our operations, maintain adequate liquidity and meet our financing obligations is reliant on our operations, which are subject to significant risks and uncertainties.</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impairments of goodwill and other intangibles may significantly impact our profitability.</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position.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realize the anticipated benefits from our strategic 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Related Risks</w:t>
      </w:r>
    </w:p>
    <w:p>
      <w:pPr>
        <w:spacing w:after="0" w:line="63" w:lineRule="exact"/>
        <w:rPr>
          <w:sz w:val="20"/>
          <w:szCs w:val="20"/>
          <w:color w:val="auto"/>
        </w:rPr>
      </w:pPr>
    </w:p>
    <w:p>
      <w:pPr>
        <w:ind w:left="500" w:right="140" w:hanging="249"/>
        <w:spacing w:after="0" w:line="258"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Agreements between branded pharmaceutical companies and generic pharmaceutical companies are facing increased government scrutiny and we may be subject to additional investigations or litigation.</w:t>
      </w:r>
    </w:p>
    <w:p>
      <w:pPr>
        <w:spacing w:after="0" w:line="1"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various laws and regulations pertaining to the marketing of our products and services.</w:t>
      </w:r>
    </w:p>
    <w:p>
      <w:pPr>
        <w:spacing w:after="0" w:line="9" w:lineRule="exact"/>
        <w:rPr>
          <w:rFonts w:ascii="Arial" w:cs="Arial" w:eastAsia="Arial" w:hAnsi="Arial"/>
          <w:sz w:val="18"/>
          <w:szCs w:val="18"/>
          <w:color w:val="auto"/>
        </w:rPr>
      </w:pPr>
    </w:p>
    <w:p>
      <w:pPr>
        <w:ind w:left="500" w:right="680" w:hanging="249"/>
        <w:spacing w:after="0" w:line="250"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pharmaceutical industry is heavily regulated, which creates uncertainty about our ability to bring new products to market and imposes substantial compliance costs on our business, including withdrawal or suspension of existing products.</w:t>
      </w: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complex reporting and payment obligations under Medicaid and other governmental drug pricing programs.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the degree to which individuals are covered by healthcare insurance could result in decreased use of our products.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or other factors may cause us to be unable to manufacture our products or face interruptions in the manufacturing process.</w:t>
      </w:r>
    </w:p>
    <w:p>
      <w:pPr>
        <w:spacing w:after="0" w:line="20" w:lineRule="exact"/>
        <w:rPr>
          <w:rFonts w:ascii="Arial" w:cs="Arial" w:eastAsia="Arial" w:hAnsi="Arial"/>
          <w:sz w:val="17"/>
          <w:szCs w:val="17"/>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obtain regulatory approval or maintain compliance with requirements in non-U.S. jurisdictions.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generic products may be limited through legislative, regulatory and other efforts.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tariffs and evolving trade policy between the U.S. and other countries, including China, could adversely affect us.</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information privacy and data protection laws that include penalties for noncompliance.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Related Risks</w:t>
      </w:r>
    </w:p>
    <w:p>
      <w:pPr>
        <w:spacing w:after="0" w:line="63" w:lineRule="exact"/>
        <w:rPr>
          <w:sz w:val="20"/>
          <w:szCs w:val="20"/>
          <w:color w:val="auto"/>
        </w:rPr>
      </w:pPr>
    </w:p>
    <w:p>
      <w:pPr>
        <w:ind w:left="480" w:hanging="22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protect and maintain our proprietary and licensed third-party technology, which is vital to our business, is uncertain.</w:t>
      </w:r>
    </w:p>
    <w:p>
      <w:pPr>
        <w:spacing w:after="0" w:line="23" w:lineRule="exact"/>
        <w:rPr>
          <w:rFonts w:ascii="Arial" w:cs="Arial" w:eastAsia="Arial" w:hAnsi="Arial"/>
          <w:sz w:val="18"/>
          <w:szCs w:val="18"/>
          <w:color w:val="auto"/>
        </w:rPr>
      </w:pPr>
    </w:p>
    <w:p>
      <w:pPr>
        <w:ind w:left="500" w:right="340" w:hanging="249"/>
        <w:spacing w:after="0" w:line="260"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allegations of intellectual property infringement, unfavorable outcomes in litigation and “at-risk” product launches could adversely affect 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Risks</w:t>
      </w:r>
    </w:p>
    <w:p>
      <w:pPr>
        <w:spacing w:after="0" w:line="63" w:lineRule="exact"/>
        <w:rPr>
          <w:sz w:val="20"/>
          <w:szCs w:val="20"/>
          <w:color w:val="auto"/>
        </w:rPr>
      </w:pPr>
    </w:p>
    <w:p>
      <w:pPr>
        <w:ind w:left="480" w:hanging="22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changes to tax laws could materially adversely affect us.</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IRS may not agree with the conclusion that we should be treated as a non-U.S. corporation.</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rate of taxation upon our results of operations is dependent on multi-national tax considerations.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480" w:hanging="229"/>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IRS and other taxing authorities may continue to challenge our tax positions and we may not be able to successfully maintain such positions.</w:t>
      </w:r>
    </w:p>
    <w:p>
      <w:pPr>
        <w:spacing w:after="0" w:line="46" w:lineRule="exact"/>
        <w:rPr>
          <w:rFonts w:ascii="Arial" w:cs="Arial" w:eastAsia="Arial" w:hAnsi="Arial"/>
          <w:sz w:val="16"/>
          <w:szCs w:val="16"/>
          <w:color w:val="auto"/>
        </w:rPr>
      </w:pPr>
    </w:p>
    <w:p>
      <w:pPr>
        <w:ind w:left="480" w:hanging="22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use tax attributes to offset U.S. taxable income may be limited.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and Organizational Risks</w:t>
      </w:r>
    </w:p>
    <w:p>
      <w:pPr>
        <w:spacing w:after="0" w:line="63" w:lineRule="exact"/>
        <w:rPr>
          <w:sz w:val="20"/>
          <w:szCs w:val="20"/>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Irish law differs from the laws in effect in the U.S. and may afford less protection to our shareholders.</w:t>
      </w:r>
    </w:p>
    <w:p>
      <w:pPr>
        <w:spacing w:after="0" w:line="23" w:lineRule="exact"/>
        <w:rPr>
          <w:rFonts w:ascii="Arial" w:cs="Arial" w:eastAsia="Arial" w:hAnsi="Arial"/>
          <w:sz w:val="18"/>
          <w:szCs w:val="18"/>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Takeover attempts will be subject to Irish Takeover Rules and subject to review by the Irish Takeover Panel.</w:t>
      </w:r>
    </w:p>
    <w:p>
      <w:pPr>
        <w:spacing w:after="0" w:line="9" w:lineRule="exact"/>
        <w:rPr>
          <w:rFonts w:ascii="Arial" w:cs="Arial" w:eastAsia="Arial" w:hAnsi="Arial"/>
          <w:sz w:val="18"/>
          <w:szCs w:val="18"/>
          <w:color w:val="auto"/>
        </w:rPr>
      </w:pPr>
    </w:p>
    <w:p>
      <w:pPr>
        <w:ind w:left="480" w:hanging="22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an Irish company and it may be difficult to enforce judgments against us or certain of our officers and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following risk factors could adversely affect our business, financial condition, results of operations and cash flows. These are not the only risks facing the Company. Other risks and uncertainties, including those not currently known to us or that we currently deem to be immaterial, could also adversely affect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pharmaceutical industry is intensely competitive and we face competition in both our U.S. and international branded and generic pharmaceutical businesses. Competitive factors include, without limitation, product development, technological innovation, safety, efficacy, commercialization, marketing, promotion, product quality, price, cost-effectiveness, reputation, service, patient convenience and access to scientific and technical information. Many of our competitors have, and future competitors may have, greater resources than we do, and we cannot predict with certainty the timing or impact of competitors’ products and commercialization strategies. Furthermore, recent market consolidation in this industry may further concentrate financial, technical and market strength and increase competitive pressure in the industry. In addition, our competitors may make greater R&amp;D investments and have more efficient or superior processes and systems and more experience in the development of new products that permit them to respond more quickly to new or emerging technologies and changes in customer demand which may make our products or technologies uncompetitive or obsolete. Furthermore, academic institutions, government agencies and other public and private organizations conducting research may seek patent protection and may establish collaborative arrangements for competitive products or programs. If we fail to compete successfully, it could have a material adverse effect on our business, financial condition, results of operations and cash flows.</w:t>
      </w:r>
    </w:p>
    <w:p>
      <w:pPr>
        <w:spacing w:after="0" w:line="74" w:lineRule="exact"/>
        <w:rPr>
          <w:sz w:val="20"/>
          <w:szCs w:val="20"/>
          <w:color w:val="auto"/>
        </w:rPr>
      </w:pPr>
    </w:p>
    <w:p>
      <w:pPr>
        <w:ind w:right="20" w:firstLine="486"/>
        <w:spacing w:after="0" w:line="270" w:lineRule="auto"/>
        <w:rPr>
          <w:sz w:val="20"/>
          <w:szCs w:val="20"/>
          <w:color w:val="auto"/>
        </w:rPr>
      </w:pPr>
      <w:r>
        <w:rPr>
          <w:rFonts w:ascii="Arial" w:cs="Arial" w:eastAsia="Arial" w:hAnsi="Arial"/>
          <w:sz w:val="16"/>
          <w:szCs w:val="16"/>
          <w:color w:val="auto"/>
        </w:rPr>
        <w:t>Certain of our branded products do not currently compete with on-market generic products but are likely to face generic competition in the future. The entrance of generic competitors can occur at any time and cannot be predicted with certainty. For additional information on our patent protection, refer to Part I, Item 1 of this report “Business” under the caption “Patents, Trademarks, Licenses and Proprietary Property.” Generic products we currently sell with generic exclusivity could in the future be subject to competition from other generic competitors. Some of our other branded and generic products, such as VASOSTRICT</w:t>
      </w:r>
      <w:r>
        <w:rPr>
          <w:rFonts w:ascii="Arial" w:cs="Arial" w:eastAsia="Arial" w:hAnsi="Arial"/>
          <w:sz w:val="20"/>
          <w:szCs w:val="20"/>
          <w:color w:val="auto"/>
          <w:vertAlign w:val="superscript"/>
        </w:rPr>
        <w:t>®</w:t>
      </w:r>
      <w:r>
        <w:rPr>
          <w:rFonts w:ascii="Arial" w:cs="Arial" w:eastAsia="Arial" w:hAnsi="Arial"/>
          <w:sz w:val="16"/>
          <w:szCs w:val="16"/>
          <w:color w:val="auto"/>
        </w:rPr>
        <w:t>, already face generic competition and are at risk of additional generic competitors entering the market. During the first quarter of 2022, multiple competitive generic alternatives to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launched, beginning with a generic that was launched at risk and began shipping toward the end of January 2022. Since then, additional competitive alternatives entered the market, including authorized generics.</w:t>
      </w:r>
    </w:p>
    <w:p>
      <w:pPr>
        <w:spacing w:after="0" w:line="6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Manufacturers of generic products typically invest far less in R&amp;D than research-based companies. Additionally, generic competitors, including Asian or other overseas generic competitors, may be able to manufacture products at costs lower than us. For these reasons, competitors may price their products lower than ours, and such differences could be significant. Due to lower prices, generic versions, where available, may be substituted by pharmacies or required in preference to branded versions under third-party reimbursement programs. As a result, generic competition could have a material adverse effect on our business, financial condition, results of operations and cash flows. Legislation encouraging early and rapid approval of generic drugs could also increase the degree of generic competition we face. See the risk factor “If other pharmaceutical companies use litigation and regulatory means to obtain approval for generic, biosimilar, OTC or other competing versions of our products, our sales may suffer” for more information.</w:t>
      </w:r>
    </w:p>
    <w:p>
      <w:pPr>
        <w:spacing w:after="0" w:line="5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addition, our generics business faces competition from brand-name pharmaceutical companies, which have taken and may continue to take aggressive steps to thwart or delay competition from generic equivalents of their brand-name products, including bringing litigation alleging patent infringement or other violations of intellectual property rights. The actions taken by competing brand-name pharmaceutical companies may increase the costs and risks associated with our efforts to introduce generic products and may delay or prevent such introduction altogether. For example, if a brand-name pharmaceutical company’s patent were held to be valid and infringed by our generic products in a particular jurisdiction, we would be required to either obtain a license from the patent holder or delay or cease the manufacture and sale of such generic product. Any of these factors could have a material adverse effect on our business, financial condition, results of operations and cash flows.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40" w:firstLine="486"/>
        <w:spacing w:after="0" w:line="311" w:lineRule="auto"/>
        <w:rPr>
          <w:sz w:val="20"/>
          <w:szCs w:val="20"/>
          <w:color w:val="auto"/>
        </w:rPr>
      </w:pPr>
      <w:r>
        <w:rPr>
          <w:rFonts w:ascii="Arial" w:cs="Arial" w:eastAsia="Arial" w:hAnsi="Arial"/>
          <w:sz w:val="16"/>
          <w:szCs w:val="16"/>
          <w:color w:val="auto"/>
        </w:rPr>
        <w:t>Our sales may also suffer as a result of changes in consumer demand for our products, including as a result of fluctuations in consumer buying patterns, changes in market conditions or actions taken by our competitors, including the introduction of new products or price reductions for existing products. Any of these factors could have a material adverse effect on our business, financial condition, results of operations and cash flows.</w:t>
      </w:r>
    </w:p>
    <w:p>
      <w:pPr>
        <w:spacing w:after="0" w:line="3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If other pharmaceutical companies use litigation and regulatory means to obtain approval for generic, biosimilar, OTC or other competing versions of our products, our sales may suffer.</w:t>
      </w:r>
    </w:p>
    <w:p>
      <w:pPr>
        <w:spacing w:after="0" w:line="58" w:lineRule="exact"/>
        <w:rPr>
          <w:sz w:val="20"/>
          <w:szCs w:val="20"/>
          <w:color w:val="auto"/>
        </w:rPr>
      </w:pPr>
    </w:p>
    <w:p>
      <w:pPr>
        <w:ind w:right="200" w:firstLine="486"/>
        <w:spacing w:after="0" w:line="234" w:lineRule="auto"/>
        <w:rPr>
          <w:sz w:val="20"/>
          <w:szCs w:val="20"/>
          <w:color w:val="auto"/>
        </w:rPr>
      </w:pPr>
      <w:r>
        <w:rPr>
          <w:rFonts w:ascii="Arial" w:cs="Arial" w:eastAsia="Arial" w:hAnsi="Arial"/>
          <w:sz w:val="18"/>
          <w:szCs w:val="18"/>
          <w:color w:val="auto"/>
        </w:rPr>
        <w:t>Various manufacturers have filed ANDAs seeking FDA approval for generic versions of certain of our key pharmaceutical products including, but not limited to,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AVEED</w:t>
      </w:r>
      <w:r>
        <w:rPr>
          <w:rFonts w:ascii="Arial" w:cs="Arial" w:eastAsia="Arial" w:hAnsi="Arial"/>
          <w:sz w:val="23"/>
          <w:szCs w:val="23"/>
          <w:color w:val="auto"/>
          <w:vertAlign w:val="superscript"/>
        </w:rPr>
        <w:t>®</w:t>
      </w:r>
      <w:r>
        <w:rPr>
          <w:rFonts w:ascii="Arial" w:cs="Arial" w:eastAsia="Arial" w:hAnsi="Arial"/>
          <w:sz w:val="18"/>
          <w:szCs w:val="18"/>
          <w:color w:val="auto"/>
        </w:rPr>
        <w:t>. In connection with such filings, these manufacturers have challenged the validity and/or enforceability of one or more of the underlying patents protecting our products.</w:t>
      </w:r>
    </w:p>
    <w:p>
      <w:pPr>
        <w:spacing w:after="0" w:line="9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Any launch of competing versions of any of our products could decrease the revenue of such products, which could have a material adverse effect on our business, financial condition, results of operations and cash flows.</w:t>
      </w:r>
    </w:p>
    <w:p>
      <w:pPr>
        <w:spacing w:after="0" w:line="6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practice is to vigorously defend and pursue all available legal and regulatory avenues in defense of the intellectual property rights protecting our products. Despite our efforts, litigation is inherently uncertain, and we cannot predict the timing or outcome of our efforts. If we are not successful in defending our intellectual property rights or opt to settle, or if a product’s marketing or data exclusivity rights expire or become otherwise unenforceable, our competitors could ultimately launch generic, biosimilar, OTC or other competing versions of our products. Upon the loss or expiration of patent protection for one of our products, or upon the “at-risk” launch (despite pending patent infringement litigation against the generic product) by a generic manufacturer of a generic version of one of our patented products, our sales and revenues of the affected products would likely decline rapidly and materially, which could require us to write off a portion or all of the intangible assets associated with the affected product and could have a material adverse effect on our business, financial condition, results of operations and cash flows.</w:t>
      </w:r>
    </w:p>
    <w:p>
      <w:pPr>
        <w:spacing w:after="0" w:line="65" w:lineRule="exact"/>
        <w:rPr>
          <w:sz w:val="20"/>
          <w:szCs w:val="20"/>
          <w:color w:val="auto"/>
        </w:rPr>
      </w:pPr>
    </w:p>
    <w:p>
      <w:pPr>
        <w:ind w:right="60" w:firstLine="486"/>
        <w:spacing w:after="0" w:line="251" w:lineRule="auto"/>
        <w:rPr>
          <w:sz w:val="20"/>
          <w:szCs w:val="20"/>
          <w:color w:val="auto"/>
        </w:rPr>
      </w:pPr>
      <w:r>
        <w:rPr>
          <w:rFonts w:ascii="Arial" w:cs="Arial" w:eastAsia="Arial" w:hAnsi="Arial"/>
          <w:sz w:val="17"/>
          <w:szCs w:val="17"/>
          <w:color w:val="auto"/>
        </w:rPr>
        <w:t>For example, in the case of VASOSTRICT</w:t>
      </w:r>
      <w:r>
        <w:rPr>
          <w:rFonts w:ascii="Arial" w:cs="Arial" w:eastAsia="Arial" w:hAnsi="Arial"/>
          <w:sz w:val="22"/>
          <w:szCs w:val="22"/>
          <w:color w:val="auto"/>
          <w:vertAlign w:val="superscript"/>
        </w:rPr>
        <w:t>®</w:t>
      </w:r>
      <w:r>
        <w:rPr>
          <w:rFonts w:ascii="Arial" w:cs="Arial" w:eastAsia="Arial" w:hAnsi="Arial"/>
          <w:sz w:val="17"/>
          <w:szCs w:val="17"/>
          <w:color w:val="auto"/>
        </w:rPr>
        <w:t>, beginning in April 2018, Par Sterile Products, LLC (PSP LLC) and Par Pharmaceutical, Inc. (PPI) received notice letters from Eagle and other companies advising of the filing by such companies of ANDAs/NDAs for generic versions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(vasopressin IV solution (infusion)) 20 units/ml and/or 200 units/10 ml. Beginning in May 2018, PSP LLC, PPI and Endo Par Innovation Company, LLC (EPIC) filed lawsuits against Eagle and other generic filers in the U.S. District Court for the District of Delaware or New Jersey. We reached settlements and voluntarily dismissed the suits against many of these filers. The remaining Delaware cases against Eagle and Amneal Pharmaceuticals LLC were consolidated and a trial was held in July 2021. In August 2021, the court issued an opinion holding that Eagle’s proposed generic product would not infringe PPI’s asserted patent claims. The court made no finding regarding the validity of the patents. We appealed the ruling. In August 2022, the Federal Circuit affirmed the District of Delaware’s decision: (i) that Eagle’s proposed generic product would not infringe PPI’s asserted patent claims and (ii) denying the issuance of a declaratory judgment that Eagle’s planned sale of generic product would infringe under 35 U.S.C. § 271(a) and (b). During the first quarter of 2022, multiple competitive generic alternatives to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20 units/ml were launched, beginning with Eagle’s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This competition could have a material adverse effect on our business, financial condition, results of operations and cash flows.</w:t>
      </w:r>
    </w:p>
    <w:p>
      <w:pPr>
        <w:spacing w:after="0" w:line="95" w:lineRule="exact"/>
        <w:rPr>
          <w:sz w:val="20"/>
          <w:szCs w:val="20"/>
          <w:color w:val="auto"/>
        </w:rPr>
      </w:pPr>
    </w:p>
    <w:p>
      <w:pPr>
        <w:ind w:right="660" w:firstLine="486"/>
        <w:spacing w:after="0" w:line="311" w:lineRule="auto"/>
        <w:rPr>
          <w:sz w:val="20"/>
          <w:szCs w:val="20"/>
          <w:color w:val="auto"/>
        </w:rPr>
      </w:pPr>
      <w:r>
        <w:rPr>
          <w:rFonts w:ascii="Arial" w:cs="Arial" w:eastAsia="Arial" w:hAnsi="Arial"/>
          <w:sz w:val="16"/>
          <w:szCs w:val="16"/>
          <w:color w:val="auto"/>
        </w:rPr>
        <w:t>There are currently pending legal proceedings brought by us and/or our subsidiaries and, in certain cases, our third-party partners, against manufacturers seeking FDA approval for generic versions of our products. For a description of the material related legal proceedings, see Note 16. Commitments and Contingencies in the Consolidated Financial Statements included in Part IV, Item 15 of this report.</w:t>
      </w:r>
    </w:p>
    <w:p>
      <w:pPr>
        <w:spacing w:after="0" w:line="41" w:lineRule="exact"/>
        <w:rPr>
          <w:sz w:val="20"/>
          <w:szCs w:val="20"/>
          <w:color w:val="auto"/>
        </w:rPr>
      </w:pPr>
    </w:p>
    <w:p>
      <w:pPr>
        <w:ind w:right="840" w:firstLine="486"/>
        <w:spacing w:after="0" w:line="308" w:lineRule="auto"/>
        <w:rPr>
          <w:sz w:val="20"/>
          <w:szCs w:val="20"/>
          <w:color w:val="auto"/>
        </w:rPr>
      </w:pPr>
      <w:r>
        <w:rPr>
          <w:rFonts w:ascii="Arial" w:cs="Arial" w:eastAsia="Arial" w:hAnsi="Arial"/>
          <w:sz w:val="17"/>
          <w:szCs w:val="17"/>
          <w:color w:val="auto"/>
        </w:rPr>
        <w:t>We also believe it is likely that manufacturers may seek FDA approvals for generic, OTC or other competing versions of other of our key pharmaceutical products, either through the filing of ANDAs, through the OTC monograph process or through the use of other means.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pharmacies or outsourcing facilities produce compounded versions of our products, our sales may suffer.</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Compounded drugs do not typically require the same R&amp;D investments as either branded or generic drugs and, therefore, can compete favorably on price with both branded and generic versions of a drug. See “Governmental Regulation” in Part I, Item 1. The introduction of compounded versions of our products by pharmacies or outsourcing facilities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spacing w:after="0" w:line="7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Our financial results depend, to a significant extent, upon our ability, and the ability of our partners, to identify, develop, obtain regulatory approval for, launch and commercialize a pipeline of commercially successful branded and generic products, including first-to-file or first-to-market opportunities. Due to the significant competition we face and the importance of being the first (or one of the first) to market, no assurances can be given that we will be able to develop, introduce and maintain commercially successful products in the future. Competition could cause our revenues to decrease significantly, which could have a material adverse effect on our business, financial condition, results of operations and cash flows.</w:t>
      </w:r>
    </w:p>
    <w:p>
      <w:pPr>
        <w:spacing w:after="0" w:line="6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Identifying and developing additional product candidates are prone to risks of failure inherent in product development. We conduct R&amp;D to enable us to manufacture and market pharmaceutical products in accordance with specific government regulations. Much of our product development effort is focused on technically difficult-to-formulate products and/or products that require advanced manufacturing technology. Typically, expenses related to research, development and regulatory approval of compounds for our branded products are significantly greater than those expenses associated with generic products. Should we expand our R&amp;D efforts, our research expenses are likely to increase. Because of the inherent risk associated with R&amp;D efforts in the healthcare industry, particularly with respect to new products, our R&amp;D expenditures may not result in the successful regulatory approval and introduction of new products and failure in the development of any new product can occur at any point in the process, including late in the process after substantial investment. Also, after we submit a regulatory application, the relevant governmental health authority may require that we conduct additional studies, including, for example, studies to assess the product’s interaction with alcohol. As a result, we may be unable to reasonably predict the total R&amp;D costs to develop a particular product and there is a significant risk that the funds we invest in R&amp;D will not generate financial returns. In addition, our operating results and financial condition may fluctuate as the amount we spend to research and develop, commercialize, acquire or license new products, technologies and businesses changes.</w:t>
      </w:r>
    </w:p>
    <w:p>
      <w:pPr>
        <w:spacing w:after="0" w:line="7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process of developing and obtaining regulatory approvals for new products is time-consuming, costly and inherently unpredictable. Even if we are able to identify and develop additional product candidates, we may fail to obtain exclusive marketing rights, such as the 180-day ANDA first-filer marketing exclusivity period provided for in the Hatch-Waxman amendments to the FFDCA or the 180-day exclusivity for competitive generic therapies established by the FDA Reauthorization Act of 2017, for such product candidates. Even if we were to secure such exclusivities, risks associated with securing timely approval, as well as risks of unfavorable litigation dispositions, put such exclusivities at risk of being forfeited. The approval of our ANDAs may also be stayed by the FDA for up to 30 months if such ANDAs become the subject of patent litigation. Even where we are awarded marketing exclusivity, we may be required to share our exclusivity period with other ANDA applicants or with authorized generics that are not prohibited from sale during the 180-day marketing exclusivity period. Our revenues have historically included sales of generic products with limited competition resulting from marketing exclusivity or other factors, and the failure to timely and effectively file any NDA, ANDA, BLA or Supplemental Biologics License Application (sBLA) with the FDA or similar filings with other regulatory agencies, or to partner with parties that have obtained marketing exclusivity,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Furthermore, the successful commercialization of a product is subject to a number of factors, including:</w:t>
      </w:r>
    </w:p>
    <w:p>
      <w:pPr>
        <w:spacing w:after="0" w:line="23"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ease of use and safety of our products as compared to existing products;</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demand and the willingness of physicians and customers to adopt our products over products with which they may have more loyalty or familiarity and overcoming any biases toward competitors’ products or against our products;</w:t>
      </w: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our products compared to alternative products and the pricing and commercialization strategies of our competitors;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launch and marketing efforts;</w:t>
      </w:r>
    </w:p>
    <w:p>
      <w:pPr>
        <w:spacing w:after="0" w:line="9"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about us, our products, our competitors and their products or the industry as a whole or favorable publicity about competitors or their products;</w:t>
      </w: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advent of new and innovative alternative products;</w:t>
      </w:r>
    </w:p>
    <w:p>
      <w:pPr>
        <w:spacing w:after="0" w:line="9" w:lineRule="exact"/>
        <w:rPr>
          <w:rFonts w:ascii="Arial" w:cs="Arial" w:eastAsia="Arial" w:hAnsi="Arial"/>
          <w:sz w:val="18"/>
          <w:szCs w:val="18"/>
          <w:color w:val="auto"/>
        </w:rPr>
      </w:pPr>
    </w:p>
    <w:p>
      <w:pPr>
        <w:ind w:left="900" w:right="80" w:hanging="244"/>
        <w:spacing w:after="0" w:line="250"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unforeseen issues or adverse developments in connection with our products and any resulting litigation, regulatory scrutiny and/or harm to our reputation; and</w:t>
      </w:r>
    </w:p>
    <w:p>
      <w:pPr>
        <w:ind w:left="900" w:hanging="244"/>
        <w:spacing w:after="0" w:line="255"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that may be out of our control, including the decision by a collaboration partner to make substantial changes to a product’s formulation or design, or a collaboration partner refusing to perform its obligations under our collaboration agreement, which may cause delays and additional costs in developing and marketing a product.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success of our acquisition and licensing strategy is subject to uncertainty and acquisitions or licenses may reduce our earnings, be difficult to integrate, not perform as expected or require us to obtain additional financing.</w:t>
      </w:r>
    </w:p>
    <w:p>
      <w:pPr>
        <w:spacing w:after="0" w:line="5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regularly evaluate selective acquisitions and look to continue to enhance our product line by acquiring rights to additional products and compounds. Such acquisitions may be carried out through corporate acquisitions, asset acquisitions, licensing or joint venture arrangements. However, we may not be able to complete acquisitions, obtain licenses or enter into arrangements that meet our target criteria on satisfactory terms, if at all. For example, we may not be able to identify suitable acquisition candidates. In addition, any acquisition of assets and rights to products and compounds may fail to accomplish our strategic objective and may not perform as expected. Further, if we are unable to maintain, on commercially reasonable terms, product, compound or other licenses that we have acquired, our ability to develop or commercialize our products may be inhibited. In order to continue to develop and broaden our product range, we must compete to acquire assets. Our competitors may have greater resources than us and therefore be better able to complete acquisitions or licenses, which could cause us to be unable to consummate acquisitions, licensing agreements or cause the ultimate price we pay to increase. If we fail to achieve our acquisition or licensing goals, our growth may be limited.</w:t>
      </w:r>
    </w:p>
    <w:p>
      <w:pPr>
        <w:spacing w:after="0" w:line="73"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Acquisitions of companies may expose us to additional risks, which may be beyond our control and may have a material adverse effect on our business, financial condition, results of operations and cash flows. The combination of two independent businesses is a complex, costly and time-consuming process. As a result, we may be required to devote significant management attention and resources to the integration of an acquired business into our practices and operations. Any integration process may be disruptive and may not achieve realization of expected benefits. The difficulties of combining operations of companies include, among others:</w:t>
      </w:r>
    </w:p>
    <w:p>
      <w:pPr>
        <w:spacing w:after="0" w:line="3"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to integration matters;</w:t>
      </w:r>
    </w:p>
    <w:p>
      <w:pPr>
        <w:spacing w:after="0" w:line="9" w:lineRule="exact"/>
        <w:rPr>
          <w:rFonts w:ascii="Arial" w:cs="Arial" w:eastAsia="Arial" w:hAnsi="Arial"/>
          <w:sz w:val="18"/>
          <w:szCs w:val="18"/>
          <w:color w:val="auto"/>
        </w:rPr>
      </w:pPr>
    </w:p>
    <w:p>
      <w:pPr>
        <w:ind w:left="900" w:right="30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achieving anticipated cost or tax savings, synergies, business opportunities and growth prospects from the combination of the businesses;</w:t>
      </w: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pre-existing legal and/or regulatory issues;</w:t>
      </w:r>
    </w:p>
    <w:p>
      <w:pPr>
        <w:spacing w:after="0" w:line="9" w:lineRule="exact"/>
        <w:rPr>
          <w:rFonts w:ascii="Arial" w:cs="Arial" w:eastAsia="Arial" w:hAnsi="Arial"/>
          <w:sz w:val="18"/>
          <w:szCs w:val="18"/>
          <w:color w:val="auto"/>
        </w:rPr>
      </w:pPr>
    </w:p>
    <w:p>
      <w:pPr>
        <w:ind w:left="900" w:right="34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conforming standards, controls, procedures and accounting and other policies, business cultures and compensation structures between the companies;</w:t>
      </w: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the assimilation of employees and retention of key personnel;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retaining existing customers and obtaining new customers;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unknown liabilities or larger liabilities than projected;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increases to expenses or other adverse consequences;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coordinating a geographically dispersed organization.</w:t>
      </w:r>
    </w:p>
    <w:p>
      <w:pPr>
        <w:spacing w:after="0" w:line="10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In addition, any acquisitions may result in material unanticipated problems, expenses, liabilities, competitive responses and loss or disruption of relationships with customers, suppliers, partners, regulators and others with whom we have business or other dealings.</w:t>
      </w:r>
    </w:p>
    <w:p>
      <w:pPr>
        <w:spacing w:after="0" w:line="6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benefits of mergers and acquisitions are also subject to a variety of other factors, many of which are beyond our ability to control, such as changes in the rate of economic growth in jurisdictions in which the combined company will do business, the financial performance of the combined business in various jurisdictions, currency exchange rate fluctuations and significant changes in trade, monetary or fiscal policies, including changes in interest rates and tax law of the jurisdictions in which the combined company will do business. The impact of these factors, individually and in the aggregate, is difficult to predict, in part because the occurrence of the events or circumstances relating to such factors may be interrelated, and the impact to the combined company of the occurrence of any one of these events or circumstances could be compounded or, alternatively, reduced, offset or more than offset by the occurrence of one or more of the other events or circumstances relating to such factors.</w:t>
      </w:r>
    </w:p>
    <w:p>
      <w:pPr>
        <w:spacing w:after="0" w:line="6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based on current acquisition prices in the pharmaceutical industry, acquisitions could decrease our net income per share and add significant intangible assets and related amortization or impairment charges. Our acquisition strategy may require us to obtain additional debt or equity financing, resulting in additional debt obligations, increased interest expense or dilution of equity ownership. We may not be able to finance acquisitions on terms satisfactory to us, or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to sell assets, which could adversely affect our prospects and opportunities for growth.</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addition to our efforts to consummate the Sale, and subject to any required approvals of the Bankruptcy Court, we may from time to time consider selling certain assets if we determine that such assets are not critical to our strategy or we believe the opportunity to monetize the asset is attractive or for various other reasons, including for the reduction of indebtedness. For example, as further discussed in Note 4. Discontinued Operations and Asset Sales in the Consolidated Financial Statements included in Part IV, Item 15 of this report, in both 2021 and 2022, we divested of certain assets related to our retail generics business. We have also divested of certain intellectual property rights throughout each of the past three years. We intend to continue to explore the sale of certain non-core assets, subject to any limitations imposed as a result of our bankruptcy proceedings. Although our preference is to engage in asset sales only if they advance or otherwise support our overall strategy, we may decide to sell assets in response to liquidation or other claims described herein, and any such sale could reduce the size or scope of our business, our market share in particular markets or our opportunities with respect to certain markets, products or therapeutic categories. As a result, any such sale could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availability of third-party reimbursement for our products is uncertain, and we may find it difficult to maintain current price levels.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Additionally, the market may not accept those products for which third-party reimbursement is not adequately provided.</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third-party reimbursements for our products will be adequate for us to maintain price levels sufficient for realization of an appropriate return on our investment. Government payers, private insurers and other third-party payers are increasingly attempting to contain healthcare costs by: (i) limiting both coverage and the level of reimbursement (including adjusting co-pays) for products; (ii) refusing, in some cases, to provide any coverage for off-label uses for products; and (iii) requiring or encouraging, through more favorable reimbursement levels or otherwise, the substitution of generic alternatives to branded products. For instance, government agencies or third-party payers could attempt to reduce reimbursement for physician administered products through their interpretation of complex government price reporting obligations and payment and reimbursement coding rules, and could attempt to reduce reimbursement for separate physician administered products that share an active ingredient by requiring the blending of sales and pricing information in the same payment and reimbursement code.</w:t>
      </w:r>
    </w:p>
    <w:p>
      <w:pPr>
        <w:spacing w:after="0" w:line="77" w:lineRule="exact"/>
        <w:rPr>
          <w:sz w:val="20"/>
          <w:szCs w:val="20"/>
          <w:color w:val="auto"/>
        </w:rPr>
      </w:pPr>
    </w:p>
    <w:p>
      <w:pPr>
        <w:ind w:right="40" w:firstLine="486"/>
        <w:spacing w:after="0" w:line="267" w:lineRule="auto"/>
        <w:rPr>
          <w:sz w:val="20"/>
          <w:szCs w:val="20"/>
          <w:color w:val="auto"/>
        </w:rPr>
      </w:pPr>
      <w:r>
        <w:rPr>
          <w:rFonts w:ascii="Arial" w:cs="Arial" w:eastAsia="Arial" w:hAnsi="Arial"/>
          <w:sz w:val="17"/>
          <w:szCs w:val="17"/>
          <w:color w:val="auto"/>
        </w:rPr>
        <w:t>There have been several recent U.S. Congressional inquiries, hearings and proposed and enacted federal and state legislation and rules, as well as executive orders, designed to, among other things: (i) reduce or limit the prices of drugs and make them more affordable for patients, such as by tying the prices that Medicare reimburses for physician administered drugs to the prices of drugs in other countries; (ii) reform the structure and financing of Medicare Part D pharmaceutical benefits, including through increasing manufacturer contributions to offset Medicare beneficiary costs; (iii) bring more transparency to how manufacturers price their medicines; (iv) enable the government to directly negotiate prices for drugs covered under Medicare; (v) revise rules associated with the calculation of Medicaid Average Manufacturer Price and Best Price, including with regard to the manner in which pharmaceutical manufacturers may provide copayment assistance to patients and the identification of “line extension” drugs, which affect the amount of rebates that manufacturers must pay on prescription drugs under Medicaid; (vi) eliminate anti-kickback statute discount safe harbor protection for manufacturer rebate arrangements with Medicare Part D Plan Sponsors and pharmacy benefit managers on behalf of Part D Plan Sponsors; (vii) create new anti-kickback statute safe harbors applicable to certain point-of-sale discounts to patients and fixed-fee administrative fee payment arrangements with pharmacy benefit managers; and (viii) and facilitate the importation of certain lower-cost drugs from other countries. In addition, state legislatures have enacted legislation and regulations designed to control pharmaceutical and biological product pricing, including restrictions on pricing or reimbursement at the state government level, marketing cost disclosure and transparency measures, and, in some cases, policies to encourage importation of drugs from other countries (subject to federal approval) and bulk purchasing, including the National Medicaid Pooling Initiative. While we cannot predict the final form of any pending legislative, regulatory and/or administrative measures, some of the pending and enacted legislative proposals or executive rulemaking, such as those incorporating International Pricing Index or Most-Favored-Nation models, could significantly reduce the coverage and levels of reimbursement for products.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in August 2022, the U.S. enacted the Inflation Reduction Act of 2022. Subject to subsequent rulemaking, this act, among other changes:</w:t>
      </w:r>
    </w:p>
    <w:p>
      <w:pPr>
        <w:spacing w:after="0" w:line="46" w:lineRule="exact"/>
        <w:rPr>
          <w:sz w:val="20"/>
          <w:szCs w:val="20"/>
          <w:color w:val="auto"/>
        </w:rPr>
      </w:pPr>
    </w:p>
    <w:p>
      <w:pPr>
        <w:ind w:right="220" w:firstLine="8"/>
        <w:spacing w:after="0" w:line="268" w:lineRule="auto"/>
        <w:tabs>
          <w:tab w:leader="none" w:pos="2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gives HHS the ability and authority to directly negotiate with manufacturers the price that Medicare will pay for certain drugs; (ii) requires manufacturers of certain Part B and Part D drugs to issue rebates to HHS based on certain calculations and triggers, such as when drug price increases outpace the rate of inflation; (iii) places certain limitations on out-of-pocket spending for Medicare Part D enrollees; (iv) implements a 15% corporate alternative minimum tax on book income on corporations whose average annual adjusted financial statement income during the most recently-completed three-year period exceeds $1.0 billion; (v) implements a 1% excise tax on net stock repurchases; and (vi) implements several tax incentives to promote clean energy. While the impact of the Inflation Reduction Act of 2022 was not material to us in 2022, we are continuing to evaluate the act and its requirements, as well as any potential impact on our business. It is possible that the act will have a material adverse effect on our business, financial condition, results of operations and cash flows in the future.</w:t>
      </w:r>
    </w:p>
    <w:p>
      <w:pPr>
        <w:spacing w:after="0" w:line="7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unavailability of or a reduction in the reimbursement of our products could have a material adverse effect on our business, financial condition, results of operations and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pricing pressure on our products due to social or political pressures, which would reduce our revenue and future profitability.</w:t>
      </w:r>
    </w:p>
    <w:p>
      <w:pPr>
        <w:spacing w:after="0" w:line="14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may experience downward pricing pressure on our products due to social or political pressures, which would reduce our revenue and future profitability. Price increases have resulted in increased public and governmental scrutiny of the cost of pharmaceutical products. For example, U.S. federal prosecutors have issued subpoenas to pharmaceutical companies in connection with an investigation into pricing practices conducted by the DOJ. Several state attorneys general also have commenced drug pricing investigations and filed lawsuits against pharmaceutical companies, including PPI, and the U.S. Senate has investigated a number of pharmaceutical companies relating to price increases and pricing practices. Our revenue and future profitability could be negatively affected if these or other inquiries were to result in legislative or regulatory proposals limiting our ability to increase or maintain the prices of our products.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the federal government and a number of federal legislators continue to scrutinize pharmaceutical prices and seek ways to lower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recent legislation, including the Inflation Reduction Act of 2022, seeks to reduce prescription drug costs in a variety of ways.</w:t>
      </w:r>
    </w:p>
    <w:p>
      <w:pPr>
        <w:spacing w:after="0" w:line="9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business is highly dependent upon market perceptions of us, our brands and the safety and quality of our products and similar products, and may be adversely impacted by negative publicity or findings.</w:t>
      </w:r>
    </w:p>
    <w:p>
      <w:pPr>
        <w:spacing w:after="0" w:line="5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We are dependent on market perceptions and consumer preferences. Negative publicity or findings associated with product quality, safety, efficacy, patient illness, side effects or other adverse effects related to, or perceived to be related to, our products, or similar products, or our or our partners’ and suppliers’ manufacturing facilities, could have a material adverse effect on our business, financial condition, results of operations and cash flows.</w:t>
      </w:r>
    </w:p>
    <w:p>
      <w:pPr>
        <w:spacing w:after="0" w:line="41"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Market perceptions and consumer preferences are very important to our business, especially with respect to our brands, company name and the safety and quality of our products. Our products and similar products are subject to market withdrawal or recall and may be claimed or proven to be ineffective or harmful to consumers.</w:t>
      </w:r>
    </w:p>
    <w:p>
      <w:pPr>
        <w:spacing w:after="0" w:line="76"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Our products may cause known or unknown adverse or other side effects. If we or our partners, suppliers or brands are negatively impacted by publicity, media coverage, market perception or consumer preference, it could impact the commercial viability of our products, which could have a material adverse effect on our business, financial condition, results of operations and cash flows. For example, in December 2022, we announced we would be taking certain actions to cease the production and sale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light of market concerns about the extent and variability of bruising following initial treatment as well as the potential for prolonged skin discoloration.</w:t>
      </w:r>
    </w:p>
    <w:p>
      <w:pPr>
        <w:spacing w:after="0" w:line="9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pharmaceutical supply chain has been increasingly challenged by the vulnerability of distribution channels to illegal counterfeiting and the presence of counterfeit products in a growing number of markets and over the internet. 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68"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Negative posts or comments about us on any social networking website could seriously damage our reputation. 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w:t>
      </w:r>
    </w:p>
    <w:p>
      <w:pPr>
        <w:spacing w:after="0" w:line="57"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Unfavorable media coverage about opioid abuse could negatively affect our business, financial condition and results of operations. In recent years, opioid abuse has received a high degree of media coverage. Unfavorable publicity regarding, for example, the use or misuse of oxycodone or other prescription opioid medications, the limitations of abuse-deterrent forms, public inquiries and investigations into drug abuse, including the abuse of prescription products, litigation or regulatory activity could adversely affect our reputation. Additionally, increased scrutiny of opioids generally, whether focused on our products or otherwise, could negatively impact our relationship with healthcare providers and other members of the healthcare community. Such negative publicity could have an adverse effect on the potential size of the market for new or existing products and could decrease revenues and royalties, any of which could have a material adverse effect on our business, financial condition, results of operations and cash flows.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existing or future legislation and regulations.</w:t>
      </w:r>
    </w:p>
    <w:p>
      <w:pPr>
        <w:spacing w:after="0" w:line="12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cannot predict with any certainty how existing laws may be applied or how laws or legal standards may change in the future. Current or future legislation and regulations, whether state or federal, or in any of the non-U.S. jurisdictions with authority over our operations, may have a material adverse effect on our business, financial condition, results of operations and cash flows.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 October 2018, the Substance Use-Disorder Prevention that Promotes Opioid Recovery and Treatment for Patients and Communities Act was enacted in response to the opioid abuse epidemic. State laws have been enacted such as the New York Opioid Stewardship Act enacted in April 2018 which provides for certain manufacturers and distributors to make payments to an opioid stewardship fund. In April 2019, New York enacted an excise tax on the first sale of every opioid unit in New York. 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These statutes, and similar statutes enacted by other jurisdictions, and resultant litigation, could have a material adverse effect on our business, financial condition, results of operations and cash flows.</w:t>
      </w:r>
    </w:p>
    <w:p>
      <w:pPr>
        <w:spacing w:after="0" w:line="5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Canada, the prices of patented pharmaceutical products are subject to regulation by the PMPRB. Under the Canadian Patent Act and Patented Medicines Regulations, patentees of inventions that pertain to pharmaceutical products sold in Canada are required to file price and sales information about 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that came into force on July 1, 2022 made a number of changes to the regulation of Canadian drug prices by the PMPRB. The application of new price tests under the PMPRB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payments to the Canadian government to offset revenues deemed by the PMPRB to be excessive, which could ultimately impact the commercial viability of products we sell in Canada, reduce the revenues and cash flows of our International Pharmaceuticals segment and/or could have a material adverse effect on our business, financial condition, results of operations and cash flows.</w:t>
      </w:r>
    </w:p>
    <w:p>
      <w:pPr>
        <w:spacing w:after="0" w:line="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It is possible that these or other changes in law could have a material adverse effect on our business, financial condition, results of operations and cash flows. See “Governmental Regulation” in Part I, Item 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concentration may adversely affect our financial condition and results of operations.</w:t>
      </w:r>
    </w:p>
    <w:p>
      <w:pPr>
        <w:spacing w:after="0" w:line="12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Our current customer group reflects significant consolidation in recent years, marked by mergers and acquisitions and other alliances. Consolidations and joint purchasing arrangements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7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Net revenues from direct customers that accounted for 10% or more of our total consolidated net revenues during the years ended December 31, 2022, 2021 and 2020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10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88"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Revenues from these customers are included within each of our segments. Accordingly, our revenues, financial condition or results of operations may also be unduly affected by fluctuations in the buying or distribution patterns of these customers. These fluctuations may result from seasonality, pricing, wholesaler inventory objectives or other factors. In addition, if we were to lose the business of any of these customers, or if any were to fail to pay us on a timely basis, it could have a material adverse effect on our business, financial condition, results of operations and cash flows.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are currently dependent on outside manufacturers for the manufacture of a significant amount of our products; therefore, we have and expect to continue to have limited control of the manufacturing process and related costs. Certain of our manufacturers currently constitute the sole source of one or more of our products.</w:t>
      </w:r>
    </w:p>
    <w:p>
      <w:pPr>
        <w:spacing w:after="0" w:line="7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Third-party manufacturers currently manufacture a significant amount of our products pursuant to contractual arrangements. Certain of our manufacturers currently constitute the sole source of our products. For example, Teikoku Seiyaku Co., Ltd. is our sole source of our lidocaine patch 5% product. As a result of the sale of certain of our manufacturing facilities and related assets, as further discussed in Note 4. Discontinued Operations and Asset Sales in the Consolidated Financial Statements included in Part IV, Item 15 of this report, our reliance on third-party manufacturers has increased and we are working with new third-party manufacturers that we have not worked with before.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spacing w:after="0" w:line="59"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We are dependent on third parties to supply raw materials used in our products and to provide services for certain core aspects of our business. Any interruption, mistake or failure by suppliers, distributors and collaboration partners to meet their obligations pursuant to various agreements with us could have a material adverse effect on our business, financial condition, results of operations and cash flows.</w:t>
      </w:r>
    </w:p>
    <w:p>
      <w:pPr>
        <w:spacing w:after="0" w:line="3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rely on third parties to supply raw materials used in our products. In addition, we rely on third-party suppliers, distributors and collaboration partners to provide services for certain core aspects of our business, including manufacturing, packaging, shipping, warehousing, distribution, customer service support, medical affairs services, clinical studies, sales and other technical and financial services. Third-party suppliers and contractors are subject to FDA and very often DEA requirements. Our business and financial viability are dependent on the continued supply of goods and services by these third parties, the regulatory compliance of these third parties and on the strength, validity and terms of our various contracts with these third parties. Any interruption, mistake or failure by our suppliers, distributors and collaboration partners to meet their obligations pursuant to various agreements with us on schedule or in accordance with our expectations, or any termination by these third parties of their arrangements with us, which, in each case, could be the result of one or many factors outside of our control, could delay or prevent the development, approval, manufacture or commercialization of our products, result in non-compliance with applicable laws and regulations, cause us to incur failure-to-supply penalties,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spacing w:after="0" w:line="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have a material adverse effect on our business, financial condition, results of operations and cash flows.</w:t>
      </w:r>
    </w:p>
    <w:p>
      <w:pPr>
        <w:spacing w:after="0" w:line="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are dependent 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impact our reporting. Refer to “CRITICAL ACCOUNTING ESTIMATES” in Part II, Item 7 of this report “Management’s Discussion and Analysis of Financial Condition and Results of Operations” for information about our most significant accounting estimates.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have limited experience in manufacturing biologic products and may encounter difficulties in our manufacturing processes, which could materially adversely affect our results of operations or delay or disrupt the manufacture and supply of those products which are reliant upon our manufacturing operations.</w:t>
      </w:r>
    </w:p>
    <w:p>
      <w:pPr>
        <w:spacing w:after="0" w:line="72" w:lineRule="exact"/>
        <w:rPr>
          <w:sz w:val="20"/>
          <w:szCs w:val="20"/>
          <w:color w:val="auto"/>
        </w:rPr>
      </w:pPr>
    </w:p>
    <w:p>
      <w:pPr>
        <w:ind w:right="80" w:firstLine="486"/>
        <w:spacing w:after="0" w:line="228" w:lineRule="auto"/>
        <w:rPr>
          <w:sz w:val="20"/>
          <w:szCs w:val="20"/>
          <w:color w:val="auto"/>
        </w:rPr>
      </w:pPr>
      <w:r>
        <w:rPr>
          <w:rFonts w:ascii="Arial" w:cs="Arial" w:eastAsia="Arial" w:hAnsi="Arial"/>
          <w:sz w:val="18"/>
          <w:szCs w:val="18"/>
          <w:color w:val="auto"/>
        </w:rPr>
        <w:t>The manufacture of biologic products requires significant expertise and capital investment. Although we manufacture CCH, which is included in XIAFLEX</w:t>
      </w:r>
      <w:r>
        <w:rPr>
          <w:rFonts w:ascii="Arial" w:cs="Arial" w:eastAsia="Arial" w:hAnsi="Arial"/>
          <w:sz w:val="23"/>
          <w:szCs w:val="23"/>
          <w:color w:val="auto"/>
          <w:vertAlign w:val="superscript"/>
        </w:rPr>
        <w:t>®</w:t>
      </w:r>
      <w:r>
        <w:rPr>
          <w:rFonts w:ascii="Arial" w:cs="Arial" w:eastAsia="Arial" w:hAnsi="Arial"/>
          <w:sz w:val="18"/>
          <w:szCs w:val="18"/>
          <w:color w:val="auto"/>
        </w:rPr>
        <w:t>, in our Horsham, Pennsylvania facility, we have limited experience in manufacturing biologic products. Biologics such as CCH require processing steps that are highly complex and generally more difficult than those required for most chemical pharmaceuticals. In addition,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manufactured using a unique, proprietary process. If the manufacturing processes are disrupted at the facilities where our biologic products are manufactured, it may be difficult to find alternate manufacturing sites. We may encounter difficulties with the manufacture of CCH and the active ingredient of TESTOPEL</w:t>
      </w:r>
      <w:r>
        <w:rPr>
          <w:rFonts w:ascii="Arial" w:cs="Arial" w:eastAsia="Arial" w:hAnsi="Arial"/>
          <w:sz w:val="23"/>
          <w:szCs w:val="23"/>
          <w:color w:val="auto"/>
          <w:vertAlign w:val="superscript"/>
        </w:rPr>
        <w:t>®</w:t>
      </w:r>
      <w:r>
        <w:rPr>
          <w:rFonts w:ascii="Arial" w:cs="Arial" w:eastAsia="Arial" w:hAnsi="Arial"/>
          <w:sz w:val="18"/>
          <w:szCs w:val="18"/>
          <w:color w:val="auto"/>
        </w:rPr>
        <w:t>, which could delay, disrupt or halt our manufacture of such products and/or product candidates, result in supply disruption or delay, product recalls or product liability claims, require write-offs or otherwise have a material adverse effect on our business, financial condition, results of operations and cash flows.</w:t>
      </w:r>
    </w:p>
    <w:p>
      <w:pPr>
        <w:spacing w:after="0" w:line="9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36"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DEA limits the availability of the active ingredients used in many of our products and sets a quota on the production of these products. We, or our contract manufacturing organizations, must annually apply to the DEA for procurement and production quotas in order to obtain these substances and produce our products. In addition, H.R. 6 amended the CSA with respect to quotas by requiring the DEA to estimate the amount and impact of diversion (including overdose deaths and abuse and overall public health impact) of fentanyl, oxycodone, hydrocodone, oxymorphone or hydromorphone and to make appropriate quota reductions. As a result, our procurement and production quotas may not be sufficient to meet commercial demand or to complete clinical trials. Moreover, the DEA may adjust these quotas from time to time during the year. Any delay or refusal by the DEA in establishing our quotas, or modification of our quotas, for controlled substances could delay or result in the stoppage of clinical trials or product launches, or could cause trade inventory disruptions for those products that have already been launched, which could have a material adverse effect on our business, financial condition, results of operations and cash flows.</w:t>
      </w:r>
    </w:p>
    <w:p>
      <w:pPr>
        <w:spacing w:after="0" w:line="6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are unable to retain our key personnel and continue to attract additional professional staff, we may be unable to maintain or expand our business.</w:t>
      </w:r>
    </w:p>
    <w:p>
      <w:pPr>
        <w:spacing w:after="0" w:line="5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Because of the specialized scientific nature of our business, our ability to develop products and to compete with our current and future competitors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financial condition, results of operations and cash flows. While we have consulting agreements with certain key individuals and institutions and have employment agreements with our key executives, we may be unsuccessful in retaining personnel or their services under existing agreements. There is intense competition for qualified personnel in our industry, and we may be unable to continue to attract and retain the qualified personnel necessary for the successful development of our business. These risks have been and are likely to continue to be exacerbated by our ongoing bankruptcy proceedings.</w:t>
      </w:r>
    </w:p>
    <w:p>
      <w:pPr>
        <w:spacing w:after="0" w:line="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operations could be disrupted if our information systems fail, if we are unsuccessful in implementing necessary upgrades or if we are subject to cyber-attacks.</w:t>
      </w:r>
    </w:p>
    <w:p>
      <w:pPr>
        <w:spacing w:after="0" w:line="58"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Our business depends on the efficient and uninterrupted operation of our computer and communications systems and networks, hardware and software systems and our other information technology. As such, we continuously invest financial and other resources to maintain, enhance, further develop, replace or add to our information technology infrastructure. Such efforts carry risks such as cost overruns, project delays and business interruptions, which could have a material adverse effect on our business, financial condition, results of operations and cash flows. Additionally, these measures are not guaranteed to protect against all cybersecurity incidents.</w:t>
      </w:r>
    </w:p>
    <w:p>
      <w:pPr>
        <w:spacing w:after="0" w:line="8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the ordinary course of our business, we collect and maintain information, which includes confidential, proprietary and personal information regarding our customers and employees, in digital form. Data maintained in digital form is subject to risk of cyber-attacks, which are increasing in frequency and sophistication and are made by groups and individuals with a wide range of motives and expertise, including criminal groups, “hackers” and others. Cyber-attacks could include the deployment of harmful malware, viruses, worms, denial-of-service attacks, ransomware, phishing, social engineering and other means to affect service reliability and threaten data confidentiality, integrity and availability. Despite our efforts to monitor and safeguard our systems to prevent data compromise, the possibility of a future data compromise cannot be eliminated entirely, and risks associated with intrusion, tampering and theft remain. If our systems were to fail or we are unable to successfully expand the capacity of these systems, or we are unable to integrate new technologies into our existing systems, our operations and financial results could suffer.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We also have outsourced certain elements and functions of our operations, including elements of our information technology infrastructure, to third parties, some of which operate outside the U.S. As a result, we manage many independent vendor relationships with third parties who may or could have access to our confidential information. The size and complexity of our and our vendors’ systems make such systems potentially vulnerable to service interruptions and to security breaches from inadvertent or intentional actions by our employees, our partners, our vendors or other third parties, or from attacks by malicious third parties.</w:t>
      </w:r>
    </w:p>
    <w:p>
      <w:pPr>
        <w:spacing w:after="0" w:line="80" w:lineRule="exact"/>
        <w:rPr>
          <w:sz w:val="20"/>
          <w:szCs w:val="20"/>
          <w:color w:val="auto"/>
        </w:rPr>
      </w:pPr>
    </w:p>
    <w:p>
      <w:pPr>
        <w:ind w:right="300" w:firstLine="486"/>
        <w:spacing w:after="0" w:line="311" w:lineRule="auto"/>
        <w:rPr>
          <w:sz w:val="20"/>
          <w:szCs w:val="20"/>
          <w:color w:val="auto"/>
        </w:rPr>
      </w:pPr>
      <w:r>
        <w:rPr>
          <w:rFonts w:ascii="Arial" w:cs="Arial" w:eastAsia="Arial" w:hAnsi="Arial"/>
          <w:sz w:val="16"/>
          <w:szCs w:val="16"/>
          <w:color w:val="auto"/>
        </w:rPr>
        <w:t>The Company and its vendors’ information technology operations are spread across multiple, sometimes inconsistent platforms, which pose difficulties in maintaining data integrity across systems. The ever-increasing use and evolution of technology, including cloud-based computing, creates opportunities for the unintentional or improper dissemination or destruction of confidential information stored in the Company’s systems.</w:t>
      </w:r>
    </w:p>
    <w:p>
      <w:pPr>
        <w:spacing w:after="0" w:line="4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Any breach of our security measures or the accidental loss, inadvertent disclosure, unapproved dissemination, misappropriation or misuse of trade secrets, proprietary information or other confidential information, whether as a result of theft, fraud, cyber-attacks, hacking, trickery or other forms of deception or any other cause, could enable others to produce competing products, use our proprietary technology or information and/or adversely affect our business position. Further, any such interruption, security breach, loss or disclosure of confidential, proprietary or personal information could result in financial, legal, business and reputational harm to our company and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risks related to our global operations may adversely impact our revenues, results of operations and financial condition.</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2022, approximately 4%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U.S. Foreign Corrupt Practices Act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spacing w:after="0" w:line="64" w:lineRule="exact"/>
        <w:rPr>
          <w:sz w:val="20"/>
          <w:szCs w:val="20"/>
          <w:color w:val="auto"/>
        </w:rPr>
      </w:pPr>
    </w:p>
    <w:p>
      <w:pPr>
        <w:ind w:right="180" w:firstLine="486"/>
        <w:spacing w:after="0" w:line="268" w:lineRule="auto"/>
        <w:rPr>
          <w:sz w:val="20"/>
          <w:szCs w:val="20"/>
          <w:color w:val="auto"/>
        </w:rPr>
      </w:pPr>
      <w:r>
        <w:rPr>
          <w:rFonts w:ascii="Arial" w:cs="Arial" w:eastAsia="Arial" w:hAnsi="Arial"/>
          <w:sz w:val="17"/>
          <w:szCs w:val="17"/>
          <w:color w:val="auto"/>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we currently perform certain R&amp;D and manufacturing operations in India and plan to expand these operations, including through investment in our manufacturing site in Indore. A disruption in our Indian operations could have a material adverse effect on our business, financial condition, results of operations and cash flows. These risks include, among others:</w:t>
      </w:r>
    </w:p>
    <w:p>
      <w:pPr>
        <w:spacing w:after="0" w:line="3"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additional U.S. and non-U.S. governmental controls or regulations;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9" w:lineRule="exact"/>
        <w:rPr>
          <w:rFonts w:ascii="Arial" w:cs="Arial" w:eastAsia="Arial" w:hAnsi="Arial"/>
          <w:sz w:val="18"/>
          <w:szCs w:val="18"/>
          <w:color w:val="auto"/>
        </w:rPr>
      </w:pPr>
    </w:p>
    <w:p>
      <w:pPr>
        <w:ind w:left="90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continued business with the sanctioned country, company, person or entity;</w:t>
      </w:r>
    </w:p>
    <w:p>
      <w:pPr>
        <w:ind w:left="900" w:right="14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or political instability or disruptions, including local or regional instability, civil unrest or hostilities, rioting, military activity, terror attacks or armed hostilities;</w:t>
      </w:r>
    </w:p>
    <w:p>
      <w:pPr>
        <w:ind w:left="900" w:right="44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due to natural disasters, earthquakes, cyclones, tornados, typhoons, flooding, droughts, landslides, geological events or severe weather events which may be exacerbated by the effects of climate change;</w:t>
      </w: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related to COVID-19 or other pandemics;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new trade restrictions including foreign exchange controls;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global tax laws and/or the imposition by tax authorities of significant fines, penalties and additional taxes;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9" w:lineRule="exact"/>
        <w:rPr>
          <w:rFonts w:ascii="Arial" w:cs="Arial" w:eastAsia="Arial" w:hAnsi="Arial"/>
          <w:sz w:val="18"/>
          <w:szCs w:val="18"/>
          <w:color w:val="auto"/>
        </w:rPr>
      </w:pPr>
    </w:p>
    <w:p>
      <w:pPr>
        <w:ind w:left="900" w:right="100" w:hanging="244"/>
        <w:spacing w:after="0" w:line="250"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differences and additional employment regulations, union workforce negotiations and potential disputes in the jurisdictions in which we operate;</w:t>
      </w:r>
    </w:p>
    <w:p>
      <w:pPr>
        <w:ind w:left="900" w:hanging="244"/>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and costs of obtaining and maintaining labs, R&amp;D sites, manufacturing facilities and other locations in which we operate;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hanging="244"/>
        <w:spacing w:after="0" w:line="223" w:lineRule="exact"/>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COVID</w:t>
      </w:r>
      <w:r>
        <w:rPr>
          <w:rFonts w:ascii="MS PGothic" w:cs="MS PGothic" w:eastAsia="MS PGothic" w:hAnsi="MS PGothic"/>
          <w:sz w:val="18"/>
          <w:szCs w:val="18"/>
          <w:color w:val="auto"/>
        </w:rPr>
        <w:t>‐</w:t>
      </w:r>
      <w:r>
        <w:rPr>
          <w:rFonts w:ascii="Arial" w:cs="Arial" w:eastAsia="Arial" w:hAnsi="Arial"/>
          <w:sz w:val="18"/>
          <w:szCs w:val="18"/>
          <w:color w:val="auto"/>
        </w:rPr>
        <w:t>19 or other outbreaks, epidemics or pandemics as described in the risk factor “Widespread health problems, including the recent global coronavirus, could materially and adversely affect our business” set forth in this report;</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different legal and political standards due to our conducting business in foreign countries.</w:t>
      </w:r>
    </w:p>
    <w:p>
      <w:pPr>
        <w:spacing w:after="0" w:line="1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spacing w:after="0" w:line="6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cannot provide assurance that one or more of these factors will not harm our business. Risks associated with our non-U.S. R&amp;D, manufacturing or sales could have a material adverse effect on our business, financial condition,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Widespread health problems, including the recent global coronavirus, could materially and adversely affect our business.</w:t>
      </w:r>
    </w:p>
    <w:p>
      <w:pPr>
        <w:spacing w:after="0" w:line="12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and in order to provide for the well-being of our workforce around the globe while continuing to safely produce products upon which patients and their healthcare providers rely, we implemented alternative working practices and work-from-home requirements for appropriate employees, inclusive of our Senior Executive Team. We limited international and domestic travel, increased our already-thorough cleaning protocols throughout our facilities and prohibited non-essential visitors from our sites. We also implemented temperature screenings, health questionnaires, social distancing, modified schedules, shift rotation and/or other similar policies at our manufacturing facilities. We have since begun to adjust certain of these practices, reflecting the evolved guidelines from health and other governmental authorities.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 COVID-19 contributed to some delays in the completion of our facility in Indore, including delays related to construction and FDA inspections.</w:t>
      </w:r>
    </w:p>
    <w:p>
      <w:pPr>
        <w:spacing w:after="0" w:line="78"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Widespread health problems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Additionally, the supply of goods and services worldwide may be adversely affected as a result of increased pressure on global logistics network infrastructure and capacity or otherwise, which could result in interruptions of supply and/or increased costs based upon inability to obtain, and/or delayed deliveries of, raw materials and/or critical supplies necessary to continue our manufacturing activities and/or those of our third-party suppliers. See the risk factor “Supply chain and other manufacturing disruptions could negatively impact our businesses” for more information.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 xml:space="preserve">Due to these disruptions and other factors, including changes in our workforce availability and increased demand for some of our critical care products, our ability to meet our obligations to third-party distribution partners may be negatively impacted. We have delivered, and in the future we or our third-party providers may deliver, notices of the occurrence of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86" w:lineRule="exact"/>
        <w:rPr>
          <w:sz w:val="20"/>
          <w:szCs w:val="20"/>
          <w:color w:val="auto"/>
        </w:rPr>
      </w:pPr>
    </w:p>
    <w:p>
      <w:pPr>
        <w:ind w:firstLine="486"/>
        <w:spacing w:after="0" w:line="273" w:lineRule="auto"/>
        <w:rPr>
          <w:sz w:val="20"/>
          <w:szCs w:val="20"/>
          <w:color w:val="auto"/>
        </w:rPr>
      </w:pPr>
      <w:r>
        <w:rPr>
          <w:rFonts w:ascii="Arial" w:cs="Arial" w:eastAsia="Arial" w:hAnsi="Arial"/>
          <w:sz w:val="16"/>
          <w:szCs w:val="16"/>
          <w:color w:val="auto"/>
        </w:rPr>
        <w:t>We have experienced, and expect to continue to experience, changes in customer demand as the COVID-19 pandemic continues to evolve, which are difficult to predict. For example, certain of our products that are physician administered, including XIAFLEX</w:t>
      </w:r>
      <w:r>
        <w:rPr>
          <w:rFonts w:ascii="Arial" w:cs="Arial" w:eastAsia="Arial" w:hAnsi="Arial"/>
          <w:sz w:val="20"/>
          <w:szCs w:val="20"/>
          <w:color w:val="auto"/>
          <w:vertAlign w:val="superscript"/>
        </w:rPr>
        <w:t>®</w:t>
      </w:r>
      <w:r>
        <w:rPr>
          <w:rFonts w:ascii="Arial" w:cs="Arial" w:eastAsia="Arial" w:hAnsi="Arial"/>
          <w:sz w:val="16"/>
          <w:szCs w:val="16"/>
          <w:color w:val="auto"/>
        </w:rPr>
        <w:t>, generally experienced decreased sales volumes during the COVID-19 pandemic due to reduced physician office activity and patient office visits because of the COVID-19 pandemic. While these products have generally been recovering since early 2020, they have at times continued to be impacted by COVID-19-related and, more recently, other market conditions for specialty product office-based procedures, including medical and administrative staff shortages in physicians’ offices, reduced physician office activity and lower numbers of in-person patient office visits. The pandemic and other market conditions also created a high backlog of demand for non-elective urology procedures, which has in certain cases reduced the utilization of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by healthcare providers. Additionally, we believe that concerns by healthcare providers regarding economic uncertainty have impacted purchasing patterns of XIAFLEX</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Economic crises and increases in unemployment rates resulting from widespread health problems have the potential to significantly reduce individual disposable income, result in lower levels of healthcare insurance coverage and/or depress consumer confidence, any of which could limit the ability of some consumers to purchase certain pharmaceutical products and reduce consumer spend on certain medical procedures in both the short- and medium-term. We are unable to predict the impact that widespread health problems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widespread health problems both domestically and abroad and better able to address changes in customer demand.</w:t>
      </w:r>
    </w:p>
    <w:p>
      <w:pPr>
        <w:spacing w:after="0" w:line="69"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Additionally, our product development programs have been, and may continue to be, adversely affected by epidemics, pandemics and other widespread health problems. Public health directives may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could be subject to delays beyond our control.</w:t>
      </w:r>
    </w:p>
    <w:p>
      <w:pPr>
        <w:spacing w:after="0" w:line="8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Widespread health problems could increase the magnitude of many of the other risks described herein and have other adverse effects on our operations that we are not able to predict. For example, global economic disruptions and volatility in the financial markets could further depress our ability to obtain or renew insurance on satisfactory terms or at all. Further, we may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8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Any of the risks described herein could also apply in the event of future outbreaks.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and other manufacturing disruptions could negatively impact our businesses.</w:t>
      </w:r>
    </w:p>
    <w:p>
      <w:pPr>
        <w:spacing w:after="0" w:line="12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have experienced increased pressure and infrastructure capacity challenges to our global logistics network. Materials, 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impacted by the effects of climate change and encounter challenges implementing sustainability-related measures.</w:t>
      </w:r>
    </w:p>
    <w:p>
      <w:pPr>
        <w:spacing w:after="0" w:line="12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Climate change resulting from increased concentrations of carbon dioxide and other greenhouse gases in the atmosphere could present risks to our operations, including an adverse impact on global temperatures, weather patterns and the frequency and severity of extreme weather and natural disasters. Severe weather events, natural disasters and other disruptions, such as earthquakes, geological events, hurricanes, cyclones, tornados, typhoons, flooding, droughts, landslides and wildfires, may pose physical risks to our facilities and disrupt the operation of our supply chain. The impacts of the changing climate on water resources may result in water scarcity, limiting our ability to access sufficient high-quality water in certain locations, which may increase operational costs.</w:t>
      </w:r>
    </w:p>
    <w:p>
      <w:pPr>
        <w:spacing w:after="0" w:line="8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Concern over climate change may also result in new or additional legal or regulatory requirements designed to reduce greenhouse gas emissions and/or mitigate the effects of climate change on the environment. If such laws or regulations are more stringent than current legal or regulatory obligations, we may experience disruption in, or an increase in the costs associated with, sourcing, manufacturing and distributing our products, which could have a material adverse effect on our business, financial condition, results of operations and cash flows. We may be unable to successfully implement sustainability-related measures pursuant to our ESG strategy or to adequately respond to increased stakeholder focus on ESG matters including climate change.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Bankruptcy and Our Ordinary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and uncertainties associated with the Chapter 11 Cases.</w:t>
      </w:r>
    </w:p>
    <w:p>
      <w:pPr>
        <w:spacing w:after="0" w:line="12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The Chapter 11 Cases could have a material adverse effect on our business, financial condition, results of operations and cash flows. So long as the Chapter 11 Cases continue, our senior management may be required to spend a significant amount of time and effort dealing with bankruptcy proceedings instead of focusing on our business operations. The bankruptcy proceedings also may make it more difficult to retain management and the key personnel necessary to the success and growth of our business. In addition, during the period of time we are involved in the Chapter 11 Cases, our customers and suppliers may lose confidence in our ability to restructure our business and may seek to establish alternative commercial relationships.</w:t>
      </w:r>
    </w:p>
    <w:p>
      <w:pPr>
        <w:spacing w:after="0" w:line="53"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Other significant risks associated with the Chapter 11 Cases that could have a material adverse effect on our business, financial condition, results of operations and cash flows include or relate to the following, among others:</w:t>
      </w:r>
    </w:p>
    <w:p>
      <w:pPr>
        <w:spacing w:after="0" w:line="1" w:lineRule="exact"/>
        <w:rPr>
          <w:sz w:val="20"/>
          <w:szCs w:val="20"/>
          <w:color w:val="auto"/>
        </w:rPr>
      </w:pPr>
    </w:p>
    <w:p>
      <w:pPr>
        <w:ind w:left="900" w:right="80" w:hanging="244"/>
        <w:spacing w:after="0" w:line="250" w:lineRule="auto"/>
        <w:tabs>
          <w:tab w:leader="none" w:pos="89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obtain approval from the Bankruptcy Court (as defined below) with respect to motions or other requests made to the Bankruptcy Court in the Chapter 11 Cases, including maintaining control as debtors-in-possession;</w:t>
      </w:r>
    </w:p>
    <w:p>
      <w:pPr>
        <w:ind w:left="900" w:right="20" w:hanging="244"/>
        <w:spacing w:after="0" w:line="250" w:lineRule="auto"/>
        <w:tabs>
          <w:tab w:leader="none" w:pos="89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consummate the Sale or another restructuring transaction, including in light of the currently outstanding objections relating to the Sale and proposed marketing process filed by certain stakeholders in the Chapter 11 Cases;</w:t>
      </w:r>
    </w:p>
    <w:p>
      <w:pPr>
        <w:ind w:left="900" w:hanging="244"/>
        <w:spacing w:after="0"/>
        <w:tabs>
          <w:tab w:leader="none" w:pos="90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color w:val="auto"/>
        </w:rPr>
        <w:t>the effects of the filing of the Chapter 11 Cases on our business and the interests of various constituents, including our shareholders;</w:t>
      </w:r>
    </w:p>
    <w:p>
      <w:pPr>
        <w:spacing w:after="0" w:line="20" w:lineRule="exact"/>
        <w:rPr>
          <w:rFonts w:ascii="Arial" w:cs="Arial" w:eastAsia="Arial" w:hAnsi="Arial"/>
          <w:sz w:val="17"/>
          <w:szCs w:val="17"/>
          <w:b w:val="1"/>
          <w:bCs w:val="1"/>
          <w:i w:val="1"/>
          <w:iCs w:val="1"/>
          <w:color w:val="auto"/>
        </w:rPr>
      </w:pPr>
    </w:p>
    <w:p>
      <w:pPr>
        <w:ind w:left="900" w:hanging="244"/>
        <w:spacing w:after="0"/>
        <w:tabs>
          <w:tab w:leader="none" w:pos="9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the high costs of the Chapter 11 Cases and related fees;</w:t>
      </w:r>
    </w:p>
    <w:p>
      <w:pPr>
        <w:spacing w:after="0" w:line="9" w:lineRule="exact"/>
        <w:rPr>
          <w:rFonts w:ascii="Arial" w:cs="Arial" w:eastAsia="Arial" w:hAnsi="Arial"/>
          <w:sz w:val="18"/>
          <w:szCs w:val="18"/>
          <w:b w:val="1"/>
          <w:bCs w:val="1"/>
          <w:i w:val="1"/>
          <w:iCs w:val="1"/>
          <w:color w:val="auto"/>
        </w:rPr>
      </w:pPr>
    </w:p>
    <w:p>
      <w:pPr>
        <w:ind w:left="900" w:hanging="244"/>
        <w:spacing w:after="0"/>
        <w:tabs>
          <w:tab w:leader="none" w:pos="90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color w:val="auto"/>
        </w:rPr>
        <w:t>our ability to maintain relationships with suppliers, customers, employees and other third parties as a result of the Chapter 11 Cases;</w:t>
      </w:r>
    </w:p>
    <w:p>
      <w:pPr>
        <w:spacing w:after="0" w:line="20" w:lineRule="exact"/>
        <w:rPr>
          <w:rFonts w:ascii="Arial" w:cs="Arial" w:eastAsia="Arial" w:hAnsi="Arial"/>
          <w:sz w:val="17"/>
          <w:szCs w:val="17"/>
          <w:b w:val="1"/>
          <w:bCs w:val="1"/>
          <w:i w:val="1"/>
          <w:iCs w:val="1"/>
          <w:color w:val="auto"/>
        </w:rPr>
      </w:pPr>
    </w:p>
    <w:p>
      <w:pPr>
        <w:ind w:left="900" w:right="120" w:hanging="244"/>
        <w:spacing w:after="0" w:line="250" w:lineRule="auto"/>
        <w:tabs>
          <w:tab w:leader="none" w:pos="89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Bankruptcy Court rulings in the Chapter 11 Cases as well as the outcome of other pending litigation and the outcome of the Chapter 11 Cases in general;</w:t>
      </w:r>
    </w:p>
    <w:p>
      <w:pPr>
        <w:ind w:left="900" w:right="12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length of time that we will operate with chapter 11 protection and any resulting risk that we will not satisfy the milestones specified in the RSA and in our agreement with our secured lenders with respect to our use of their cash collateral;</w:t>
      </w:r>
    </w:p>
    <w:p>
      <w:pPr>
        <w:ind w:left="900" w:right="660" w:hanging="244"/>
        <w:spacing w:after="0" w:line="250" w:lineRule="auto"/>
        <w:tabs>
          <w:tab w:leader="none" w:pos="89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the availability of operating capital during the pendency of the Chapter 11 Cases, including any event that could terminate our right to continued access to the cash collateral of our lenders to use as operating capital;</w:t>
      </w:r>
    </w:p>
    <w:p>
      <w:pPr>
        <w:ind w:left="900" w:hanging="244"/>
        <w:spacing w:after="0"/>
        <w:tabs>
          <w:tab w:leader="none" w:pos="90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color w:val="auto"/>
        </w:rPr>
        <w:t>third-party motions in the Chapter 11 Cases, which may interfere with our ability to consummate the Sale or another restructuring transaction;</w:t>
      </w:r>
    </w:p>
    <w:p>
      <w:pPr>
        <w:spacing w:after="0" w:line="32" w:lineRule="exact"/>
        <w:rPr>
          <w:rFonts w:ascii="Arial" w:cs="Arial" w:eastAsia="Arial" w:hAnsi="Arial"/>
          <w:sz w:val="16"/>
          <w:szCs w:val="16"/>
          <w:b w:val="1"/>
          <w:bCs w:val="1"/>
          <w:i w:val="1"/>
          <w:iCs w:val="1"/>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on our business following the Sale in light of possible changes in our business and its prospects;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the adequacy of our cash balances at the time of the Sale and our projected exit from the Chapter 11 Cases; and</w:t>
      </w:r>
    </w:p>
    <w:p>
      <w:pPr>
        <w:spacing w:after="0" w:line="9" w:lineRule="exact"/>
        <w:rPr>
          <w:rFonts w:ascii="Arial" w:cs="Arial" w:eastAsia="Arial" w:hAnsi="Arial"/>
          <w:sz w:val="18"/>
          <w:szCs w:val="18"/>
          <w:b w:val="1"/>
          <w:bCs w:val="1"/>
          <w:i w:val="1"/>
          <w:iCs w:val="1"/>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Because of the risks and uncertainties associated with the Chapter 11 Cases, we may not be able to accurately predict or quantify the ultimate impact the Chapter 11 Cases may have on our business, financial condition, results of operations and cash flows, nor can we accurately predict the ultimate impact the Chapter 11 Cases may have on our corporate or capital structure.</w:t>
      </w:r>
    </w:p>
    <w:p>
      <w:pPr>
        <w:spacing w:after="0" w:line="7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Delays in the Chapter 11 Cases may increase the risks of our being unable to consummate the Sale and increase our costs associated with the Chapter 11 Cases.</w:t>
      </w:r>
    </w:p>
    <w:p>
      <w:pPr>
        <w:spacing w:after="0" w:line="58"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RSA contemplates the consummation of the Sale, but there can be no assurance that we will be able to consummate the Sale. A prolonged chapter 11 proceeding could adversely affect our relationships with customers, suppliers and employees, among other parties, which in turn could have a material adverse effect on our business, financial condition, results of operations and cash flows, as well as our ability to continue as a going concern. A weakening of our business, financial condition, results of operations and cash flows could adversely affect our ability to implement the Sale (or any alternative restructuring transaction). If we are unable to consummate the Sale (or an alternative restructuring transaction), we may be forced to liquidate our assets.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RSA is subject to significant conditions and milestones that may be difficult for us to satisfy.</w:t>
      </w:r>
    </w:p>
    <w:p>
      <w:pPr>
        <w:spacing w:after="0" w:line="121"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There are certain material conditions we must satisfy under the RSA, including the timely satisfaction of milestones in the Chapter 11 Cases, which include the consummation of the Sale. Our ability to timely complete such milestones is subject to risks and uncertainties, many of which are beyond our control. Failure to meet such milestones could have a material adverse effect on our business, financial condition, results of operations and cash flows.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RSA is terminated, our ability to confirm and consummate the Sale could be materially and adversely affected.</w:t>
      </w:r>
    </w:p>
    <w:p>
      <w:pPr>
        <w:spacing w:after="0" w:line="121"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The RSA contains a number of termination events, upon the occurrence of which certain parties to the RSA may terminate the agreement. If the RSA is terminated as to all parties thereto, each of the parties thereto will be released from its obligations in accordance with the terms of the RSA. Such termination may result in the loss of support for the Sale by the parties to the RSA, which could adversely affect our ability to consummate the Sale. If the Sale is not consummated, there can be no assurance that the Chapter 11 Cases would not be converted to chapter 7 liquidation cases or that an alternative restructuring transaction would be as favorable to holders of claims against us as the Sale transaction.</w:t>
      </w:r>
    </w:p>
    <w:p>
      <w:pPr>
        <w:spacing w:after="0" w:line="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Even if the Sale or an alternative restructuring transaction is consummated, we may not be able to achieve our stated goals or continue as a going concern.</w:t>
      </w:r>
    </w:p>
    <w:p>
      <w:pPr>
        <w:spacing w:after="0" w:line="5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Even if the Sale or an alternative restructuring transaction is consummated, we may continue to face a number of risks, such as changes in economic conditions, changes in our industry, changes in demand for our products and increasing expenses. Some of these risks become more acute when cases under the Bankruptcy Code continue for a protracted period without indication of how or when the cases may be completed. As a result of these risks and others, we cannot guarantee that the Sale or an alternative restructuring transaction will achieve our stated goals or that our business will be able to continue as a going concern.</w:t>
      </w:r>
    </w:p>
    <w:p>
      <w:pPr>
        <w:spacing w:after="0" w:line="8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Furthermore, even if our debts and other liabilities are reduced or discharged through the chapter 11 process, we may need to raise additional funds through public or private debt or equity financing or other various means to fund our business after the completion of the Chapter 11 Cases. Our access to additional financing may be limited, if it is available at all. Therefore, adequate funds may not be available when needed or may not be available on favorable terms, or at 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prosecute the Chapter 11 Cases and consummate the Sale may be contested by third parties with litigation.</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Certain of our creditors and other parties in interest may bring litigation against us during the course of the Chapter 11 Cases, the outcome of which is uncertain. Such litigation may prolong the Chapter 11 Cases and may make it difficult for us to reach the contractual milestones for the Chapter 11 Cases within the timeframe set out in the RSA. Failure to meet such milestones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certain instances, a chapter 11 case may be converted to a case under chapter 7 of the Bankruptcy Code.</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Upon a showing of cause, the Bankruptcy Court may convert the Chapter 11 Cases to cases under chapter 7 of the Bankruptcy Code. In such event, a chapter 7 trustee would be appointed or elected to liquidate our assets for distribution in accordance with the priorities established by the Bankruptcy Code. We believe that liquidation under chapter 7 would diminish recoveries for our creditors because of: (i) the likelihood that the assets would have to be sold or otherwise disposed of in a distressed fashion over a short period of time rather than in a controlled manner and as a going concern; (ii) additional administrative expenses involved in the appointment of a chapter 7 trustee; and (iii) additional expenses and claims, some of which would be entitled to priority, that would be generated during the liquidation and from the rejection of leases and other executory contracts in connection with a cessation of operations.</w:t>
      </w:r>
    </w:p>
    <w:p>
      <w:pPr>
        <w:spacing w:after="0" w:line="8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Termination of our exclusive right to file a chapter 11 plan and the exclusive right to solicit acceptances could result in other parties in interest filing plans of reorganization, which could have less favorable terms than under the Sale transaction or result in significant litigation and expenses.</w:t>
      </w:r>
    </w:p>
    <w:p>
      <w:pPr>
        <w:spacing w:after="0" w:line="7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Following the commencement of the Chapter 11 Cases, we had the exclusive right to file a chapter 11 plan through and including December 14, 2022, and the exclusive right to solicit acceptances of any such plan through February 13, 2023. Deadlines such as these may be extended from time to time by the Bankruptcy Court for cause as permitted by section 1121(d) of the Bankruptcy Code. It is also possible that: (i) parties in interest could seek to shorten or terminate such exclusive plan filing and solicitation periods “for cause” (as permitted by section 1121(d) of the Bankruptcy Code) or seek to oppose any requested extension or (ii) that such periods could expire without extension.</w:t>
      </w:r>
    </w:p>
    <w:p>
      <w:pPr>
        <w:spacing w:after="0" w:line="8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On December 14, 2022, we filed a motion with the Bankruptcy Court seeking extensions of our initial exclusive filing and solicitation periods. Several parties in interest have filed objections to the requested extensions. While certain of these objections have been consensually resolved in principle, others remain outstanding. The Bankruptcy Court hearing on the exclusivity extension motion has been adjourned to an undetermined date, and in the interim, our exclusive periods have been extended to March 20, 2023 and may be subject to further extension based on when the hearing on the exclusivity extension motion is scheduled.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If our exclusive filing and solicitation periods expire or are terminated, other parties in interest will be permitted to file plans of reorganization. There can be no assurances that recoveries under any such plans would be more favorable to creditors than under the Sale or an alternative restructuring transaction. In addition, such plans of reorganization may entail significant litigation and significantly increase the expenses of administration of the Debtors’ cases, which could deplete creditor recoveries. Furthermore, if the Bankruptcy Court does not extend the Debtors’ exclusive periods, the Ad Hoc First Lien Group (as defined below) could contend that such failure to obtain an extension gives rise to a default under the Cash Collateral Order. If the Ad Hoc First Lien Group seeks to terminate our use of cash collateral, such action could have a material adverse effect on our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 result of the Chapter 11 Cases, our historical financial information may not be indicative of our future performance, which may be volatile.</w:t>
      </w:r>
    </w:p>
    <w:p>
      <w:pPr>
        <w:spacing w:after="0" w:line="14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During the Chapter 11 Cases, we expect our financial results to continue to be volatile as restructuring activities and expenses, potential contract terminations and/or rejections and claims assessments significantly impact our Consolidated Financial Statements. As a result, our historic financial performance is likely not indicative of our financial performance after the Petition Date. In addition, if we emerge from chapter 11, the amounts reported in subsequent periods may materially change relative to historic amounts. We also may be required to adopt fresh start accounting, in which case our assets and liabilities would generally be recorded at fair value as of the fresh start reporting date, which may differ materially from the recorded values of assets and liabilities currently included in our Consolidated Balance Sheets. Our financial results after the application of fresh start accounting could also differ significantly from historic trends.</w:t>
      </w:r>
    </w:p>
    <w:p>
      <w:pPr>
        <w:spacing w:after="0" w:line="8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be subject to claims that will not be discharged in the Chapter 11 Cases, which could have a material adverse effect on our business, financial condition, results of operations and cash flows.</w:t>
      </w:r>
    </w:p>
    <w:p>
      <w:pPr>
        <w:spacing w:after="0" w:line="5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With certain exceptions, the Bankruptcy Code provides that the confirmation of a plan of reorganization generally discharges a debtor from claims arising prior to consummation of a plan of reorganization. Any claims not ultimately discharged pursuant to a plan of reorganization could be asserted against the reorganized entities and could have a material adverse effect on our business, financial condition, results of operations and cash flows. In addition, if we do not pursue a plan of reorganization following consummation of the Sale, there is a risk that claims against us will not be discharged upon our exit from chapter 11.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consummate the Sale with the Stalking Horse Bidder, we may not have sufficient liquidity to implement an orderly wind-down process.</w:t>
      </w:r>
    </w:p>
    <w:p>
      <w:pPr>
        <w:spacing w:after="0" w:line="14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RSA contemplates a marketing process and auction that will be conducted under the supervision of the Bankruptcy Court. The purchaser pursuant to the auction shall be responsible for, among other things, providing cash for the Wind-Down Amount (as defined below) to fund an orderly wind down process, as further discussed in Note 2. Bankruptcy Proceedings in the Consolidated Financial Statements included in Part IV, Item 15 of this report. The Wind-Down Amount relies on certain assumptions, including a nine-month wind-down process. It also reflects an estimate of anticipated costs to fund various items, such as director fees, professional fees, liquidation proceedings in non-U.S. jurisdictions and other administrative expenses arising after consummation of the Sale. However, there is no guarantee that the assumptions or estimates taken into account in calculating the Wind-Down Amount will result in the provision of sufficient funds to implement an orderly wind-down process.</w:t>
      </w:r>
    </w:p>
    <w:p>
      <w:pPr>
        <w:spacing w:after="0" w:line="6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pursuit of the Chapter 11 Cases has consumed, and will continue to consume, a substantial portion of the time and attention of our management, which could have a material adverse effect on our business, financial condition, results of operations and cash flows, and could cause us to experience increased levels of employee attrition.</w:t>
      </w:r>
    </w:p>
    <w:p>
      <w:pPr>
        <w:spacing w:after="0" w:line="72"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While the Chapter 11 Cases continue, our management will be required to spend a significant amount of time and effort focusing on the Chapter 11 Cases instead of focusing exclusively on our business operations. This diversion of attention could have a material adverse effect on our business, financial condition, results of operations and cash flows, particularly if the Chapter 11 Cases are protracted.</w:t>
      </w:r>
    </w:p>
    <w:p>
      <w:pPr>
        <w:spacing w:after="0" w:line="7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Furthermore, during the pendency of the Chapter 11 Cases, we may experience increased levels of employee attrition and our employees may face considerable distraction and uncertainty. A prolonged period of operating under Bankruptcy Court protection also may make it more difficult to retain management and other key personnel necessary to the success and growth of our business. A loss of key personnel or material erosion of employee morale could adversely affect our business and results of operations. The loss of services of members of our senior management team could also impair our ability to execute our strategy and implement operational initiatives, which would be likely to have a material adverse effect on our business, financial condition, results of operations and cash flows. In addition, the longer the Chapter 11 Cases continue, the more likely it is that vendors and employees will lose confidence in our ability to reorganize our business successfully.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current operations and future growth may require significant additional capital, and the amount and terms of our indebtedness could impair our ability to fund our capital requirements. Our current sources of financing may be insufficient to fund our cash requirements through emergence from bankruptcy.</w:t>
      </w:r>
    </w:p>
    <w:p>
      <w:pPr>
        <w:spacing w:after="0" w:line="7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business requires substantial capital. We may require additional capital in the event of growth opportunities, unanticipated maintenance requirements or significant departures from our current business plan. Additional financing may not be available on a timely basis or on terms acceptable to us, or at all.</w:t>
      </w:r>
    </w:p>
    <w:p>
      <w:pPr>
        <w:spacing w:after="0" w:line="7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Failure to obtain additional financing, should the need for it develop, could impair our ability to fund capital expenditure requirements and meet debt service requirements and could have a material adverse effect on our business, financial condition, results of operations and cash flows. Further, for the duration of the Chapter 11 Cases, we will be subject to various risks, including but not limited to: (i) the inability to maintain or obtain sufficient financing sources for operations or to fund the Chapter 11 Cases and meet future obligations and (ii) increased legal and/or professional costs associated with the Chapter 11 Cases and our reorganization.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comply with restrictions imposed by the Cash Collateral Order.</w:t>
      </w:r>
    </w:p>
    <w:p>
      <w:pPr>
        <w:spacing w:after="0" w:line="12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The Cash Collateral Order imposes a number of restrictions on us. For example, the Cash Collateral Order requires the Debtors to maintain at least $600.0 million of “liquidity,” calculated at the end of each week as unrestricted cash and cash equivalents plus certain specified amounts of restricted cash associated with the TLC Agreement (as defined below). The Cash Collateral Order also requires compliance with variance covenants that compare actual operating disbursements and receipts and capital expenditures to the budgeted amounts set forth in the cash collateral budgets delivered thereunder from time to time pursuant to the terms of the Cash Collateral Order. The Ad Hoc First Lien Group may also contend that the Cash Collateral Order requires the Debtors to obtain extensions to our exclusive plan filing and solicitation periods, as described in more detail herein. Our ability to comply with these provisions may be affected by events beyond our control and our failure to comply could result in an event of default under the Cash Collateral Order, which could have a material adverse effect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Aspects of the Chapter 11 Cases limit the flexibility of our management team in running our business.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While we operate our business under supervision by the Bankruptcy Court, we are required to obtain approval by the Bankruptcy Court, and in some cases certain other parties, prior to engaging in activities or transactions outside the ordinary course of business. Bankruptcy Court approval of non-ordinary course activities entails preparation and filing of appropriate motions with the Bankruptcy Court, negotiation with various parties in interest and one or more hearings. Parties in interest may be heard at any Bankruptcy Court hearing and may raise objections with respect to these motions. This process may delay major transactions and limit our ability to respond quickly to opportunities and events in the marketplace. Furthermore, in the event the Bankruptcy Court does not approve a proposed activity or transaction, we would be prevented from engaging in such activities or transactions, even if we believed they would be beneficial. Delays in receiving approvals or failures to receive approvals could have a material adverse effect on our business, financial condition, results of operations and cash flows.</w:t>
      </w:r>
    </w:p>
    <w:p>
      <w:pPr>
        <w:spacing w:after="0" w:line="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addition, as noted above, the Cash Collateral Order imposes a number of restrictions on us that may limit the flexibility of our management team in running our business.</w:t>
      </w:r>
    </w:p>
    <w:p>
      <w:pPr>
        <w:spacing w:after="0" w:line="62"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We also may become subject to operating covenants that apply to substantially all of our business under the purchase and sale agreement that we anticipate entering into in connection with the Sale. These covenants may require us to operate in the ordinary course of business, to refrain from taking certain enumerated actions and to affirmatively take other enumerated actions. Such covenants may limit the flexibility of our management to respond to various events and circumstances that may arise from time to time, including as a result of the Chapter 11 Cases. If those covenants apply to our business, there can be no assurances that we will be able to obtain appropriate waivers from such covenants as may be necessary or advisable, which could have a material adverse effect on our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prices of our securities have been volatile, and investments in our securities could decline in value.</w:t>
      </w:r>
    </w:p>
    <w:p>
      <w:pPr>
        <w:spacing w:after="0" w:line="121"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The market prices for securities of Endo, and of pharmaceutical companies in general, have been highly volatile and may continue to be highly volatile in the future. For example, in 2022, our ordinary shares were quoted at prices between approximately $0.06 and $3.98 per share. The following factors, in addition to other risk factors described in this section, may have caused and may in the future cause the market value of our securities to fluctuate:</w:t>
      </w:r>
    </w:p>
    <w:p>
      <w:pPr>
        <w:spacing w:after="0" w:line="2"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related to our bankruptcy proceedings and certain related transactions;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FDA approval or disapproval of any of the drug applications we have submitted;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or failure of our clinical trials;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success or failure of our ESG strategy and our ability to respond to increased stakeholder focus on ESG matters including climate change;</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data or new analyses of older data that raise potential safety or effectiveness issues concerning our approved products;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or withdrawals;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announcing technological innovations or new commercial products;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20" w:hanging="244"/>
        <w:spacing w:after="0" w:line="258"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 of generic, compounded or other substitutes for our products, including the filing of ANDAs with respect to generic versions of our branded products;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or others’ proprietary rights, including patents;</w:t>
      </w:r>
    </w:p>
    <w:p>
      <w:pPr>
        <w:spacing w:after="0" w:line="9" w:lineRule="exact"/>
        <w:rPr>
          <w:rFonts w:ascii="Arial" w:cs="Arial" w:eastAsia="Arial" w:hAnsi="Arial"/>
          <w:sz w:val="18"/>
          <w:szCs w:val="18"/>
          <w:color w:val="auto"/>
        </w:rPr>
      </w:pPr>
    </w:p>
    <w:p>
      <w:pPr>
        <w:ind w:left="900" w:right="120" w:hanging="244"/>
        <w:spacing w:after="0" w:line="25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publicity regarding actual or potential products under development or other activities affecting our competitors or the industry in general;</w:t>
      </w: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 or announcements relating to these matters;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9" w:lineRule="exact"/>
        <w:rPr>
          <w:rFonts w:ascii="Arial" w:cs="Arial" w:eastAsia="Arial" w:hAnsi="Arial"/>
          <w:sz w:val="18"/>
          <w:szCs w:val="18"/>
          <w:color w:val="auto"/>
        </w:rPr>
      </w:pPr>
    </w:p>
    <w:p>
      <w:pPr>
        <w:ind w:left="900" w:right="60" w:hanging="244"/>
        <w:spacing w:after="0" w:line="281" w:lineRule="auto"/>
        <w:tabs>
          <w:tab w:leader="none" w:pos="8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new legislation, regulation, administrative guidance or executive orders, or changes in interpretation of existing legislation, regulation, administrative guidance or executive orders, including by virtue of new judicial decisions, that could affect the development, sale or pricing of pharmaceutical products, the number of individuals with access to affordable healthcare, the taxes we pay and/or other factors;</w:t>
      </w:r>
    </w:p>
    <w:p>
      <w:pPr>
        <w:spacing w:after="0" w:line="1" w:lineRule="exact"/>
        <w:rPr>
          <w:rFonts w:ascii="Arial" w:cs="Arial" w:eastAsia="Arial" w:hAnsi="Arial"/>
          <w:sz w:val="16"/>
          <w:szCs w:val="16"/>
          <w:color w:val="auto"/>
        </w:rPr>
      </w:pPr>
    </w:p>
    <w:p>
      <w:pPr>
        <w:ind w:left="900" w:right="540" w:hanging="244"/>
        <w:spacing w:after="0" w:line="25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determination by a regulatory agency that we are engaging in or have engaged in inappropriate sales or marketing activities, including promoting off-label uses of our products;</w:t>
      </w: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and political pressure to lower the cost of pharmaceutical products;</w:t>
      </w:r>
    </w:p>
    <w:p>
      <w:pPr>
        <w:spacing w:after="0" w:line="9" w:lineRule="exact"/>
        <w:rPr>
          <w:rFonts w:ascii="Arial" w:cs="Arial" w:eastAsia="Arial" w:hAnsi="Arial"/>
          <w:sz w:val="18"/>
          <w:szCs w:val="18"/>
          <w:color w:val="auto"/>
        </w:rPr>
      </w:pPr>
    </w:p>
    <w:p>
      <w:pPr>
        <w:ind w:left="900" w:right="360" w:hanging="244"/>
        <w:spacing w:after="0" w:line="25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and political scrutiny over increases in prices of shares of pharmaceutical companies that are perceived to be caused by a strategy of growth through acquisitions;</w:t>
      </w: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against us or others;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reports of security analysts and rating agencies;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judgments or settlements or reports of settlement negotiations concerning opioid-related litigation or claims; and</w:t>
      </w:r>
    </w:p>
    <w:p>
      <w:pPr>
        <w:spacing w:after="0" w:line="9" w:lineRule="exact"/>
        <w:rPr>
          <w:rFonts w:ascii="Arial" w:cs="Arial" w:eastAsia="Arial" w:hAnsi="Arial"/>
          <w:sz w:val="18"/>
          <w:szCs w:val="18"/>
          <w:color w:val="auto"/>
        </w:rPr>
      </w:pPr>
    </w:p>
    <w:p>
      <w:pPr>
        <w:ind w:left="900" w:right="180" w:hanging="244"/>
        <w:spacing w:after="0" w:line="26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political landscape, regulatory environment and international relations, including different policies that may be pursued by the current U.S. presidential administration.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plans to pay regular dividends on our ordinary shares or to conduct ordinary share repurchases.</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currently do not intend to pay any cash dividends in the foreseeable future on our ordinary shares and our ability to do so is restricted during the pendency of the Chapter 11 Cases. Additionally, while our Board of Directors (the Board) has approved a share buyback program (the 2015 Share Buyback Program), of which there is approximately $2.3 billion available as of December 31, 2022, we currently do not intend to conduct ordinary share repurchases in the foreseeable future. Any declaration and payment of future dividends to holders of ordinary shares as well as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(including restrictions imposed by the Bankruptcy Code and related rules and guidelines during the pendency of the Chapter 11 Cases) and other considerations that the Board deems relevant.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w:t>
      </w:r>
    </w:p>
    <w:p>
      <w:pPr>
        <w:spacing w:after="0" w:line="5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business and operations could be negatively affected by shareholder activism, which could cause us to incur significant expenses, hinder execution of our business strategy and impact our share price.</w:t>
      </w:r>
    </w:p>
    <w:p>
      <w:pPr>
        <w:spacing w:after="0" w:line="5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recent years, shareholder activism involving corporate governance, strategic direction and operations has become increasingly prevalent. If we become the subject of such shareholder activism, their demands may disrupt our business and divert the attention of our management, employees and Board.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 are quoted on the over-the-counter market, and thus may have a limited market and lack of liquidity.</w:t>
      </w:r>
    </w:p>
    <w:p>
      <w:pPr>
        <w:spacing w:after="0" w:line="12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delisting of our ordinary shares from the Nasdaq Global Select Market could result in significantly lower trading volumes and reduced liquidity for investors seeking to buy or sell ordinary shares. Our ordinary shares are currently quoted on the over-the-counter market, which may have an unfavorable impact on our share price and liquidity. The over-the-counter market is a significantly more limited market than the Nasdaq Global Select Market. The quotation of our shares on the over-the-counter market may result in a less liquid market available for existing and potential shareholders to trade our ordinary shares, could further depress the trading price of our ordinary shares and could have a long-term adverse impact on our ability to raise capital in the future. There can be no assurance that there will be an active market for our ordinary shares, either now or in the future, or that shareholders will be able to liquidate their investments or the price at which they may be liquidated. Accordingly, we urge extreme caution with respect to existing and future investments in our equity and other securities.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believe it is likely that our ordinary shares will continue to decrease in value as a result of the Chapter 11 Cases.</w:t>
      </w:r>
    </w:p>
    <w:p>
      <w:pPr>
        <w:spacing w:after="0" w:line="121"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We have a significant amount of indebtedness that is senior to our ordinary shares in our capital structure. Our existing ordinary shares have substantially decreased in value leading up to and during the Chapter 11 Cases. The proposed Sale transaction to the Stalking Horse Bidder does not contemplate the distribution of any value with respect to our shares, and we do not foresee a market for our existing ordinary shares after any emergence from the Chapter 11 Cases. Accordingly, any trading in our ordinary shares during the pendency of the Chapter 11 Cases is highly speculative and poses substantial risks to purchasers of our ordinary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11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are regularly the subject of material legal proceedings, including significant lawsuits, product liability claims, governmental investigations and product recalls, any of which could have a material adverse effect on our company.</w:t>
      </w:r>
    </w:p>
    <w:p>
      <w:pPr>
        <w:spacing w:after="0" w:line="58"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Our business exposes us to significant potential risks from lawsuits and other material legal proceedings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A number of legal proceedings that we are currently subject to have the potential to result in significant monetary and other damages for which we could be liable. As further described herein, some of these cases are at advanced procedural stages and are scheduled for trial in the near future. We have been, are currently and expect to continue to be subject to various lawsuits, product liability claims, other material legal proceedings, governmental investigations and/or product recalls, any of which could have a material adverse effect on our company.</w:t>
      </w:r>
    </w:p>
    <w:p>
      <w:pPr>
        <w:spacing w:after="0" w:line="5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further discussed in Note 2. Bankruptcy Proceedings and Note 16. Commitments and Contingencies in the Consolidated Financial Statements included in Part IV, Item 15 of this report, on the Petition Date, the Debtors filed voluntary petitions for relief under the Bankruptcy Code.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It is possible that legal proceedings such as those described herein and/or other matters could in the future cause us to take one or more additional significant corporate transactions or other remedial measures, including on a preventative or proactive basis.</w:t>
      </w:r>
    </w:p>
    <w:p>
      <w:pPr>
        <w:spacing w:after="0" w:line="5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As an example of our legal proceedings, we, as well as various other manufacturers, distributors, pharmacies and/or others, are the subject of numerous lawsuits consisting of cases filed by or on behalf of a wide variety of plaintiffs asserting claims relating to the defendants’ alleged sales, marketing and/or distribution practices with respect to prescription opioid medications. In these cases, plaintiffs seek various remedies including, without limitation, declaratory and/or injunctive relief; compensatory, punitive and/or treble damages; restitution, disgorgement, civil penalties, abatement, attorneys’ fees, costs and/or other relief.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Refer to Note 16. Commitments and Contingencies in the Consolidated Financial Statements included in Part IV, Item 15 of this report for more information.</w:t>
      </w:r>
    </w:p>
    <w:p>
      <w:pPr>
        <w:spacing w:after="0" w:line="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the Chapter 11 Cases and the associated automatic stay, we are no longer actively pursuing our prior integrated settlement and litigation strategy to seek resolution of unsettled cases that have been stayed. Nevertheless, at any given time, we may be engaged in settlement or similar discussions regarding various legal matters including those that arise in connection with the Chapter 11 Cases; however, settlement demands and discussions often involve significant monetary and other remedies and there can be no assurance that we will receive settlement offers that are on terms that we consider reasonable under the circumstances or indicative of the merits or potential outcome of any court proceeding with respect to the underlying claims.</w:t>
      </w:r>
    </w:p>
    <w:p>
      <w:pPr>
        <w:spacing w:after="0" w:line="84"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the past, we have made the decision to settle some claims even though we believe we had meritorious defenses because of the significant legal and other costs that would have been required to defend such claims. To the extent that any litigation arises or proceeds during the pendency of the Chapter 11 Cases, there can be no assurance that settlement opportunities will continue to be available generally, or be consistent with our historic experience, or that we will not settle additional claims even if we believe we have meritorious defenses. Even where settlement agreements have been reached, in certain instances they are subject to conditions and contingencies, including but not limited to participation thresholds and approval of the Bankruptcy Court during the pendency of the Chapter 11 Cases, which may be outside of our control and may not come to pass. In addition, there can be no assurance of the impact of any settlement agreement on existing or future claims.</w:t>
      </w:r>
    </w:p>
    <w:p>
      <w:pPr>
        <w:spacing w:after="0" w:line="6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Awards against or settlements by us or our competitors could incentivize parties to bring additional claims against us or increase settlement demands against us. In addition to the risks of direct expenditures for defense costs, settlements and/or judgments in connection with various claims, proceedings and investigations, there is a possibility of loss of revenues, injunctions and disruption of business. Additionally, we have received, and may continue to receive, claims or requests for indemnification from other persons or entities named in or subject to discovery in various lawsuits or other legal proceedings, including certain of our customers.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and other manufacturers of prescription opioid medications have been, and will likely continue to be, subject to negative publicity and press, which could harm our brand and the demand for our products.</w:t>
      </w:r>
    </w:p>
    <w:p>
      <w:pPr>
        <w:spacing w:after="0" w:line="62"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pelvic organ prolapse (POP) and stress urinary incontinence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or the expansion of ongoing litigation against the Company. See Note 16. Commitments and Contingencies in the Consolidated Financial Statements included in Part IV, Item 15 of this report for more information.</w:t>
      </w:r>
    </w:p>
    <w:p>
      <w:pPr>
        <w:spacing w:after="0" w:line="78"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 As a result of our ongoing bankruptcy proceedings, we could see an increase in the number of adverse events reported, which could increase costs and have other negative impacts.</w:t>
      </w:r>
    </w:p>
    <w:p>
      <w:pPr>
        <w:spacing w:after="0" w:line="4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spacing w:after="0" w:line="8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and damage our reputation” for more information.</w:t>
      </w:r>
    </w:p>
    <w:p>
      <w:pPr>
        <w:spacing w:after="0" w:line="56"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If we are found liable in any lawsuits, including the legal proceedings related to our sale, marketing and/or distribution of prescription opioid medications, product liability claims or actions related to our sales, marketing or pricing practices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At any given time, we may be engaged in settlement or similar discussions, and we may voluntarily settle claims even if we believe that we have meritorious defenses because of the significant legal and other costs that may be required to defend such claims. Any judgments, claims, settlements and related costs could be well in excess of any applicable insurance or accruals. As a result, we may experience significant negative impacts on our results of operations or financial condition. To satisfy judgments or settlements or to pursue certain appeals, we may need to seek financing or bonding, which may not be available on terms acceptable to us, or at all, when required, particularly given the nature and amount of the claims against us. Judgments against us could also cause defaults under our debt agreements (which could result in cross-defaults or cross-accelerations in other agreements) and/or restrictions on product use or business practices and we could incur losses as a result. Any of the risks above could have a material adverse effect on our business, financial condition, results of operations and cash flows.</w:t>
      </w:r>
    </w:p>
    <w:p>
      <w:pPr>
        <w:spacing w:after="0" w:line="60"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In July 2021, a court in one legal action issued an order granting a default judgment on liability against Endo Pharmaceuticals Inc. (EPI) and Endo Health Solutions Inc. (EHSI) and awarding the plaintiffs fees and costs relating to certain alleged discovery issues in an opioid-related lawsuit. Although we settled that matter, plaintiffs have from time to time sought similar relief and may do so in the future. Any future default judgments or other sanctions relating to discovery matters could result in the imposition of material damages or other costs.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15. Debt in the Consolidated Financial Statements included in Part IV, Item 15 of this report for additional information.</w:t>
      </w:r>
    </w:p>
    <w:p>
      <w:pPr>
        <w:spacing w:after="0" w:line="6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See Note 16. Commitments and Contingencies in the Consolidated Financial Statements included in Part IV, Item 15 of this report for further discussion of the foregoing and other material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and may be unable to obtain or maintain insurance adequate to cover potential liabilities.</w:t>
      </w:r>
    </w:p>
    <w:p>
      <w:pPr>
        <w:spacing w:after="0" w:line="12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 and damage our reputation.</w:t>
      </w:r>
    </w:p>
    <w:p>
      <w:pPr>
        <w:spacing w:after="0" w:line="3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Media stories regarding drug abuse and diversion, including the abuse and diversion of prescription opioid medications and other controlled substances, are commonplace and have included the Company.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 As a result of the timing and schedule of certain legal proceedings against us, we will likely be subject to additional press for the foreseeable future.</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There is a risk we will be subject to similar investigations, enforcement actions or litigations in the future, that we will suffer adverse decisions or verdicts of substantial amounts or that we will enter into monetary settlements.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See Note 16. Commitments and Contingencies in the Consolidated Financial Statements included in Part IV, Item 15 of this report for more information.</w:t>
      </w:r>
    </w:p>
    <w:p>
      <w:pPr>
        <w:spacing w:after="0" w:line="77"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There have been proposals in certain legislatures to restrict the ability to compromise or release liability of certain parties in such cases, and we cannot assure you whether any such proposals will be made or adopted in the future or predict how any such proposals may affect the Company.</w:t>
      </w:r>
    </w:p>
    <w:p>
      <w:pPr>
        <w:spacing w:after="0" w:line="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distribution or sales of opioids. For example, in April 2019, New York enacted an excise tax on opioids. See the risk factor “Our business and financial condition may be adversely affected by existing or future legislation and regulations” for more information.</w:t>
      </w:r>
    </w:p>
    <w:p>
      <w:pPr>
        <w:spacing w:after="0" w:line="79" w:lineRule="exact"/>
        <w:rPr>
          <w:sz w:val="20"/>
          <w:szCs w:val="20"/>
          <w:color w:val="auto"/>
        </w:rPr>
      </w:pPr>
    </w:p>
    <w:p>
      <w:pPr>
        <w:ind w:right="260" w:firstLine="486"/>
        <w:spacing w:after="0" w:line="296" w:lineRule="auto"/>
        <w:rPr>
          <w:sz w:val="20"/>
          <w:szCs w:val="20"/>
          <w:color w:val="auto"/>
        </w:rPr>
      </w:pPr>
      <w:r>
        <w:rPr>
          <w:rFonts w:ascii="Arial" w:cs="Arial" w:eastAsia="Arial" w:hAnsi="Arial"/>
          <w:sz w:val="16"/>
          <w:szCs w:val="16"/>
          <w:color w:val="auto"/>
        </w:rPr>
        <w:t>Various government entities, including the U.S. Congress, state legislatures or other policy-making bodies in the U.S. or elsewhere have held hearings, conducted investigations and/or issued reports calling attention to opioid misuse and abuse, and some have mentioned or criticized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7"/>
          <w:szCs w:val="17"/>
          <w:color w:val="auto"/>
        </w:rPr>
        <w:t>We rely on cash from operations as well as access to the financial markets to fund our operations, maintain liquidity and meet our financial obligations. Our operations are subject to many significant risks and uncertainties, including those related to generic competition and legal challenges that could impact our key products,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spacing w:after="0" w:line="3" w:lineRule="exact"/>
        <w:rPr>
          <w:sz w:val="20"/>
          <w:szCs w:val="20"/>
          <w:color w:val="auto"/>
        </w:rPr>
      </w:pPr>
    </w:p>
    <w:p>
      <w:pPr>
        <w:ind w:left="900" w:right="24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Arial" w:cs="Arial" w:eastAsia="Arial" w:hAnsi="Arial"/>
          <w:sz w:val="18"/>
          <w:szCs w:val="18"/>
          <w:color w:val="auto"/>
        </w:rPr>
      </w:pPr>
    </w:p>
    <w:p>
      <w:pPr>
        <w:ind w:left="900" w:right="28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200" w:hanging="244"/>
        <w:spacing w:after="0" w:line="26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These risks have been and are likely to continue to be exacerbated by our ongoing bankruptcy proceedings and the corresponding event of default on our existing debt instruments, as further discussed herein.</w:t>
      </w:r>
    </w:p>
    <w:p>
      <w:pPr>
        <w:spacing w:after="0" w:line="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significant goodwill and other intangible assets. Consequently, potential impairments of goodwill and other intangibles may significantly impact our profitability.</w:t>
      </w:r>
    </w:p>
    <w:p>
      <w:pPr>
        <w:spacing w:after="0" w:line="58"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Goodwill and other intangibles represent a significant portion of our assets. As of December 31, 2022 and 2021, goodwill and other intangibles comprised approximately 54% and 63%, respectively, of our total assets. Goodwill and other indefinite-lived intangible assets are subject to impairment tests at least annually. Additionally, impairment tests must be performed for certain assets whenever events or changes in circumstances indicate such assets’ carrying amounts may not be recoverable.</w:t>
      </w:r>
    </w:p>
    <w:p>
      <w:pPr>
        <w:spacing w:after="0" w:line="7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For the years ended December 31, 2022, 2021 and 2020, we recorded asset impairment charges of $2.1 billion, $0.4 billion and $0.1 billion, respectively, which related primarily to goodwill and other intangible assets. Refer to Note 11. Goodwill and Other Intangibles in the Consolidated Financial Statements included in Part IV, Item 15 of this report for examples and a discussion of material impairment tests and impairment charges during the years ended December 31, 2022, 2021 and 2020. The procedures and assumptions used in our goodwill and other intangible assets impairment testing are discussed in Part II, Item 7 of this report “Management’s Discussion and Analysis of Financial Condition and Results of Operations” under the caption “CRITICAL ACCOUNTING ESTIMATES” and in Note 11. Goodwill and Other Intangibles in the Consolidated Financial Statements included in Part IV, Item 15 of this report.</w:t>
      </w:r>
    </w:p>
    <w:p>
      <w:pPr>
        <w:spacing w:after="0" w:line="8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Events giving rise to asset impairments are an inherent risk in the pharmaceutical industry and often cannot be predicted. As a result of the significance of goodwill and other intangible assets, our results of operations and financial position in future periods could be negatively impacted should additional impairments of our goodwill or other intangible assets occur. For additional discussion, refer to Item 7 of this report “Management’s Discussion and Analysis of Financial Condition and Results of Operations” under the caption “CRITICAL ACCOUNTING ESTIMATES.”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and increase the associated risks.</w:t>
      </w:r>
    </w:p>
    <w:p>
      <w:pPr>
        <w:spacing w:after="0" w:line="64" w:lineRule="exact"/>
        <w:rPr>
          <w:sz w:val="20"/>
          <w:szCs w:val="20"/>
          <w:color w:val="auto"/>
        </w:rPr>
      </w:pPr>
    </w:p>
    <w:p>
      <w:pPr>
        <w:ind w:right="300" w:firstLine="486"/>
        <w:spacing w:after="0" w:line="258" w:lineRule="auto"/>
        <w:rPr>
          <w:sz w:val="20"/>
          <w:szCs w:val="20"/>
          <w:color w:val="auto"/>
        </w:rPr>
      </w:pPr>
      <w:r>
        <w:rPr>
          <w:rFonts w:ascii="Arial" w:cs="Arial" w:eastAsia="Arial" w:hAnsi="Arial"/>
          <w:sz w:val="18"/>
          <w:szCs w:val="18"/>
          <w:color w:val="auto"/>
        </w:rPr>
        <w:t>We currently have a substantial amount of indebtedness. As of December 31, 2022, we have total debt of approximately $8.1 billion in aggregate contractual principal amount. Our substantial indebtedness may:</w:t>
      </w:r>
    </w:p>
    <w:p>
      <w:pPr>
        <w:spacing w:after="0" w:line="1" w:lineRule="exact"/>
        <w:rPr>
          <w:sz w:val="20"/>
          <w:szCs w:val="20"/>
          <w:color w:val="auto"/>
        </w:rPr>
      </w:pPr>
    </w:p>
    <w:p>
      <w:pPr>
        <w:ind w:left="900" w:right="52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making any applicable scheduled principal, interest and/or adequate protection payments on our indebtedness as further discussed herein;</w:t>
      </w:r>
    </w:p>
    <w:p>
      <w:pPr>
        <w:ind w:left="900" w:hanging="24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20" w:lineRule="exact"/>
        <w:rPr>
          <w:rFonts w:ascii="Arial" w:cs="Arial" w:eastAsia="Arial" w:hAnsi="Arial"/>
          <w:sz w:val="17"/>
          <w:szCs w:val="17"/>
          <w:color w:val="auto"/>
        </w:rPr>
      </w:pPr>
    </w:p>
    <w:p>
      <w:pPr>
        <w:ind w:left="900" w:right="56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incur judgments above certain thresholds;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expose us to the risk of rising interest rates with respect to the borrowings under our variable rate indebtedness;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on hand and/or from future operations to make debt service payments;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900" w:right="240" w:hanging="244"/>
        <w:spacing w:after="0" w:line="26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 such as those resulting from the COVID-19 pandemic, which may further limit our ability to satisfy our financial obligations.</w:t>
      </w:r>
    </w:p>
    <w:p>
      <w:pPr>
        <w:spacing w:after="0" w:line="77"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decreased revenues or increased costs and expenses related to the impact of COVID-19 on our business, as well as increased pricing pressures or otherwise, we may be required to refinance all or part of our then-existing indebtedness, sell assets, reduce or delay capital expenditures or seek to raise additional capital. Any of these factors could have a material adverse effect on our business, financial condition, results of operations and cash flows.</w:t>
      </w:r>
    </w:p>
    <w:p>
      <w:pPr>
        <w:spacing w:after="0" w:line="8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These risks have been and are likely to continue to be exacerbated by our ongoing bankruptcy proceedings and the corresponding event of default on our existing debt instruments, as further discussed herein. 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7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At December 31, 2022, approximately $2.0 billion and $0.3 billion of principal amounts outstanding under the Term Loan Facility (as defined below) and the Revolving Credit Facility (as defined below), respectively, bear interest and/or adequate protection payments at variable rates that are affected by benchmark interest rates. Additionally, the amounts of interest and/or adequate protection payments we are required to make on our various debt instruments are subject to changes based on contractual terms set forth in the applicable agreements and/or court orders. Recent increases in benchmark interest rates and certain other developments, including those related to our bankruptcy proceedings, have resulted in increases in the rates used to calculate the interest and/or adequate protection payments we are required to make, and such rates could further increase in future periods. Any future borrowings could also be subject to such risks.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from our strategic actions.</w:t>
      </w:r>
    </w:p>
    <w:p>
      <w:pPr>
        <w:spacing w:after="0" w:line="121"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We continuously seek to optimize our operations and increase our overall efficiency through strategic actions. These actions may involve decisions to exit manufacturing or research sites, transfer the manufacture of products to other internal and external sites within our manufacturing network and simplify business process activities. For example, we announced plans in November 2020 to optimize our retail generics business cost structure, transfer certain transaction processing activities to third-party global business process service providers and further integrate our commercial, operations and research and development functions. There can be no assurance that we will achieve the benefits and savings of actions such as these in the expected amounts and/or with the expected timing, if at all. We will also incur certain charges in connection with such actions and future costs could also be incurred. It is also possible that charges and cash expenditures associated with such actions could be higher than estimated. Any of these risks could ultimately have a material adverse effect on our business, financial condition, results of operations and cash flows.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Related Risks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Agreements between branded pharmaceutical companies and generic pharmaceutical companies are facing increased government scrutiny and we may be subject to additional investigations or litigation.</w:t>
      </w:r>
    </w:p>
    <w:p>
      <w:pPr>
        <w:spacing w:after="0" w:line="58"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are and may in the future be involved in patent litigations in which generic companies challenge the validity or enforceability of our products’ listed patents and/or the applicability of these patents to the generic applicant’s products. Likewise, we are and may in the future be involved in patent litigations in which we challenge the validity or enforceability of innovator companies’ listed patents and/or their applicability to our generic products. Therefore, settling patent litigations has been and is likely to continue to be part of our business. Parties to such settlement agreements in the U.S., including us, are required by law to file them with the U.S. Federal Trade Commission (FTC) and the Antitrust Division of the DOJ for review. In some instances, the FTC has brought actions against brand and generic companies that have entered into such agreements, alleging that they violate antitrust laws. Even in the absence of an FTC challenge, other governmental or private litigants may assert antitrust or other claims relating to such agreements. We may receive formal or informal requests from the FTC or other governmental entities for information about any such settlement agreement we enter into or about other matters, and there is a risk that the FTC or other governmental or private litigants may commence an action against us alleging violation of antitrust laws or other claims. For example, in December 2021, in response to a citizen petition filed on behalf of PSP LLC regarding vasopressin ANDA products referencing VASOSTRICT</w:t>
      </w:r>
      <w:r>
        <w:rPr>
          <w:rFonts w:ascii="Arial" w:cs="Arial" w:eastAsia="Arial" w:hAnsi="Arial"/>
          <w:sz w:val="20"/>
          <w:szCs w:val="20"/>
          <w:color w:val="auto"/>
          <w:vertAlign w:val="superscript"/>
        </w:rPr>
        <w:t>®</w:t>
      </w:r>
      <w:r>
        <w:rPr>
          <w:rFonts w:ascii="Arial" w:cs="Arial" w:eastAsia="Arial" w:hAnsi="Arial"/>
          <w:sz w:val="16"/>
          <w:szCs w:val="16"/>
          <w:color w:val="auto"/>
        </w:rPr>
        <w:t>, the FDA denied the petition and stated that it intended to refer the matter to the FTC.</w:t>
      </w:r>
    </w:p>
    <w:p>
      <w:pPr>
        <w:ind w:right="20" w:firstLine="486"/>
        <w:spacing w:after="0" w:line="261" w:lineRule="auto"/>
        <w:rPr>
          <w:sz w:val="20"/>
          <w:szCs w:val="20"/>
          <w:color w:val="auto"/>
        </w:rPr>
      </w:pPr>
      <w:r>
        <w:rPr>
          <w:rFonts w:ascii="Arial" w:cs="Arial" w:eastAsia="Arial" w:hAnsi="Arial"/>
          <w:sz w:val="17"/>
          <w:szCs w:val="17"/>
          <w:color w:val="auto"/>
        </w:rPr>
        <w:t xml:space="preserve">The U.S. Supreme Court, in </w:t>
      </w:r>
      <w:r>
        <w:rPr>
          <w:rFonts w:ascii="Arial" w:cs="Arial" w:eastAsia="Arial" w:hAnsi="Arial"/>
          <w:sz w:val="17"/>
          <w:szCs w:val="17"/>
          <w:i w:val="1"/>
          <w:iCs w:val="1"/>
          <w:color w:val="auto"/>
        </w:rPr>
        <w:t>FTC v. Actavis</w:t>
      </w:r>
      <w:r>
        <w:rPr>
          <w:rFonts w:ascii="Arial" w:cs="Arial" w:eastAsia="Arial" w:hAnsi="Arial"/>
          <w:sz w:val="17"/>
          <w:szCs w:val="17"/>
          <w:color w:val="auto"/>
        </w:rPr>
        <w:t>, determined that patent settlement agreements between generic and brand companies should be evaluated under the rule of reason, but provided limited guidance beyond the selection of this standard. Because the U.S. Supreme Court did not articulate the full range of criteria upon which a determination of the legality of such settlements would be based, or provide guidance on the precise circumstances under which such settlements would qualify as legal, there has been and may continue to be extensive litigation over what constitutes a reasonable and lawful patent settlement between a brand and generic company. The Company and/or its subsidiaries have been named in several such lawsuits. For example, 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(amlodipine/valsartan). See Note 16. Commitments and Contingencies in the Consolidated Financial Statements included in Part IV, Item 15 of this report for more information.</w:t>
      </w:r>
    </w:p>
    <w:p>
      <w:pPr>
        <w:spacing w:after="0" w:line="7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 xml:space="preserve">There have been federal and state legislative efforts to overturn the </w:t>
      </w:r>
      <w:r>
        <w:rPr>
          <w:rFonts w:ascii="Arial" w:cs="Arial" w:eastAsia="Arial" w:hAnsi="Arial"/>
          <w:sz w:val="17"/>
          <w:szCs w:val="17"/>
          <w:i w:val="1"/>
          <w:iCs w:val="1"/>
          <w:color w:val="auto"/>
        </w:rPr>
        <w:t>FTC v. Actavis</w:t>
      </w:r>
      <w:r>
        <w:rPr>
          <w:rFonts w:ascii="Arial" w:cs="Arial" w:eastAsia="Arial" w:hAnsi="Arial"/>
          <w:sz w:val="17"/>
          <w:szCs w:val="17"/>
          <w:color w:val="auto"/>
        </w:rPr>
        <w:t xml:space="preserve"> decision and make certain terms in patent settlement agreements </w:t>
      </w:r>
      <w:r>
        <w:rPr>
          <w:rFonts w:ascii="Arial" w:cs="Arial" w:eastAsia="Arial" w:hAnsi="Arial"/>
          <w:sz w:val="17"/>
          <w:szCs w:val="17"/>
          <w:i w:val="1"/>
          <w:iCs w:val="1"/>
          <w:color w:val="auto"/>
        </w:rPr>
        <w:t xml:space="preserve">per se </w:t>
      </w:r>
      <w:r>
        <w:rPr>
          <w:rFonts w:ascii="Arial" w:cs="Arial" w:eastAsia="Arial" w:hAnsi="Arial"/>
          <w:sz w:val="17"/>
          <w:szCs w:val="17"/>
          <w:color w:val="auto"/>
        </w:rPr>
        <w:t>unlawful. For example, some members of the U.S. Congress have proposed legislation that would limit the types of settlement agreements generic</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and brand companies can enter into. The state of California enacted legislation, effective January 1, 2020, that deems a settlement of a patent infringement claim to be presumptively anticompetitive and allows the California Attorney General to seek monetary penalties if a generic company receives anything of value from the branded company and the generic company agrees to delay research and development, manufacturing, marketing or sales of the generic product for any period of time. The California law carves out from the definition of “anything of value” certain types of settlement terms and it allows the settling parties to rebut the presumption of anticompetitive harm.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pertaining to the marketing of our products and services.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marketing and pricing of our products and services, including product promotion, educational activities, support of continuing medical education programs and other interactions with healthcare professionals, are governed by various laws and regulations, including FDA regulations and the U.S. federal Anti-Kickback Statute. Additionally, many states have adopted laws similar to the Anti-Kickback Statute, without identical exceptions or exemptions. Some of these state prohibitions apply to referral of patients for healthcare items or services reimbursed by any third-party payer, not only the Medicare and Medicaid programs. Any such regulations or requirements could be difficult and expensive for us to comply with, could delay our introduction of new products and could have a material adverse effect on our business, financial condition, results of operations and cash flows.</w:t>
      </w:r>
    </w:p>
    <w:p>
      <w:pPr>
        <w:spacing w:after="0" w:line="56"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Sanctions for violating these laws include criminal penalties and civil sanctions and possible exclusion from federally funded healthcare programs such as Medicare and Medicaid, as well as potential liability under the FCA and applicable state false claims acts. There can be no assurance that our practices will not be challenged under these laws in the future, that changes in these laws or interpretation of these laws would not give rise to new challenges of our practices or that any such challenge would not have a material adverse effect on our business, financial condition, results of operations and cash flows. For example, in December 2021, the Attorney General of Texas announced an investigation of EPI and AbbVie Inc. under the Texas Deceptive Trade Practices Act for allegedly advertising and promoting hormone (puberty) blockers for unapproved uses without disclosing potential risks. Law enforcement agencies sometimes initiate investigations into sales, marketing and/or pricing practices based on preliminary information or evidence, and such investigations can be and often are closed without any enforcement action. Nevertheless, these types of investigations and any related litigation can result in: (i) large expenditures of cash for legal fees, payment of penalties and compliance activities; (ii) limitations on operations; (iii) diversion of management resources; (iv) injury to our reputation; and (v) decreased demand for our products.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FFDCA and FDA regulations and guidance restrict the ability of healthcare companies, such as our company, to communicate with patients, physicians and other third parties about uses of prescription pharmaceuticals or devices that are not cleared or approved by the FDA, which are commonly referred to as “off-label” uses. Prohibitions on the promotion of off-label uses and against promotional practices deemed false or misleading are actively enforced by various parties at both the federal and state levels. A company that is found to have improperly promoted its products under these laws may be subject to significant liability, such as significant administrative, civil and criminal sanctions including, but not limited to, significant civil damages, criminal fines and exclusion from participation in Medicare, Medicaid and other federal healthcare programs. Applicable laws governing product promotion also provide for administrative, civil and criminal liability for individuals, including, in some circumstances, potential strict vicarious liability. Conduct giving rise to such liability could also form the basis for private civil litigation by third-party payers or other persons allegedly harmed by such conduct.</w:t>
      </w:r>
    </w:p>
    <w:p>
      <w:pPr>
        <w:spacing w:after="0" w:line="88"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We have established and implemented a corporate compliance program designed to prevent, detect and correct violations of state and federal healthcare laws, including laws related to advertising and promotion of our products. Nonetheless, governmental agencies or private parties may take the position that we are not in compliance with such requirements and, if such non-compliance is proven, the Company and, in some cases, individual employees, may be subject to significant liability, including the aforementioned administrative, civil and criminal sanctions.</w:t>
      </w:r>
    </w:p>
    <w:p>
      <w:pPr>
        <w:spacing w:after="0" w:line="63" w:lineRule="exact"/>
        <w:rPr>
          <w:sz w:val="20"/>
          <w:szCs w:val="20"/>
          <w:color w:val="auto"/>
        </w:rPr>
      </w:pPr>
    </w:p>
    <w:p>
      <w:pPr>
        <w:ind w:right="60" w:firstLine="486"/>
        <w:spacing w:after="0" w:line="250" w:lineRule="auto"/>
        <w:rPr>
          <w:sz w:val="20"/>
          <w:szCs w:val="20"/>
          <w:color w:val="auto"/>
        </w:rPr>
      </w:pPr>
      <w:r>
        <w:rPr>
          <w:rFonts w:ascii="Arial" w:cs="Arial" w:eastAsia="Arial" w:hAnsi="Arial"/>
          <w:sz w:val="17"/>
          <w:szCs w:val="17"/>
          <w:color w:val="auto"/>
        </w:rPr>
        <w:t>In February 2014, EPI entered into a Deferred Prosecution Agreement and a Corporate Integrity Agreement (CIA) with HHS to resolve allegations regarding the promotion of LIDODERM</w:t>
      </w:r>
      <w:r>
        <w:rPr>
          <w:rFonts w:ascii="Arial" w:cs="Arial" w:eastAsia="Arial" w:hAnsi="Arial"/>
          <w:sz w:val="22"/>
          <w:szCs w:val="22"/>
          <w:color w:val="auto"/>
          <w:vertAlign w:val="superscript"/>
        </w:rPr>
        <w:t>®</w:t>
      </w:r>
      <w:r>
        <w:rPr>
          <w:rFonts w:ascii="Arial" w:cs="Arial" w:eastAsia="Arial" w:hAnsi="Arial"/>
          <w:sz w:val="17"/>
          <w:szCs w:val="17"/>
          <w:color w:val="auto"/>
        </w:rPr>
        <w:t>. In March 2013, our subsidiary Par Pharmaceutical Companies, Inc. (PPCI) entered into a CIA and plea agreement with the DOJ to resolve allegations regarding the promotion of MEGACE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ES, which was subsequently subsumed by EPI’s CIA. Those agreements placed certain obligations on us related to the marketing of our pharmaceutical products and our healthcare regulatory compliance program, including reporting requirements to the U.S. government, detailed requirements for our compliance program, code of conduct and policies and procedures and the requirement to engage an Independent Review Organization. We implemented procedures and practices to comply with the CIAs, including the engagement of an Independent Review Organization. In February 2020, Endo was notified that it had satisfied its CIA requirements and the 5-year term of Endo’s CIA has now concluded.</w:t>
      </w:r>
    </w:p>
    <w:p>
      <w:pPr>
        <w:spacing w:after="0" w:line="83"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The pharmaceutical industry is heavily regulated, which creates uncertainty about our ability to bring new products to market and imposes substantial compliance costs on our business, including withdrawal or suspension of existing products.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Governmental authorities, including without limitation the FDA, impose substantial requirements on the development, manufacture, holding,</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labeling, marketing, advertising, promotion, distribution and sale of therapeutic pharmaceutical products. See “Governmental Regulation” in Part I, Item 1.</w:t>
      </w:r>
    </w:p>
    <w:p>
      <w:pPr>
        <w:spacing w:after="0" w:line="12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w:t>
      </w:r>
    </w:p>
    <w:p>
      <w:pPr>
        <w:spacing w:after="0" w:line="8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Clinical trials can be delayed for reasons outside of our control, which can lead to increased development costs and delays in regulatory approval. It is possible that regulators, independent data monitoring committees, institutional review boards, safety committees, ethics committees and/or other third parties may request or require that we suspend or terminate our clinical trials for various reasons, including, among others, noncompliance with regulatory requirements, unforeseen safety issues or adverse side effects or failure to demonstrate a benefit from using our product candidates.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insufficient to treat the patients participating in the clinical trials, and manufacturers or suppliers may not meet the requirements of the FDA or foreign regulatory authorities, such as those relating to cGMP.</w:t>
      </w:r>
    </w:p>
    <w:p>
      <w:pPr>
        <w:spacing w:after="0" w:line="5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6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may seek FDA approval for certain unapproved marketed products through the 505(b)(2) regulatory pathway. See “Governmental Regulation” in Part I, Item 1. Even if we receive approval for an NDA under section 505(b)(2) of the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ANDA approval process for a new product varies in time, generally requiring a minimum of 10 months following submission of the ANDA to the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7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submission of an NDA, Supplemental New Drug Application, ANDA, BLA or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These factors could have a material adverse effect on our business, financial condition, results of operations and cash flows.</w:t>
      </w:r>
    </w:p>
    <w:p>
      <w:pPr>
        <w:spacing w:after="0" w:line="7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U.S.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34" w:lineRule="auto"/>
        <w:rPr>
          <w:sz w:val="20"/>
          <w:szCs w:val="20"/>
          <w:color w:val="auto"/>
        </w:rPr>
      </w:pPr>
      <w:r>
        <w:rPr>
          <w:rFonts w:ascii="Arial" w:cs="Arial" w:eastAsia="Arial" w:hAnsi="Arial"/>
          <w:sz w:val="17"/>
          <w:szCs w:val="17"/>
          <w:color w:val="auto"/>
        </w:rPr>
        <w:t>The FDA scheduled a Joint Meeting of the Drug Safety and Risk Management Advisory Committee and the Anesthetic and Analgesic Drug Products Advisory Committee in March 2017 to discuss pre- and post-marketing data about the abuse of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no longer outweigh its risks. While several of the advisory committee members acknowledged the role of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from the market and, in July 2017, after careful consideration and consultation with the FDA, we decided to voluntarily remove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to customers and the FDA withdrew the NDA in December 2020.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10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spacing w:after="0" w:line="7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may develop such databases for certain of these products, including many opioids. In particular, the FDA has expressed interest in specific chemical structures that may be present as impurities in a number of opioid narcotic APIs,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spacing w:after="0" w:line="70"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spacing w:after="0" w:line="4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TRT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spacing w:after="0" w:line="5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Future inspections may result in additional inspection observations or other corrective actions, which could have a material adverse effect on our business, financial condition, results of operations and cash flows.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Certain of our products contain controlled substances. Stringent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7"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addition, we are subject to the U.S. Drug Supply Chain Security Act (DSCSA), which requires development of an electronic pedigree to track and trace each prescription product at the salable unit level through the distribution system. The DSCSA becomes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spacing w:after="0" w:line="63"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of these risks could be exacerbated by the impact of COVID-19.</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reporting and payment obligations under Medicaid and other governmental drug pricing programs are complex and may involve subjective decisions. Any failure to comply with those obligations could subject us to penalties and sanctions.</w:t>
      </w:r>
    </w:p>
    <w:p>
      <w:pPr>
        <w:spacing w:after="0" w:line="5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 xml:space="preserve">We are subject to federal and state laws prohibiting the presentation (or the causing to be presented) of claims for payment (by Medicare, Medicaid or other third-party payers) that are determined to be false or fraudulent, including presenting a claim for an item or service that was not provided. These false claims statutes include the federal civil FCA, which permits private persons to bring suit in the name of the government alleging false or fraudulent claims presented to or paid by the government (or other violations of the statutes) and to share in any amounts paid by the entity to the government in fines or settlement. Such suits,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have increased significantly in the healthcare industry in recent years. These actions against pharmaceutical companies, which do not require proof of a specific intent to defraud the government, may result in payment of fines to and/or administrative exclusion from the Medicare, Medicaid and/or other government healthcare programs.</w:t>
      </w:r>
    </w:p>
    <w:p>
      <w:pPr>
        <w:spacing w:after="0" w:line="6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are subject to laws that require us to enter into a Medicaid Drug Rebate Agreement, a 340B Pharmaceutical Pricing Agreement and agreements with the Department of Veterans Affairs as a condition for having our products eligible for payment under Medicare Part B and Medicaid. We have entered into such agreements. In addition, we are required to report certain pricing information to CMS, the Health Resources and Services Administration and the Department of Veterans Affairs on a periodic basis to facilitate rebate payments to the State Medicaid Programs, to set Medicare Part B reimbursement levels and to establish the prices that can be charged to certain purchasers, including 340B-covered entities and certain government entities. Any failure to comply with these laws and agreements could have a material adverse effect on our business, financial condition, results of operations and cash flows.</w:t>
      </w:r>
    </w:p>
    <w:p>
      <w:pPr>
        <w:spacing w:after="0" w:line="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With regard to Medicaid, on February 1, 2016, CMS issued a Final Rule implementing the Medicaid Drug Rebate provisions incorporated into the PPACA, effective April 1, 2016 in most instances. Ongoing compliance with these program rules, including the requirement that we adopt reasonable assumptions where law, regulation and guidance do not address specific participation issues, may impact the level of rebates that we owe under the program. The 2016 Final Rule also expanded the scope of Medicaid to apply to U.S. territories effective on January 1, 2023), which will require operational adjustments and may result in additional rebate liability. Additionally, in December 2020, CMS issued a Final Rule for Medicaid that makes changes with regard to: (i) the calculation of Medicaid Best Price for certain value- or outcomes-based discounting arrangements; (ii) the standard for excluding the value of manufacturer copayment assistance and other patient support arrangements from the calculation of Average Manufacturer Price and Best Price; (iii) the identification of “line extension” drugs that are subject to higher Medicaid rebate liability; and (iv) establishment of additional drug utilization review requirements for opioids. Depending on how these changes are implemented, they could have a material adverse effect on our business, financial condition, results of operations and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and other pharmaceutical companies have been named as defendants in a number of lawsuits filed by various government entities, alleging generally that we and numerous other pharmaceutical companies reported false pricing information in connection with certain products that are reimbursable by state Medicaid programs, which are partially funded by the federal government. There is a risk we will be subject to similar investigations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Decreases in the degree to which individuals are covered by healthcare insurance could result in decreased use of our products.</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Employers may seek to reduce costs by reducing or eliminating employer group healthcare plans or transferring a greater portion of healthcare costs to their employees. Job losses or other economic hardships, including any that may be related to COVID-19, may also result in reduced levels of coverage for some individuals, potentially resulting in lower levels of healthcare coverage for themselves or their families. Further, in addition to the fact that the TCJA eliminated the PPACA’s requirement that individuals maintain insurance or face a penalty, additional steps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spacing w:after="0" w:line="70"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our manufacturing facilities are unable to manufacture our products or we face interruptions in the manufacturing process due to regulatory or other factors, it could have a material adverse effect on our business, financial condition, results of operations and cash flows.</w:t>
      </w:r>
    </w:p>
    <w:p>
      <w:pPr>
        <w:spacing w:after="0" w:line="1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If any of our or our third-party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products for which regulatory approval is being sought and to approved products. In complying with cGMP requirements, pharmaceutical manufacturing facilities must continually expend significant time, money and effort in production, recordkeeping, quality assurance and quality control so that their products meet applicable specifications and other requirements for product safety, efficacy and quality. Failure to comply with applicable legal requirements subjects our or our third-party manufacturing facilities to possible legal or regulatory action, including shutdown, which may adversely affect our ability to supply our products. Additionally, our facilities and our third-party manufacturing facilities may face other significant disruptions due to labor strikes, failure to reach acceptable agreement with labor unions, infringement of intellectual property rights, vandalism, natural disaster, outbreak and spread of viral or other diseases, storm or other environmental damage, civil or political unrest, export or import restrictions or other events. If we are not able to manufacture products at our or our third-party manufacturing facilities because of regulatory, business or any other reasons, the manufacture and marketing of these products could be interrupted. This could have a material adverse effect on our business, financial condition, results of operations and cash flows.</w:t>
      </w:r>
    </w:p>
    <w:p>
      <w:pPr>
        <w:spacing w:after="0" w:line="60" w:lineRule="exact"/>
        <w:rPr>
          <w:sz w:val="20"/>
          <w:szCs w:val="20"/>
          <w:color w:val="auto"/>
        </w:rPr>
      </w:pPr>
    </w:p>
    <w:p>
      <w:pPr>
        <w:ind w:firstLine="486"/>
        <w:spacing w:after="0" w:line="261" w:lineRule="auto"/>
        <w:rPr>
          <w:sz w:val="20"/>
          <w:szCs w:val="20"/>
          <w:color w:val="auto"/>
        </w:rPr>
      </w:pPr>
      <w:r>
        <w:rPr>
          <w:rFonts w:ascii="Arial" w:cs="Arial" w:eastAsia="Arial" w:hAnsi="Arial"/>
          <w:sz w:val="17"/>
          <w:szCs w:val="17"/>
          <w:color w:val="auto"/>
        </w:rPr>
        <w:t>For example, the manufacturing facilities qualified to manufacture the enzyme CCH, which is included in XIAFLEX</w:t>
      </w:r>
      <w:r>
        <w:rPr>
          <w:rFonts w:ascii="Arial" w:cs="Arial" w:eastAsia="Arial" w:hAnsi="Arial"/>
          <w:sz w:val="22"/>
          <w:szCs w:val="22"/>
          <w:color w:val="auto"/>
          <w:vertAlign w:val="superscript"/>
        </w:rPr>
        <w:t>®</w:t>
      </w:r>
      <w:r>
        <w:rPr>
          <w:rFonts w:ascii="Arial" w:cs="Arial" w:eastAsia="Arial" w:hAnsi="Arial"/>
          <w:sz w:val="17"/>
          <w:szCs w:val="17"/>
          <w:color w:val="auto"/>
        </w:rPr>
        <w:t>, are subject to such regulatory requirements and oversight. If such facilities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facilities, which could disrupt the manufacturing processes and could limit the supply of CCH and/or delay clinical trials and subsequent licensure and/or limit the sale of commercial supplies. In addition, future noncompliance with any applicable regulatory requirements may result in refusal by regulatory authorities to allow use of CCH in clinical trials, refusal by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civil litigation.</w:t>
      </w:r>
    </w:p>
    <w:p>
      <w:pPr>
        <w:spacing w:after="0" w:line="82"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purchase certain API and other materials used in our manufacturing operations from foreign and U.S. suppliers. The price and availability of API and other materials is subject to volatility for a number of reasons, many of which may be outside of our control. There is no guarantee that we will always have timely, sufficient or affordable access to critical raw materials or supplies from third parties. An increase in the price, or an interruption in the supply, of any API or raw material could have a material adverse effect on our business, financial condition, results of operations and cash flows.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80"/>
        <w:spacing w:after="0" w:line="347" w:lineRule="auto"/>
        <w:rPr>
          <w:sz w:val="20"/>
          <w:szCs w:val="20"/>
          <w:color w:val="auto"/>
        </w:rPr>
      </w:pPr>
      <w:r>
        <w:rPr>
          <w:rFonts w:ascii="Arial" w:cs="Arial" w:eastAsia="Arial" w:hAnsi="Arial"/>
          <w:sz w:val="16"/>
          <w:szCs w:val="16"/>
          <w:b w:val="1"/>
          <w:bCs w:val="1"/>
          <w:color w:val="auto"/>
        </w:rPr>
        <w:t>Non-U.S. regulatory requirements vary, including with respect to the regulatory approval process, and failure to obtain regulatory approval or maintain compliance with requirements in non-U.S. jurisdictions would prevent or impact the marketing of our products in those jurisdictions.</w:t>
      </w:r>
    </w:p>
    <w:p>
      <w:pPr>
        <w:spacing w:after="0" w:line="1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have worldwide intellectual property rights to market many of our products and product candidates and may seek approval to market certain of our existing or potential future products outside of the U.S. Approval of a product by the regulatory authorities of a particular country is generally required prior to manufacturing or marketing that product in that country. The approval procedure varies among countries and can involve additional testing and the time required to obtain such approval may differ from that required to obtain FDA approval. Non-U.S. regulatory approval processes generally include risks similar to those associated with obtaining FDA approval, as further described herein. FDA approval does not guarantee approval by the regulatory authorities of any other country, nor does the approval by foreign regulatory authorities in one country guarantee approval by regulatory authorities in other foreign countries or by the FDA.</w:t>
      </w:r>
    </w:p>
    <w:p>
      <w:pPr>
        <w:spacing w:after="0" w:line="8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Outside of the U.S., regulatory agencies generally evaluate and monitor the safety, efficacy and quality of pharmaceutical products and devices and impose regulatory requirements applicable to manufacturing processes, stability testing, recordkeeping and quality standards, among others. These requirements vary by jurisdiction. In certain countries, the applicable healthcare and drug regulatory regimes may continue to evolve and implement new requirements. Ensuring and maintaining compliance with these varying and evolving requirements is and will continue to be difficult, time-consuming and costly. In seeking regulatory approvals in non-U.S. jurisdictions, we must also continue to comply with U.S. laws and regulations, including those imposed by the FCPA. See the risk factor “The risks related to our global operations may adversely impact our revenues, results of operations and financial condition.” If we fail to comply with these various regulatory requirements or fail to obtain and maintain required approvals, our target market will be reduced and our ability to generate non-U.S. revenue will be adversely affected.</w:t>
      </w:r>
    </w:p>
    <w:p>
      <w:pPr>
        <w:spacing w:after="0" w:line="6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If pharmaceutical companies are successful in limiting the use of generics through their legislative, regulatory and other efforts, our sales of generic products may suffer.</w:t>
      </w:r>
    </w:p>
    <w:p>
      <w:pPr>
        <w:spacing w:after="0" w:line="58" w:lineRule="exact"/>
        <w:rPr>
          <w:sz w:val="20"/>
          <w:szCs w:val="20"/>
          <w:color w:val="auto"/>
        </w:rPr>
      </w:pPr>
    </w:p>
    <w:p>
      <w:pPr>
        <w:ind w:right="460" w:firstLine="486"/>
        <w:spacing w:after="0" w:line="258" w:lineRule="auto"/>
        <w:rPr>
          <w:sz w:val="20"/>
          <w:szCs w:val="20"/>
          <w:color w:val="auto"/>
        </w:rPr>
      </w:pPr>
      <w:r>
        <w:rPr>
          <w:rFonts w:ascii="Arial" w:cs="Arial" w:eastAsia="Arial" w:hAnsi="Arial"/>
          <w:sz w:val="18"/>
          <w:szCs w:val="18"/>
          <w:color w:val="auto"/>
        </w:rPr>
        <w:t>Many pharmaceutical companies increasingly have used state and federal legislative and regulatory means to delay generic competition. These efforts have included:</w:t>
      </w:r>
    </w:p>
    <w:p>
      <w:pPr>
        <w:spacing w:after="0" w:line="1" w:lineRule="exact"/>
        <w:rPr>
          <w:sz w:val="20"/>
          <w:szCs w:val="20"/>
          <w:color w:val="auto"/>
        </w:rPr>
      </w:pPr>
    </w:p>
    <w:p>
      <w:pPr>
        <w:ind w:left="900" w:right="560" w:hanging="244"/>
        <w:spacing w:after="0" w:line="250"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pursuing new patents for existing products which may be granted just before the expiration of earlier patents, which could extend patent protection for additional years;</w:t>
      </w: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using the Citizen Petition process (for example, under 21 C.F.R. § 10.30) to request amendments to FDA standards;</w:t>
      </w:r>
    </w:p>
    <w:p>
      <w:pPr>
        <w:spacing w:after="0" w:line="9" w:lineRule="exact"/>
        <w:rPr>
          <w:rFonts w:ascii="Arial" w:cs="Arial" w:eastAsia="Arial" w:hAnsi="Arial"/>
          <w:sz w:val="18"/>
          <w:szCs w:val="18"/>
          <w:color w:val="auto"/>
        </w:rPr>
      </w:pPr>
    </w:p>
    <w:p>
      <w:pPr>
        <w:ind w:left="900" w:right="400" w:hanging="244"/>
        <w:spacing w:after="0" w:line="250"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attempting to use the legislative and regulatory process to have products reclassified or rescheduled or to set definitions of abuse-deterrent formulations to protect patents and profits; and</w:t>
      </w: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engaging in state-by-state initiatives to enact legislation that restricts the substitution of some generic products.</w:t>
      </w:r>
    </w:p>
    <w:p>
      <w:pPr>
        <w:spacing w:after="0" w:line="103"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If pharmaceutical companies or other third parties are successful in limiting the use of generic products through these or other means, our sales of generic products and our growth prospects may decline, which could have a material adverse effect on our business, financial condition, results of operations and cash flows.</w:t>
      </w:r>
    </w:p>
    <w:p>
      <w:pPr>
        <w:spacing w:after="0" w:line="7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New tariffs and evolving trade policy between the U.S. and other countries, including China, could have a material adverse effect on our business, financial condition, results of operations and cash flows.</w:t>
      </w:r>
    </w:p>
    <w:p>
      <w:pPr>
        <w:spacing w:after="0" w:line="58"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 conduct business globally and our operations, including third-party suppliers, span numerous countries outside the U.S. There is uncertainty about the future relationship between the U.S. and various other countries with respect to trade policies, treaties, government regulations and tariffs.</w:t>
      </w:r>
    </w:p>
    <w:p>
      <w:pPr>
        <w:spacing w:after="0" w:line="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U.S. government may seek to impose additional restrictions on international trade, such as increased tariffs on goods imported into the U.S.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our customers, our margins could be adversely affected. Additionally, it is possible that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tariffs, trade restrictions and trade barriers could have a generally disruptive impact on the global economy and, therefore, negatively impact our sales. Given the volatility and uncertainty regarding the scope and duration of these tariffs and other aspects of U.S. international trade policy,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40"/>
        <w:spacing w:after="0" w:line="347" w:lineRule="auto"/>
        <w:rPr>
          <w:sz w:val="20"/>
          <w:szCs w:val="20"/>
          <w:color w:val="auto"/>
        </w:rPr>
      </w:pPr>
      <w:r>
        <w:rPr>
          <w:rFonts w:ascii="Arial" w:cs="Arial" w:eastAsia="Arial" w:hAnsi="Arial"/>
          <w:sz w:val="16"/>
          <w:szCs w:val="16"/>
          <w:b w:val="1"/>
          <w:bCs w:val="1"/>
          <w:color w:val="auto"/>
        </w:rPr>
        <w:t>We are subject to information privacy and data protection laws that include penalties for noncompliance. Our failure to comply with various laws protecting the confidentiality of personal information, patient health information or other data could result in penalties and reputational damage.</w:t>
      </w:r>
    </w:p>
    <w:p>
      <w:pPr>
        <w:spacing w:after="0" w:line="1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are subject to a number of privacy and data protection laws and regulations globally. The legislative and regulatory landscape for privacy and data security continues to evolve. Certain countries in which we operate have, or are developing, laws protecting the confidentiality of individually identifiable personal information, including patient health information. This includes federal and state laws and regulations in the U.S. as well as in Europe and other markets.</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For example, multiple U.S. states have passed data privacy legislation that provides new data privacy rights for consumers and new operational requirements for businesses. The California Consumer Privacy Act of 2018 (CCPA) went into effect on January 1, 2020 and established a new privacy framework for covered businesses by creating an expanded definition of personal information, establishing new data privacy rights for consumers in the state of California and creating a new and potentially severe statutory damages framework for violations of the CCPA and for businesses that fail to implement reasonable security procedures and practices to prevent data breaches. In 2021, Virginia and Colorado passed laws similar in scope to the CCPA and California voters passed an update to the CCPA, the California Privacy Rights Act, which expanded on the existing consumer rights under the CCPA, imposed additional obligations on governed businesses and created a new state enforcement agency dedicated to enforcing California consumers’ privacy rights. State legislatures can be expected to continue to regulate data privacy in the absence of legislation from the U.S. federal government. Many aspects of the CCPA and new state privacy laws have not been interpreted by courts and best practices are still being developed, all of which increase the risk of compliance failure and related adverse impacts.</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data protection laws in other international jurisdictions impose restrictions on our authority to collect, analyze and transfer personal data, including health data, across international borders. For example, the EU’s General Data Protection Regulation (GDPR), which became enforceable as of May 25, 2018, and related implementing laws in individual EU Member States strictly regulate our ability to collect, analyze and transfer personal data regarding persons in the EU, including health data from clinical trials and adverse event reporting. The GDPR, which has extra-territorial scope and substantial fines for breaches (up to 4% of global annual revenue or €20 million, whichever is greater)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Uncertainty in the interpretation and enforcement of the regulation by the EU Member States’ different data protection authorities contributes to liability exposure risk.</w:t>
      </w:r>
    </w:p>
    <w:p>
      <w:pPr>
        <w:spacing w:after="0" w:line="7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 Even when certain circumstances are met, a July 2020 decision by the Court of Justice of the European Union (Schrems II), placed transfers of personal data from the EU to the U.S. under considerable uncertainty as the decision raised concerns about governmental entity access to personal data under U.S. national security laws. Transfers of personal data out of the EU to the U.S. remain an unresolved matter for political negotiation between the U.S. and EU representatives.</w:t>
      </w:r>
    </w:p>
    <w:p>
      <w:pPr>
        <w:spacing w:after="0" w:line="69"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Similar international data privacy laws also impose stringent requirements on the collection, use of and ability to analyze and transfer personal data from each country and increase the complexity of our global operations. In all cases, enforcement of international data privacy laws and regulations is new, or priorities are shifting, which may constrain the implementation of global business processes and may impose additional costs for compliance.</w:t>
      </w:r>
    </w:p>
    <w:p>
      <w:pPr>
        <w:spacing w:after="0" w:line="4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have policies and practices that we believe make us compliant with applicable privacy regulations. Nevertheless, there remains a risk of failure to comply with the rules arising from the GDPR or privacy laws in other jurisdictions in which we operate. Should a transgression be deemed to have occurred, it could lead to government enforcement actions and significant sanctions or penalties against us, adversely impact our results of operations and subject us to negative publicity. Such liabilities could materially affect our operations.</w:t>
      </w:r>
    </w:p>
    <w:p>
      <w:pPr>
        <w:spacing w:after="0" w:line="79"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There has also been increased enforcement activity in the U.S. particularly related to data security breaches. A violation of these laws or regulations by us or our third-party vendors could subject us to penalties, fines, liability and/or possible exclusion from Medicare or Medicaid. Such sanctions could have a material adverse effect on our business, financial condition, results of operations and cash flows.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and maintain our proprietary and licensed third-party technology, which is vital to our business, is uncertain.</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Our success, competitive position and future income depend in part on our ability, and the ability of our partners and suppliers, to obtain and protect patent and other intellectual property rights relating to our current and future technologies, processes and products. The degree of protection any patents will afford is uncertain, including whether the protection obtained will be of sufficient breadth and degree to protect our commercial interests in all the jurisdictions where we conduct business. That is, the issuance of a patent is not conclusive as to its claimed scope, validity or enforceability. Patent rights may be challenged, revoked, invalidated, infringed or circumvented by third parties. For example, if an invention qualifies as a joint invention, the joint inventor may have intellectual property rights in the invention, which might not be protected. A third party may also infringe upon, design around or develop uses not covered by any patent issued or licensed to us and our patents may not otherwise be commercially viable. In this regard, the patent position of pharmaceutical compounds and compositions is particularly uncertain and involves complex legal and factual questions. Even issued patents may later be modified or revoked by the PTO, by comparable foreign patent offices or by a court following legal proceedings. Laws relating to such rights may in the future also be changed or withdrawn.</w:t>
      </w:r>
    </w:p>
    <w:p>
      <w:pPr>
        <w:spacing w:after="0" w:line="7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There is no assurance that any of our patent claims in our pending non-provisional and provisional patent applications relating to our technologies, processes or products will be issued or, if issued, that any of our existing and future patent claims will be held valid and enforceable against third-party infringement. We could incur significant costs and management distraction if we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Upon the expiration or loss of intellectual property protection for a product, others may manufacture and distribute such patented product, which may result in the loss of a significant portion of our sales of that product.</w:t>
      </w:r>
    </w:p>
    <w:p>
      <w:pPr>
        <w:spacing w:after="0" w:line="8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We also rely on trade secrets and other unpatented proprietary information, which we generally seek to protect by confidentiality and nondisclosure agreements with our employees, consultants, advisors and partners. These agreements may not effectively prevent disclosure of confidential information and may not provide us with an adequate remedy in the event of unauthorized disclosure. Even if third parties misappropriate or infringe upon our proprietary rights, we may not be able to discover or determine the extent of any such unauthorized use and we may not be able to prevent third parties from misappropriating or infringing upon our proprietary rights. In addition, if our employees, scientific consultants or partners develop inventions or processes that may be applicable to our existing products or products under development, such inventions and processes will not necessarily become our property and may remain the property of those persons or their employers.</w:t>
      </w:r>
    </w:p>
    <w:p>
      <w:pPr>
        <w:spacing w:after="0" w:line="6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Any failure by us to adequately protect our technology, trade secrets or proprietary know-how or to enforce our intellectual property rights could have a material adverse effect on our business, financial condition, results of operations and cash flows.</w:t>
      </w:r>
    </w:p>
    <w:p>
      <w:pPr>
        <w:spacing w:after="0" w:line="58"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Our competitors or other third parties may allege that we are infringing their intellectual property, forcing us to expend substantial resources in litigation, the outcome of which is uncertain. Any unfavorable outcome of such litigation, including losses related to “at-risk” product launches, could have a material adverse effect on our business, financial condition, results of operations and cash flows.</w:t>
      </w:r>
    </w:p>
    <w:p>
      <w:pPr>
        <w:spacing w:after="0" w:line="54"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Companies that produce branded pharmaceutical products routinely bring litigation against ANDA or similar applicants that seek regulatory approval to manufacture and market generic forms of branded products, alleging patent infringement or other violations of intellectual property rights. Patent holders may also bring patent infringement suits against companies that are currently marketing and selling approved generic products. Litigation often involves significant expense. Additionally, if the patents of others are held valid, enforceable and infringed by our current products or future product candidates, we would, unless we could obtain a license from the patent holder, need to delay selling our corresponding generic product and, if we are already selling our product, cease selling and potentially destroy existing product stock. Additionally, we could be required to pay monetary damages or royalties to license proprietary rights from third parties and we may not be able to obtain such licenses on commercially reasonable terms or at all.</w:t>
      </w:r>
    </w:p>
    <w:p>
      <w:pPr>
        <w:spacing w:after="0" w:line="5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There may be situations in which we may make business and legal judgments to market and sell products that are subject to claims of alleged patent infringement prior to final resolution of those claims by the courts based upon our belief that such patents are invalid, unenforceable or are not infringed by our marketing and sale of such products. This is commonly referred to in the pharmaceutical industry as an “at-risk” launch. The risk involved in an at-risk launch can be substantial because, if a patent holder ultimately prevails against us, the remedies available to such holder may include, among other things, damages calculated based on the profits lost by the patent holder, which can be significantly higher than the profits we make from selling the generic version of the product. Moreover, if a court determines that such infringement is willful, the damages could be subject to trebling. We could face substantial damages from adverse court decisions in such matters. We could also be at risk for the value of such inventory that we are unable to market or sell.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changes to tax laws could materially adversely affect us.</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current law, we expect Endo International plc to be treated as a non-U.S. corporation for U.S. federal income tax purposes. However, changes to the rules in Section 7874 of the Internal Revenue Code (the Code) or regulations promulgated thereunder or other guidance issued by the Treasury or the IRS could adversely affect our status as a non-U.S. corporation for U.S. federal income tax purposes, and any such changes could have prospective or retroactive application to us, EHSI and/or their respective shareholders and affiliates. Consequently, there can be no assurance that there will not exist in the future a change in law that might cause us to be treated as a U.S. corporation for U.S. federal income tax purposes, including with retroactive effect. Further, we are continuing to evaluate the Inflation Reduction Act of 2022 and its requirements, as well as any potential impact on our business. Based on our current analysis of the act, we do not believe this legislation will have a material impact on our provision for income taxes.</w:t>
      </w:r>
    </w:p>
    <w:p>
      <w:pPr>
        <w:spacing w:after="0" w:line="5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Ireland’s Department of Finance, Luxembourg’s Ministry of Finance, the Organization for Economic Co-operation and Development, the European Commission and other government agencies in jurisdictions where we and our affiliates do business, including the U.S. Congress, have had an extended focus on issues related to the taxation of multinational corporations. There are several proposals pending in various jurisdictions in which we do business that, if enacted, would substantially change the taxation of multinational corporations. As a result, the tax laws in the jurisdictions in which we operate could change on a prospective or retroactive basis, and any such changes could affect recorded deferred tax assets and liabilities and increase our effective tax rate, which could have a material adverse effect on our business, financial condition, results of operations and cash flows. The potential impact of changes in tax laws in such jurisdictions could have a material impact on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IRS may not agree with the conclusion that we should be treated as a non-U.S. corporation for U.S. federal income tax purposes.</w:t>
      </w:r>
    </w:p>
    <w:p>
      <w:pPr>
        <w:spacing w:after="0" w:line="133"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Although Endo International plc is incorporated in Ireland, the IRS may assert that it should be treated as a U.S. corporation (and, therefore, a U.S. tax resident) for U.S. federal income tax purposes pursuant to Section 7874 of the Code. A corporation is generally considered a tax resident in the jurisdiction of its organization or incorporation for U.S. federal income tax purposes. Because we are an Irish incorporated entity, we would generally be classified as a non-U.S. corporation (and, therefore, a non-U.S. tax resident) under these rules. Section 7874 provides an exception pursuant to which a non-U.S. incorporated entity may, in certain circumstances, be treated as a U.S. corporation for U.S. federal income tax purposes.</w:t>
      </w:r>
    </w:p>
    <w:p>
      <w:pPr>
        <w:spacing w:after="0" w:line="53"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Under Section 7874, we would be treated as a non-U.S. corporation for U.S. federal income tax purposes if the former shareholders of EHSI owned, immediately after the Paladin transactions (within the meaning of Section 7874), less than 80% (by both vote and value) of Endo shares by reason of holding shares in EHSI (the ownership test). The former EHSI shareholders owned less than 80% (by both vote and value) of the shares in Endo after the Paladin merger by reason of their ownership of shares in EHSI. As a result, under current law, we expect Endo International plc to be treated as a non-U.S. corporation for U.S. federal income tax purposes. There is limited guidance regarding the application of Section 7874, including with respect to the provisions regarding the application of the ownership test. Our obligation to complete the Paladin transactions was conditional upon receipt of a Section 7874 opinion from our counsel, Skadden, Arps, Slate, Meagher &amp; Flom LLP (Skadden), dated as of the closing date of the Paladin transactions and subject to certain qualifications and limitations set forth therein, to the effect that Section 7874 and the regulations promulgated thereunder should not apply in such a manner so as to cause Endo to be treated as a U.S. corporation for U.S. federal income tax purposes from and after the closing date. However, an opinion of tax counsel is not binding on the IRS or a court. Therefore, there can be no assurance that the IRS will not take a position contrary to Skadden’s Section 7874 opinion or that a court will not agree with the IRS in the event of litigation.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rate of taxation upon our results of operations is dependent on multi-national tax considerations.</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effective income tax rate in the future could be adversely affected by a number of factors, including changes in the geographic mix of pre-tax earnings among jurisdictions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periodically assess our tax positions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business, financial condition, results of operations and cash flows for the period or periods for which the applicable final determinations are made.</w:t>
      </w:r>
    </w:p>
    <w:p>
      <w:pPr>
        <w:spacing w:after="0" w:line="8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The IRS and other taxing authorities may continue to challenge our tax positions and we may not be able to successfully maintain such positions.</w:t>
      </w:r>
    </w:p>
    <w:p>
      <w:pPr>
        <w:spacing w:after="0" w:line="14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2015 and, in connection with those examinations, is reviewing our tax positions related to, among other things, certain intercompany arrangements, including the level of profit earned by our U.S. subsidiaries pursuant to such arrangements, and a product liability loss carryback claim.</w:t>
      </w:r>
    </w:p>
    <w:p>
      <w:pPr>
        <w:spacing w:after="0" w:line="16"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spacing w:after="0" w:line="8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For additional information, including a discussion of related recent developments and their potential impact on us, refer to Note 21. Income Taxes in the Consolidated Financial Statements included in Part IV, Item 15 of this report.</w:t>
      </w:r>
    </w:p>
    <w:p>
      <w:pPr>
        <w:spacing w:after="0" w:line="62"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tax attributes to offset U.S. taxable income may be limited.</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Existing and future tax laws and regulations may limit our ability to use U.S. tax attributes including, but not limited to, net operating losses (NOLs) and excess interest expense, to offset U.S. taxable income. For a period of time following the 2014 Paladin transactions, Section 7874 of the Code precludes our U.S. affiliates from utilizing U.S. tax attributes to offset taxable income if we complete certain transactions with related non-U.S. subsidiaries.</w:t>
      </w:r>
    </w:p>
    <w:p>
      <w:pPr>
        <w:spacing w:after="0" w:line="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our tax attributes and future tax deductions may be reduced or significantly limited as a result of our voluntary petitions for relief under the Bankruptcy Code. Generally, any discharge of our external or internal debt obligations as a result of our chapter 11 filing for an amount less than the adjusted issue price may give rise to cancellation of indebtedness income, which must either be included in our taxable income or result in a reduction to our tax attributes. Certain tax attributes otherwise available and of value to the Company may be reduced, in most cases by the principal amount of the indebtedness forgiven. U.S. and non U.S. tax attributes subject to reduction include: (i) NOLs and NOL carryforwards; (ii) credit carryforwards; (iii) capital losses and capital loss carryforwards; and (iv) the tax basis of the Company’s depreciable, amortizable and other assets.</w:t>
      </w:r>
    </w:p>
    <w:p>
      <w:pPr>
        <w:spacing w:after="0" w:line="70" w:lineRule="exact"/>
        <w:rPr>
          <w:sz w:val="20"/>
          <w:szCs w:val="20"/>
          <w:color w:val="auto"/>
        </w:rPr>
      </w:pPr>
    </w:p>
    <w:p>
      <w:pPr>
        <w:ind w:right="280" w:firstLine="486"/>
        <w:spacing w:after="0" w:line="291" w:lineRule="auto"/>
        <w:rPr>
          <w:sz w:val="20"/>
          <w:szCs w:val="20"/>
          <w:color w:val="auto"/>
        </w:rPr>
      </w:pPr>
      <w:r>
        <w:rPr>
          <w:rFonts w:ascii="Arial" w:cs="Arial" w:eastAsia="Arial" w:hAnsi="Arial"/>
          <w:sz w:val="16"/>
          <w:szCs w:val="16"/>
          <w:color w:val="auto"/>
        </w:rPr>
        <w:t>To the extent, if any, that U.S. NOL carryforwards, other losses and credits generated by us during or prior to our bankruptcy proceedings are available as deductions following our bankruptcy proceedings, our ability to utilize such deductions may be limited by Section 382 of the Code. Section</w:t>
      </w:r>
    </w:p>
    <w:p>
      <w:pPr>
        <w:spacing w:after="0" w:line="285" w:lineRule="auto"/>
        <w:rPr>
          <w:sz w:val="20"/>
          <w:szCs w:val="20"/>
          <w:color w:val="auto"/>
        </w:rPr>
      </w:pPr>
      <w:r>
        <w:rPr>
          <w:rFonts w:ascii="Arial" w:cs="Arial" w:eastAsia="Arial" w:hAnsi="Arial"/>
          <w:sz w:val="16"/>
          <w:szCs w:val="16"/>
          <w:color w:val="auto"/>
        </w:rPr>
        <w:t>382 provides rules limiting the utilization of a corporation’s NOLs and other losses, deductions and credits following a more than 50% change in ownership of a corporation’s equity (an “ownership change”). An ownership change may occur with respect to the Company in connection with bankruptcy, unless the Section 382(l)(5) exception applies. This exception is not easily met as it requires a majority of the holders of the Company’s stock after bankruptcy to meet certain specific and narrow conditions. Therefore, the Company’s U.S. NOLs may be significantly limited by Section 382 of the Code. The amount of the Company’s post-ownership-change annual U.S. taxable income that can be offset by the pre-ownership-change U.S. NOLs generally cannot exceed an amount equal to the product of: (i) the applicable federal long-term tax exempt rate in effect on the date of the ownership change and (ii) the value of the Company’s U.S. affiliate stock (the Annual Limitation). However, if the value of the Company’s U.S. affiliate stock is zero, if the Company does not continue its historic business or use a significant portion of its assets in a new business for two years after the ownership change, the Annual Limitation resulting from the ownership change is zero and the Company may be significantly limited in its ability to use any of its U.S. NOLs that originated during or prior to its bankruptcy proceedings. In addition, if the Company has a net unrealized built-in loss at the time of an ownership change, future deductions for items such as amortization, depreciation and settlement liabilities may also be significantly limited.</w:t>
      </w:r>
    </w:p>
    <w:p>
      <w:pPr>
        <w:spacing w:after="0" w:line="66"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Further, if we or any of our affiliates undertake sales of any of our assets in connection with the bankruptcy, such sales may result in: (i) a reduction in our available tax attributes; (ii) an inability for us to proactively use our tax attributes; and (iii) us incurring a material amount of tax.</w:t>
      </w:r>
    </w:p>
    <w:p>
      <w:pPr>
        <w:spacing w:after="0" w:line="3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Any loss of or limitations on our ability to use any of the tax attributes described above or any other tax attributes could have a material adverse effect on our business, financial condition, results of operations and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and Organizational Risks</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incorporated in Ireland and Irish law differs from the laws in effect in the U.S. and may afford less protection to, or otherwise adversely affect, our shareholders.</w:t>
      </w:r>
    </w:p>
    <w:p>
      <w:pPr>
        <w:spacing w:after="0" w:line="5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shareholders may have more difficulty protecting their interests than would shareholders of a corporation incorporated in a jurisdiction of the U.S. As an Irish company, we are governed by Irish Companies Act 2014 (the Companies Act). The Companies Act and other relevant aspects of Irish law differ in some material respects from laws generally applicable to U.S. corporations and shareholders, including, among others, the provisions relating to interested director and officer transactions, acquisitions, takeovers, shareholder lawsuits and indemnification of directors. For example, under Irish law, the duties of directors and officers of a company are generally owed to the company only. As a result, shareholders of Irish companies generally do not have a personal right of action against the directors or officers of a company and may pursue a right of action on behalf of the company only in limited circumstances. In addition, depending on the circumstances, the acquisition, ownership and/or disposition of our ordinary shares may subject individuals to different or additional tax consequences under Irish law including, but not limited to, Irish stamp duty, dividend withholding tax and capital acquisitions tax.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attempts to take us over will be subject to Irish Takeover Rules and subject to review by the Irish Takeover Panel.</w:t>
      </w:r>
    </w:p>
    <w:p>
      <w:pPr>
        <w:spacing w:after="0" w:line="121"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We are subject to Irish Takeover Rules, under which the Board will not be permitted to take any action which might frustrate an offer for our ordinary shares once it has received an approach which may lead to an offer or has reason to believe an offer is imminent.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 Irish company and it may be difficult to enforce judgments against us or certain of our officers and directors.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are incorporated in Ireland and a substantial portion of our assets are located in jurisdictions outside the U.S. In addition, some of our officers and directors reside outside the U.S., and some or all of their respective assets are or may be located in jurisdictions outside of the U.S. It may be difficult for investors to effect service of process against us or such officers or directors or to enforce, against us or them, judgments of U.S. courts predicated upon civil liability provisions of the U.S. federal securities laws.</w:t>
      </w:r>
    </w:p>
    <w:p>
      <w:pPr>
        <w:spacing w:after="0" w:line="79"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There is no treaty between Ireland and the U.S. providing for the reciprocal enforcement of foreign judgments. The following requirements must be met before a foreign judgment will be deemed to be enforceable in Ireland:</w:t>
      </w:r>
    </w:p>
    <w:p>
      <w:pPr>
        <w:spacing w:after="0" w:line="1"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 must be for a definite sum;</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 must be final and conclusive;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 must be provided by a court of competent jurisdiction.</w:t>
      </w:r>
    </w:p>
    <w:p>
      <w:pPr>
        <w:spacing w:after="0" w:line="103"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An Irish court will also exercise its right to refuse judgment if the foreign judgment was obtained by fraud, if the judgment violated Irish public policy, if the judgment is in breach of natural justice or if it is irreconcilable with an earlier judgment. Further, an Irish court may stay proceedings if concurrent proceedings are being brought elsewhere. Judgments of U.S. courts of liabilities predicated upon U.S. federal securities laws may not be enforced by Irish courts if deemed to be contrary to public policy in Ireland.</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section provides information about the location and general character of the Company’s principal physical properties at December 31, 2022.</w:t>
      </w:r>
    </w:p>
    <w:p>
      <w:pPr>
        <w:spacing w:after="0" w:line="14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Company’s global headquarters is located in Dublin, Ireland. The Company also conducts certain corporate functions at its Malvern, Pennsylvania location. Both properties are leased. The Malvern lease is described in more detail in Note 9. Leases in the Consolidated Financial Statements included in Part IV, Item 15 of this report. These locations support each of our reportable segments. For example, our global quality, supply chain and clinical development functions are run from our global headquarters. The Company’s segments conduct certain additional business functions, including manufacturing, distribution, quality assurance, R&amp;D and administration, at locations throughout the U.S. and select global markets. Additional information about the properties of the Company’s reportable segments is set forth below:</w:t>
      </w:r>
    </w:p>
    <w:p>
      <w:pPr>
        <w:spacing w:after="0" w:line="1" w:lineRule="exact"/>
        <w:rPr>
          <w:sz w:val="20"/>
          <w:szCs w:val="20"/>
          <w:color w:val="auto"/>
        </w:rPr>
      </w:pPr>
    </w:p>
    <w:p>
      <w:pPr>
        <w:ind w:left="900" w:right="300" w:hanging="244"/>
        <w:spacing w:after="0" w:line="281" w:lineRule="auto"/>
        <w:tabs>
          <w:tab w:leader="none" w:pos="8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Branded Pharmaceuticals: This segment also conducts certain operations in the U.S. through leased and owned manufacturing properties in Pennsylvania, New Jersey and Michigan, as well as certain administrative and R&amp;D functions through leased properties in Pennsylvania.</w:t>
      </w:r>
    </w:p>
    <w:p>
      <w:pPr>
        <w:spacing w:after="0" w:line="1" w:lineRule="exact"/>
        <w:rPr>
          <w:rFonts w:ascii="Arial" w:cs="Arial" w:eastAsia="Arial" w:hAnsi="Arial"/>
          <w:sz w:val="16"/>
          <w:szCs w:val="16"/>
          <w:color w:val="auto"/>
        </w:rPr>
      </w:pPr>
    </w:p>
    <w:p>
      <w:pPr>
        <w:jc w:val="both"/>
        <w:ind w:left="900" w:hanging="244"/>
        <w:spacing w:after="0" w:line="250"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Sterile Injectables: This segment also conducts certain manufacturing, quality assurance, R&amp;D and administrative functions in the U.S. through owned and leased properties in Michigan, as well as certain R&amp;D and administrative functions in New Jersey and India in the same facilities as our Generic Pharmaceuticals segment, as discussed below.</w:t>
      </w:r>
    </w:p>
    <w:p>
      <w:pPr>
        <w:spacing w:after="0" w:line="1" w:lineRule="exact"/>
        <w:rPr>
          <w:rFonts w:ascii="Arial" w:cs="Arial" w:eastAsia="Arial" w:hAnsi="Arial"/>
          <w:sz w:val="18"/>
          <w:szCs w:val="18"/>
          <w:color w:val="auto"/>
        </w:rPr>
      </w:pPr>
    </w:p>
    <w:p>
      <w:pPr>
        <w:ind w:left="900" w:right="260" w:hanging="244"/>
        <w:spacing w:after="0" w:line="250"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Generic Pharmaceuticals: This segment also conducts certain administrative functions through a leased property in New Jersey, as well as significant R&amp;D operations and manufacturing and administrative functions in India through owned and leased facilities in Chennai, Indore and Mumbai.</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 Pharmaceuticals: This segment’s operations are currently conducted through Paladin’s leased headquarters in Montreal, Canada.</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2022, our owned and leased properties consist of approximately 1.0 million and 1.1 million square feet, respectively. We believe our properties are suitable and adequate to support our current and projected operations in all material respects.</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disclosures under Note 16. Commitments and Contingencies in the Consolidated Financial Statements included in Part IV, Item 15 of this report are incorporated into this Part I, Item 3 by reference.</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i w:val="1"/>
          <w:iCs w:val="1"/>
          <w:color w:val="auto"/>
        </w:rPr>
        <w:t xml:space="preserve">Market Information. </w:t>
      </w:r>
      <w:r>
        <w:rPr>
          <w:rFonts w:ascii="Arial" w:cs="Arial" w:eastAsia="Arial" w:hAnsi="Arial"/>
          <w:sz w:val="17"/>
          <w:szCs w:val="17"/>
          <w:color w:val="auto"/>
        </w:rPr>
        <w:t>On August 17, 2022, we received a letter (the Notice) from The Nasdaq Stock Market LLC (Nasdaq) stating that,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6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Over-the-counter market quotations reflect inter-dealer prices, without retail mark-up, mark-down or commission and may not necessarily represent actual transactions.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Holders</w:t>
      </w:r>
      <w:r>
        <w:rPr>
          <w:rFonts w:ascii="Arial" w:cs="Arial" w:eastAsia="Arial" w:hAnsi="Arial"/>
          <w:sz w:val="18"/>
          <w:szCs w:val="18"/>
          <w:color w:val="auto"/>
        </w:rPr>
        <w:t>. As of February 27, 2023, we estimate that there were approximately 190 holders of record of our ordinary shares.</w:t>
      </w:r>
    </w:p>
    <w:p>
      <w:pPr>
        <w:spacing w:after="0" w:line="11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never declared or paid any cash dividends on our ordinary shares and we currently have no plans to declare a dividend.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pay dividends subject to limitations imposed by Irish law, the Bankruptcy Code and related rules during the pendency of the Chapter 11 Cases, the various agreements and indentures governing our indebtedness and the existence of sufficient distributable reserves. For example, the Companies Act requires Irish companies to have distributable reserves equal to or greater than the amount of any proposed dividend. Unless we are able to generate sufficient distributable reserves or create distributable reserves by reducing our share premium account, we will not be able to pay dividends.</w:t>
      </w:r>
    </w:p>
    <w:p>
      <w:pPr>
        <w:spacing w:after="0" w:line="53"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i w:val="1"/>
          <w:iCs w:val="1"/>
          <w:color w:val="auto"/>
        </w:rPr>
        <w:t xml:space="preserve">Recent sales of unregistered securities; Use of proceeds from registered securities. </w:t>
      </w:r>
      <w:r>
        <w:rPr>
          <w:rFonts w:ascii="Arial" w:cs="Arial" w:eastAsia="Arial" w:hAnsi="Arial"/>
          <w:sz w:val="18"/>
          <w:szCs w:val="18"/>
          <w:color w:val="auto"/>
        </w:rPr>
        <w:t>There were no unregistered sales of equity securities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during the three years ended December 31, 2022.</w:t>
      </w:r>
    </w:p>
    <w:p>
      <w:pPr>
        <w:spacing w:after="0" w:line="6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 xml:space="preserve">Purchase of Equity Securities by the issuer and affiliated purchasers. </w:t>
      </w:r>
      <w:r>
        <w:rPr>
          <w:rFonts w:ascii="Arial" w:cs="Arial" w:eastAsia="Arial" w:hAnsi="Arial"/>
          <w:sz w:val="18"/>
          <w:szCs w:val="18"/>
          <w:color w:val="auto"/>
        </w:rPr>
        <w:t>The following table reflects purchases of Endo International plc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by the Company during the three months ended December 31,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Total Number of Shares</w:t>
            </w:r>
          </w:p>
        </w:tc>
        <w:tc>
          <w:tcPr>
            <w:tcW w:w="100" w:type="dxa"/>
            <w:vAlign w:val="bottom"/>
          </w:tcPr>
          <w:p>
            <w:pPr>
              <w:spacing w:after="0"/>
              <w:rPr>
                <w:sz w:val="12"/>
                <w:szCs w:val="12"/>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Purchased Under the Plan</w:t>
            </w:r>
          </w:p>
        </w:tc>
        <w:tc>
          <w:tcPr>
            <w:tcW w:w="0" w:type="dxa"/>
            <w:vAlign w:val="bottom"/>
          </w:tcPr>
          <w:p>
            <w:pPr>
              <w:spacing w:after="0"/>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1660" w:type="dxa"/>
            <w:vAlign w:val="bottom"/>
          </w:tcPr>
          <w:p>
            <w:pPr>
              <w:ind w:left="500"/>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7"/>
                <w:szCs w:val="17"/>
                <w:color w:val="auto"/>
              </w:rPr>
            </w:pPr>
          </w:p>
        </w:tc>
        <w:tc>
          <w:tcPr>
            <w:tcW w:w="1780" w:type="dxa"/>
            <w:vAlign w:val="bottom"/>
            <w:gridSpan w:val="2"/>
          </w:tcPr>
          <w:p>
            <w:pPr>
              <w:ind w:left="660"/>
              <w:spacing w:after="0"/>
              <w:rPr>
                <w:sz w:val="20"/>
                <w:szCs w:val="20"/>
                <w:color w:val="auto"/>
              </w:rPr>
            </w:pPr>
            <w:r>
              <w:rPr>
                <w:rFonts w:ascii="Arial" w:cs="Arial" w:eastAsia="Arial" w:hAnsi="Arial"/>
                <w:sz w:val="14"/>
                <w:szCs w:val="14"/>
                <w:b w:val="1"/>
                <w:bCs w:val="1"/>
                <w:color w:val="auto"/>
              </w:rPr>
              <w:t>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 Plan</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675"/>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30"/>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2022 to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November 1, 2022 to November 30, 2022</w:t>
            </w: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60" w:type="dxa"/>
            <w:vAlign w:val="bottom"/>
          </w:tcPr>
          <w:p>
            <w:pPr>
              <w:ind w:left="1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2022 to December 31, 2022</w:t>
            </w: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Three months ended December 31, 2022</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60" w:hanging="329"/>
        <w:spacing w:after="0" w:line="280" w:lineRule="auto"/>
        <w:tabs>
          <w:tab w:leader="none" w:pos="572" w:val="left"/>
        </w:tabs>
        <w:numPr>
          <w:ilvl w:val="0"/>
          <w:numId w:val="36"/>
        </w:numPr>
        <w:rPr>
          <w:rFonts w:ascii="Arial" w:cs="Arial" w:eastAsia="Arial" w:hAnsi="Arial"/>
          <w:sz w:val="13"/>
          <w:szCs w:val="13"/>
          <w:color w:val="auto"/>
        </w:rPr>
      </w:pPr>
      <w:r>
        <w:rPr>
          <w:rFonts w:ascii="Arial" w:cs="Arial" w:eastAsia="Arial" w:hAnsi="Arial"/>
          <w:sz w:val="13"/>
          <w:szCs w:val="13"/>
          <w:color w:val="auto"/>
        </w:rPr>
        <w:t>Pursuant to Article 11 of the Company’s Articles of Association, the Company has broad shareholder authority to conduct ordinary share repurchases by way of redemptions. As permitted by Irish Law and the Company’s Articles of Association, any ordinary shares redeemed shall be cancelled upon redemption. Although the Board has approved the 2015 Share Buyback Program that authorizes the Company to redeem, in the aggregate, $2.5 billion of its outstanding ordinary shares, of which there is approximately $2.3 billion available as of December 31, 2022, we currently do not intend to conduct ordinary share repurchases in the foreseeable future and our ability to do so is restricted during the pendency of the Chapter 11 Cases. Redemptions under this program may be made from time to time in open market or negotiated transactions or otherwise, as determined by the Board. This program does not obligate the Company to redeem any particular amount of ordinary shares and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(including restrictions imposed by the Bankruptcy Code and related rules and guidelines during the pendency of the Chapter 11 Cases) and other considerations that the Board deems relevant. For example, the Companies Act requires Irish companies to have distributable reserves equal to or greater than the amount of any proposed ordinary share repurchase amount.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 Unless we are able to generate sufficient distributable reserves or create distributable reserves by reducing our share premium account, we will not be able to repurchase our ordinary shares. To date, the Company has redeemed and cancelled approximately 4.4 million of its ordinary shares under the 2015 Share Buyback Program for $250.0 million, not including related fees. The 2015 Share Buyback Program may be suspended, modified or discontinued at any time.</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w:t>
      </w:r>
    </w:p>
    <w:p>
      <w:pPr>
        <w:spacing w:after="0" w:line="62"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This section omits discussions about 2020 items and comparisons between 2021 and 2020. Such discussions can be found in Item 7. Management’s Discussion and Analysis of Financial Condition and Results of Operations in our Annual Report on Form 10-K for the year ended December 31,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discussions in this Management’s Discussion and Analysis of Financial Condition and Results of Operations should be read in conjunction with our audited Consolidated Financial Statements and the related Notes thereto.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62"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The operating results of the Company’s Astora business are reported as Discontinued operations, net of tax in the Consolidated Statements of Operations for all periods presented. For additional information, see Note 4. Discontinued Operations and Asset Sales in the Consolidated Financial Statements included in Part IV, Item 15 of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executive summary provides 2022 highlights from the results of operations that follow:</w:t>
      </w:r>
    </w:p>
    <w:p>
      <w:pPr>
        <w:spacing w:after="0" w:line="14" w:lineRule="exact"/>
        <w:rPr>
          <w:sz w:val="20"/>
          <w:szCs w:val="20"/>
          <w:color w:val="auto"/>
        </w:rPr>
      </w:pPr>
    </w:p>
    <w:p>
      <w:pPr>
        <w:ind w:left="900" w:right="100" w:hanging="244"/>
        <w:spacing w:after="0" w:line="245" w:lineRule="auto"/>
        <w:tabs>
          <w:tab w:leader="none" w:pos="8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Total revenues in 2022 were $2,318.9 million compared to $2,993.2 million in 2021 as revenue decreases related to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certain other products in our Sterile Injectables segment, as well as our Branded Pharmaceuticals and International Pharmaceuticals segments, were partially offset by increased revenues from our Generic Pharmaceuticals segment.</w:t>
      </w:r>
    </w:p>
    <w:p>
      <w:pPr>
        <w:ind w:left="900" w:right="200" w:hanging="244"/>
        <w:spacing w:after="0" w:line="220"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margin percentage in 2022 decreased to 52.9% from 59.2% in 2021, reflecting unfavorable changes in product mix resulting primarily from decreased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impairment charges in 2022 increased to $2,142.7 million from $415.0 million in 2021.</w:t>
      </w:r>
    </w:p>
    <w:p>
      <w:pPr>
        <w:spacing w:after="0" w:line="7" w:lineRule="exact"/>
        <w:rPr>
          <w:rFonts w:ascii="Arial" w:cs="Arial" w:eastAsia="Arial" w:hAnsi="Arial"/>
          <w:sz w:val="18"/>
          <w:szCs w:val="18"/>
          <w:color w:val="auto"/>
        </w:rPr>
      </w:pPr>
    </w:p>
    <w:p>
      <w:pPr>
        <w:ind w:left="900" w:right="220" w:hanging="244"/>
        <w:spacing w:after="0" w:line="260" w:lineRule="auto"/>
        <w:tabs>
          <w:tab w:leader="none" w:pos="8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reported Loss from continuing operations of $2,909.6 million in 2022 compared to Loss from continuing operations of $569.1 million in 2021.</w:t>
      </w:r>
    </w:p>
    <w:p>
      <w:pPr>
        <w:spacing w:after="0" w:line="77"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Additionally, the following summary highlights certain recent developments that have resulted in and/or could in the future result in fluctuations in our results of operations and/or changes in our liquidity and capital resources:</w:t>
      </w:r>
    </w:p>
    <w:p>
      <w:pPr>
        <w:spacing w:after="0" w:line="1" w:lineRule="exact"/>
        <w:rPr>
          <w:sz w:val="20"/>
          <w:szCs w:val="20"/>
          <w:color w:val="auto"/>
        </w:rPr>
      </w:pPr>
    </w:p>
    <w:p>
      <w:pPr>
        <w:ind w:left="900" w:right="40" w:hanging="244"/>
        <w:spacing w:after="0" w:line="250"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Since 2019, developments related to COVID-19 have continued to evolve rapidly and are likely to continue to do so. The duration and severity of the direct and indirect effects of COVID-19 on our results remain difficult to anticipate and, in many instances, outside of our control. As such, the impacts from COVID-19 on our consolidated results and the results of our business segments to date may not be directly comparable to any historical period and are not necessarily indicative of its impact on our results for any future periods, and the evolving nature of the COVID-19 pandemic could increase the degree to which our results, including the results of our business segments, fluctuate in the future. Additionally, the numerous uncertainties related to COVID-19 have impacted our ability to forecast our future operations; however, any future impact could be material.</w:t>
      </w:r>
    </w:p>
    <w:p>
      <w:pPr>
        <w:spacing w:after="0" w:line="2" w:lineRule="exact"/>
        <w:rPr>
          <w:rFonts w:ascii="Arial" w:cs="Arial" w:eastAsia="Arial" w:hAnsi="Arial"/>
          <w:sz w:val="18"/>
          <w:szCs w:val="18"/>
          <w:color w:val="auto"/>
        </w:rPr>
      </w:pPr>
    </w:p>
    <w:p>
      <w:pPr>
        <w:jc w:val="both"/>
        <w:ind w:left="900" w:right="20" w:hanging="244"/>
        <w:spacing w:after="0" w:line="265" w:lineRule="auto"/>
        <w:tabs>
          <w:tab w:leader="none" w:pos="896" w:val="left"/>
        </w:tabs>
        <w:numPr>
          <w:ilvl w:val="0"/>
          <w:numId w:val="38"/>
        </w:numPr>
        <w:rPr>
          <w:rFonts w:ascii="Arial" w:cs="Arial" w:eastAsia="Arial" w:hAnsi="Arial"/>
          <w:sz w:val="13"/>
          <w:szCs w:val="13"/>
          <w:b w:val="1"/>
          <w:bCs w:val="1"/>
          <w:color w:val="auto"/>
        </w:rPr>
      </w:pPr>
      <w:r>
        <w:rPr>
          <w:rFonts w:ascii="Arial" w:cs="Arial" w:eastAsia="Arial" w:hAnsi="Arial"/>
          <w:sz w:val="17"/>
          <w:szCs w:val="17"/>
          <w:color w:val="auto"/>
        </w:rPr>
        <w:t>In November 2020, we announced the initiation of several strategic actions, collectively referred to herein as the 2020 Restructuring Initiative, to further optimize operations and increase overall efficiency. We recorded certain charges to complete these actions in anticipation of realizing annualized cost savings. For further discussion of these actions, including a discussion of amounts recognized, refer to Note 5. Restructuring in the Consolidated Financial Statements included in Part IV, Item 15 of this report.</w:t>
      </w:r>
    </w:p>
    <w:p>
      <w:pPr>
        <w:ind w:left="900" w:right="220" w:hanging="244"/>
        <w:spacing w:after="0" w:line="281" w:lineRule="auto"/>
        <w:tabs>
          <w:tab w:leader="none" w:pos="8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March 2021, we completed a series of financing transactions, collectively referred to herein as the March 2021 Refinancing Transactions, which are further discussed in Note 15. Debt in the Consolidated Financial Statements included in Part IV, Item 15 of this report.</w:t>
      </w:r>
    </w:p>
    <w:p>
      <w:pPr>
        <w:spacing w:after="0" w:line="1" w:lineRule="exact"/>
        <w:rPr>
          <w:rFonts w:ascii="Arial" w:cs="Arial" w:eastAsia="Arial" w:hAnsi="Arial"/>
          <w:sz w:val="16"/>
          <w:szCs w:val="16"/>
          <w:color w:val="auto"/>
        </w:rPr>
      </w:pPr>
    </w:p>
    <w:p>
      <w:pPr>
        <w:ind w:left="900" w:right="80" w:hanging="244"/>
        <w:spacing w:after="0" w:line="250"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November 2021, our PSP LLC subsidiary entered into the U.S. Government Agreement (as defined below), which is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For further discussion, refer to Note 16. Commitments and Contingencies in the Consolidated Financial Statements included in Part IV, Item 15 of this report.</w:t>
      </w:r>
    </w:p>
    <w:p>
      <w:pPr>
        <w:spacing w:after="0" w:line="1" w:lineRule="exact"/>
        <w:rPr>
          <w:rFonts w:ascii="Arial" w:cs="Arial" w:eastAsia="Arial" w:hAnsi="Arial"/>
          <w:sz w:val="18"/>
          <w:szCs w:val="18"/>
          <w:color w:val="auto"/>
        </w:rPr>
      </w:pPr>
    </w:p>
    <w:p>
      <w:pPr>
        <w:ind w:left="900" w:right="20" w:hanging="244"/>
        <w:spacing w:after="0" w:line="229"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first quarter of 2022, multiple competitive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900" w:right="100" w:hanging="244"/>
        <w:spacing w:after="0" w:line="241" w:lineRule="auto"/>
        <w:tabs>
          <w:tab w:leader="none" w:pos="8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February 2022, we launched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an RTU bottle, representing the first and only RTU formulation of the drug. The bottle formulation now represents a meaningful portion of the overall vasopressin market. Nevertheless, the factors described in the preceding bullet point could have a material adverse effect on our business, financial condition, results of operations and cash flows.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0" w:hanging="244"/>
        <w:spacing w:after="0" w:line="267"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April 2022, we communicated the initiation of certain actions to streamline and simplify certain functions, including our commercial organization, to increase our overall organizational effectiveness and better align with current and future needs. In December 2022, we announced we would be taking certain additional actions to cease the production and sale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light of market concerns about the extent and variability of bruising following initial treatment as well as the potential for prolonged skin discoloration.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had been launched for the treatment of moderate to severe cellulite in the buttocks of adult women in March 2021. These actions are collectively referred to herein as the 2022 Restructuring Initiative. We have recorded and may continue to record certain charges to complete these actions in anticipation of realizing annualized cost savings. For further discussion of these actions, including a discussion of amounts recognized and information about any expected future charges, refer to Note 5. Restructuring in the Consolidated Financial Statements included in Part IV, Item 15 of this report.</w:t>
      </w:r>
    </w:p>
    <w:p>
      <w:pPr>
        <w:spacing w:after="0" w:line="2" w:lineRule="exact"/>
        <w:rPr>
          <w:rFonts w:ascii="Arial" w:cs="Arial" w:eastAsia="Arial" w:hAnsi="Arial"/>
          <w:sz w:val="16"/>
          <w:szCs w:val="16"/>
          <w:color w:val="auto"/>
        </w:rPr>
      </w:pPr>
    </w:p>
    <w:p>
      <w:pPr>
        <w:ind w:left="900" w:hanging="244"/>
        <w:spacing w:after="0" w:line="265" w:lineRule="auto"/>
        <w:tabs>
          <w:tab w:leader="none" w:pos="8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May 2022, we announced that our EVL subsidiary had entered into an agreement to acquire six development-stage RTU injectable product candidates from Nevakar Injectables, Inc., a subsidiary of Nevakar, Inc., for an upfront cash payment of $35.0 million, which was recorded as an Acquired in-process research and development charge in the Consolidated Statements of Operations in the second quarter of 2022. For further discussion of this agreement, as well as a discussion of subsequent legal proceedings with Nevakar (as defined below) that affected both this agreement and a prior 2018 agreement with Nevakar, see Note 12. License, Collaboration and Asset Acquisition Agreements in the Consolidated Financial Statements included in Part IV, Item 15 of this report.</w:t>
      </w:r>
    </w:p>
    <w:p>
      <w:pPr>
        <w:ind w:left="900" w:right="160" w:hanging="244"/>
        <w:spacing w:after="0" w:line="250"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2022, we announced that our EVL subsidiary had entered into an agreement with TLC to commercialize TLC599. During the second quarter of 2022, we made an upfront cash payment of $30.0 million to TLC, which was recorded as an Acquired in-process research and development charge in the Consolidated Statements of Operations in the second quarter of 2022. For further discussion of this agreement, see Note 12. License, Collaboration and Asset Acquisition Agreements in the Consolidated Financial Statements included in Part IV, Item 15 of this report.</w:t>
      </w:r>
    </w:p>
    <w:p>
      <w:pPr>
        <w:spacing w:after="0" w:line="1" w:lineRule="exact"/>
        <w:rPr>
          <w:rFonts w:ascii="Arial" w:cs="Arial" w:eastAsia="Arial" w:hAnsi="Arial"/>
          <w:sz w:val="18"/>
          <w:szCs w:val="18"/>
          <w:color w:val="auto"/>
        </w:rPr>
      </w:pPr>
    </w:p>
    <w:p>
      <w:pPr>
        <w:ind w:left="900" w:right="100" w:hanging="244"/>
        <w:spacing w:after="0" w:line="250"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 Description of Business and Note 15. Debt in the Consolidated Financial Statements included in Part IV, Item 15 of this report for further discussion.</w:t>
      </w:r>
    </w:p>
    <w:p>
      <w:pPr>
        <w:spacing w:after="0" w:line="1" w:lineRule="exact"/>
        <w:rPr>
          <w:rFonts w:ascii="Arial" w:cs="Arial" w:eastAsia="Arial" w:hAnsi="Arial"/>
          <w:sz w:val="18"/>
          <w:szCs w:val="18"/>
          <w:color w:val="auto"/>
        </w:rPr>
      </w:pPr>
    </w:p>
    <w:p>
      <w:pPr>
        <w:ind w:left="900" w:right="360" w:hanging="244"/>
        <w:spacing w:after="0" w:line="281"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We are subject to risks and uncertainties associated with our ongoing bankruptcy proceedings, which could have a material adverse effect on our business, financial condition, results of operations and cash flows. Refer to Note 1. Description of Business, Note 2. Bankruptcy Proceedings and Note 15. Debt in the Consolidated Financial Statements included in Part IV, Item 15 of this report for further discussion.</w:t>
      </w:r>
    </w:p>
    <w:p>
      <w:pPr>
        <w:spacing w:after="0" w:line="4" w:lineRule="exact"/>
        <w:rPr>
          <w:rFonts w:ascii="Arial" w:cs="Arial" w:eastAsia="Arial" w:hAnsi="Arial"/>
          <w:sz w:val="16"/>
          <w:szCs w:val="16"/>
          <w:color w:val="auto"/>
        </w:rPr>
      </w:pPr>
    </w:p>
    <w:p>
      <w:pPr>
        <w:ind w:left="900" w:right="180" w:hanging="244"/>
        <w:spacing w:after="0" w:line="250"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first quarter of 2023, a competitor launched an alternative generic version of varenicline tablets. This launch began to impact both Endo’s market share and product price toward the middle of the first quarter of 2023, resulting in a decline in revenue for our Generic Pharmaceuticals segment. The effects of competition are likely to increase in future periods.</w:t>
      </w:r>
    </w:p>
    <w:p>
      <w:pPr>
        <w:spacing w:after="0" w:line="1" w:lineRule="exact"/>
        <w:rPr>
          <w:rFonts w:ascii="Arial" w:cs="Arial" w:eastAsia="Arial" w:hAnsi="Arial"/>
          <w:sz w:val="18"/>
          <w:szCs w:val="18"/>
          <w:color w:val="auto"/>
        </w:rPr>
      </w:pPr>
    </w:p>
    <w:p>
      <w:pPr>
        <w:ind w:left="900" w:right="20" w:hanging="244"/>
        <w:spacing w:after="0" w:line="290"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addition to our other legal proceedings, we, along with others, are the subject of various legal proceedings regarding the sale, marketing and/or distribution of prescription opioid medications, which are further discussed herein.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Description of Business, Note 2. Bankruptcy Proceedings and Note 16. Commitments and Contingencies in the Consolidated Financial Statements included in Part IV, Item 15 of this report, as well as Part I, Item 1A. “Risk Factors.”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6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Accordingly, in order to understand our Consolidated Financial Statements, it is important to understand our critical accounting estimates. We consider an accounting estimate to be critical if both: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results of operations or cash flows. Our most critical accounting estimates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With respect to contracts with commercial substance that establish payment terms and each party’s rights 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spacing w:after="0" w:line="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8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The variable component of the transaction price is estimated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We subsequently review our estimates for sales deductions based on new or revised information that becomes available to us and make revisions to our estimates if and when appropriate. Refer to “Sales deductions” section below for additional information.</w:t>
      </w:r>
    </w:p>
    <w:p>
      <w:pPr>
        <w:spacing w:after="0" w:line="77" w:lineRule="exact"/>
        <w:rPr>
          <w:sz w:val="20"/>
          <w:szCs w:val="20"/>
          <w:color w:val="auto"/>
        </w:rPr>
      </w:pPr>
    </w:p>
    <w:p>
      <w:pPr>
        <w:jc w:val="both"/>
        <w:ind w:right="220" w:firstLine="486"/>
        <w:spacing w:after="0" w:line="311" w:lineRule="auto"/>
        <w:rPr>
          <w:sz w:val="20"/>
          <w:szCs w:val="20"/>
          <w:color w:val="auto"/>
        </w:rPr>
      </w:pPr>
      <w:r>
        <w:rPr>
          <w:rFonts w:ascii="Arial" w:cs="Arial" w:eastAsia="Arial" w:hAnsi="Arial"/>
          <w:sz w:val="16"/>
          <w:szCs w:val="16"/>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have entered into DSAs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deductions</w:t>
      </w:r>
    </w:p>
    <w:p>
      <w:pPr>
        <w:spacing w:after="0" w:line="117" w:lineRule="exact"/>
        <w:rPr>
          <w:sz w:val="20"/>
          <w:szCs w:val="20"/>
          <w:color w:val="auto"/>
        </w:rPr>
      </w:pPr>
    </w:p>
    <w:p>
      <w:pPr>
        <w:ind w:right="120" w:firstLine="486"/>
        <w:spacing w:after="0" w:line="292" w:lineRule="auto"/>
        <w:rPr>
          <w:sz w:val="20"/>
          <w:szCs w:val="20"/>
          <w:color w:val="auto"/>
        </w:rPr>
      </w:pPr>
      <w:r>
        <w:rPr>
          <w:rFonts w:ascii="Arial" w:cs="Arial" w:eastAsia="Arial" w:hAnsi="Arial"/>
          <w:sz w:val="16"/>
          <w:szCs w:val="16"/>
          <w:color w:val="auto"/>
        </w:rPr>
        <w:t>As described above, the amount of revenue we recognize is equal to the fixed amount of the transaction price, adjusted for our estimates of variable consideration, including sales deductions. If the assumptions we use to calculate our estimates for sales deductions do not appropriately reflect future activity, our financial position, results of operations and cash flows could be materially impacted. The following table presents the activity and ending balances, excluding Discontinued operations, for our product sales provisions for the years ended December 31, 2022 and 2021 (in thousands):</w:t>
      </w: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Returns and</w:t>
            </w:r>
          </w:p>
        </w:tc>
        <w:tc>
          <w:tcPr>
            <w:tcW w:w="28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Rebates</w:t>
            </w:r>
          </w:p>
        </w:tc>
        <w:tc>
          <w:tcPr>
            <w:tcW w:w="20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Chargebacks</w:t>
            </w:r>
          </w:p>
        </w:tc>
        <w:tc>
          <w:tcPr>
            <w:tcW w:w="22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Other Sales</w:t>
            </w:r>
          </w:p>
        </w:tc>
        <w:tc>
          <w:tcPr>
            <w:tcW w:w="300" w:type="dxa"/>
            <w:vAlign w:val="bottom"/>
          </w:tcPr>
          <w:p>
            <w:pPr>
              <w:spacing w:after="0"/>
              <w:rPr>
                <w:sz w:val="12"/>
                <w:szCs w:val="12"/>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605,615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Current year provision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2,265,277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3,092,580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(3,085,614)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588,723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Current year provision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2,229,131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3,079,026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(2,238,647)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(3,055,710)</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600,157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Returns and Allowances</w:t>
      </w:r>
    </w:p>
    <w:p>
      <w:pPr>
        <w:spacing w:after="0" w:line="117" w:lineRule="exact"/>
        <w:rPr>
          <w:sz w:val="20"/>
          <w:szCs w:val="20"/>
          <w:color w:val="auto"/>
        </w:rPr>
      </w:pPr>
    </w:p>
    <w:p>
      <w:pPr>
        <w:ind w:right="320" w:firstLine="486"/>
        <w:spacing w:after="0" w:line="253" w:lineRule="auto"/>
        <w:rPr>
          <w:sz w:val="20"/>
          <w:szCs w:val="20"/>
          <w:color w:val="auto"/>
        </w:rPr>
      </w:pPr>
      <w:r>
        <w:rPr>
          <w:rFonts w:ascii="Arial" w:cs="Arial" w:eastAsia="Arial" w:hAnsi="Arial"/>
          <w:sz w:val="18"/>
          <w:szCs w:val="18"/>
          <w:color w:val="auto"/>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 The primary factors we consider in estimating our potential product returns include:</w:t>
      </w:r>
    </w:p>
    <w:p>
      <w:pPr>
        <w:spacing w:after="0" w:line="3" w:lineRule="exact"/>
        <w:rPr>
          <w:sz w:val="20"/>
          <w:szCs w:val="20"/>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shelf life or expiration date of each product;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historical levels of expired product returns;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external data with respect to inventory levels in the wholesale distribution channel;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external data with respect to prescription demand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estimated returns liability to be processed by year of sale based on analysis of lot information related to actual historical returns.</w:t>
      </w:r>
    </w:p>
    <w:p>
      <w:pPr>
        <w:spacing w:after="0" w:line="114"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In determining our estimates for returns and allowances, we are required to make certain assumptions regarding the timing of the introduction of new products and the potential of these products to capture market share. In addition, we make certain assumptions with respect to the extent and pattern of decline associated with generic competition. To make these assessments, we utilize market data for similar products as analogs for our estimations. We use our best judgment to formulate these assumptions based on past experience and information available to us at the time. We continually reassess and make appropriate changes to our estimates and assumptions as new information becomes available to us.</w:t>
      </w:r>
    </w:p>
    <w:p>
      <w:pPr>
        <w:spacing w:after="0" w:line="6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estimate for returns and allowances may be impacted by a number of factors, but the principal factor relates to the level of inventory in the distribution channel. Where available, we utilize information received from our wholesaler customers about the quantities of inventory held, including the information received pursuant to DSAs, which we have not independently verified. For other customers, we have estimated inventory held based on buying patterns. In addition, we evaluate market conditions for products primarily through the analysis of wholesaler and other third-party sell-through data, as well as internally-generated information, to assess factors that could impact expected product demand at the estimate date. As of December 31, 2022, we believe that our estimates of the level of inventory held by our customers is within a reasonable range as compared to both historical amounts and expected demand for each respective product.</w:t>
      </w:r>
    </w:p>
    <w:p>
      <w:pPr>
        <w:spacing w:after="0" w:line="8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When we are aware of an increase in the level of inventory of our products in the distribution channel, we consider the reasons for the increase to determine whether we believe the increase is temporary or other-than-temporary. Increases in inventory levels assessed as temporary will not result in an adjustment to our provision for returns and allowances. Some of the factors that may be an indication that an increase in inventory levels will be temporary include:</w:t>
      </w:r>
    </w:p>
    <w:p>
      <w:pPr>
        <w:spacing w:after="0" w:line="2"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recently implemented or announced price increases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product launches or expanded indications for our existing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Conversely, other-than-temporary increases in inventory levels may be an indication that future product returns could be higher than originally anticipated and, accordingly, we may need to adjust our provision for returns and allowances. Some of the factors that may be an indication that an increase in inventory levels will be other-than-temporary include:</w:t>
      </w:r>
    </w:p>
    <w:p>
      <w:pPr>
        <w:spacing w:after="0" w:line="3" w:lineRule="exact"/>
        <w:rPr>
          <w:sz w:val="20"/>
          <w:szCs w:val="20"/>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declining sales trends based on prescription demand;</w:t>
      </w:r>
    </w:p>
    <w:p>
      <w:pPr>
        <w:spacing w:after="0" w:line="9" w:lineRule="exact"/>
        <w:rPr>
          <w:rFonts w:ascii="Arial" w:cs="Arial" w:eastAsia="Arial" w:hAnsi="Arial"/>
          <w:sz w:val="18"/>
          <w:szCs w:val="18"/>
          <w:color w:val="auto"/>
        </w:rPr>
      </w:pPr>
    </w:p>
    <w:p>
      <w:pPr>
        <w:ind w:left="900" w:hanging="244"/>
        <w:spacing w:after="0" w:line="250" w:lineRule="auto"/>
        <w:tabs>
          <w:tab w:leader="none" w:pos="8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recent regulatory approvals to shorten the shelf life of our products, which could result in a period of higher returns related to older product still in the distribution channel;</w:t>
      </w: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generic, OTC or other competing products;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price competition from competitors; and</w:t>
      </w:r>
    </w:p>
    <w:p>
      <w:pPr>
        <w:spacing w:after="0" w:line="9" w:lineRule="exact"/>
        <w:rPr>
          <w:rFonts w:ascii="Arial" w:cs="Arial" w:eastAsia="Arial" w:hAnsi="Arial"/>
          <w:sz w:val="18"/>
          <w:szCs w:val="18"/>
          <w:color w:val="auto"/>
        </w:rPr>
      </w:pPr>
    </w:p>
    <w:p>
      <w:pPr>
        <w:ind w:left="900" w:right="280" w:hanging="244"/>
        <w:spacing w:after="0" w:line="323" w:lineRule="auto"/>
        <w:tabs>
          <w:tab w:leader="none" w:pos="8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to the National Drug Codes (NDCs) of our products, which could result in a period of higher returns related to product with the old NDC, as our customers generally permit only one NDC per product for identification and tracking within their inventory systems.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spacing w:after="0" w:line="49"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spacing w:after="0" w:line="5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 Medicaid reserves are based on expected payments, which are driven by patient usage, contract performance and field inventory that will be subject to a Medicaid rebate. Medicaid rebates are typically billed up to 180 days after the product is shipped, but can be as much as 270 days after the quarter in which the product is dispensed to the Medicaid participant. Periodically, we adjust the Medicaid rebate provision based on actual claims paid. Due to the delay in billing, adjustments to actual claims paid may incorporate revisions of this provision for several periods. Because Medicaid pricing programs involve particularly difficult interpretations of complex statutes and regulatory guidance, our estimates could differ from actual experience.</w:t>
      </w:r>
    </w:p>
    <w:p>
      <w:pPr>
        <w:spacing w:after="0" w:line="7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determining our estimates for rebates, we consider the terms of our contracts and relevant statutes, together with information about sales mix (to determine which sales are subject to rebates and the amount of such rebates), historical relationships of rebates to revenues, past payment experience, estimated inventory levels of our customers and estimated future trends. Our provisions for rebates include estimates for both unbilled claims for end-customer sales that have already occurred and future claims that will be made when inventory in the distribution channel is sold through to end-customer plan participants. Changes in the level of utilization of our products through private or public benefit plans and GPOs will affect the amount of rebates that we owe.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market and sell products to both: (i) direct customers including wholesalers, distributors, warehousing pharmacy chains and other 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56" w:lineRule="exact"/>
        <w:rPr>
          <w:sz w:val="20"/>
          <w:szCs w:val="20"/>
          <w:color w:val="auto"/>
        </w:rPr>
      </w:pPr>
    </w:p>
    <w:p>
      <w:pPr>
        <w:ind w:right="740" w:firstLine="486"/>
        <w:spacing w:after="0" w:line="258" w:lineRule="auto"/>
        <w:rPr>
          <w:sz w:val="20"/>
          <w:szCs w:val="20"/>
          <w:color w:val="auto"/>
        </w:rPr>
      </w:pPr>
      <w:r>
        <w:rPr>
          <w:rFonts w:ascii="Arial" w:cs="Arial" w:eastAsia="Arial" w:hAnsi="Arial"/>
          <w:sz w:val="18"/>
          <w:szCs w:val="18"/>
          <w:color w:val="auto"/>
        </w:rPr>
        <w:t>Our provision for chargebacks consists of our estimates for the credits described above. The primary factors we consider in developing and evaluating our provision for chargebacks include:</w:t>
      </w:r>
    </w:p>
    <w:p>
      <w:pPr>
        <w:spacing w:after="0" w:line="1"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historical chargeback credits;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estimated future sales trends;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estimate of the inventory held by our wholesalers, based on internal analysis of a wholesaler’s historical purchases and contract sales.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sales deductions</w:t>
      </w:r>
    </w:p>
    <w:p>
      <w:pPr>
        <w:spacing w:after="0" w:line="11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offer prompt-pay cash discounts to certain of our customers. Provisions for such discounts are estimated and recorded at the time of sale. We estimate provisions for cash discounts based on contractual sales terms with customers, an analysis of unpaid invoices and historical payment experience. Estimated cash discounts have historically been predictable and less subjective due to the limited number of assumptions involved, the consistency of historical experience and the fact that we generally settle these amounts upon receipt of payment by the customer.</w:t>
      </w:r>
    </w:p>
    <w:p>
      <w:pPr>
        <w:spacing w:after="0" w:line="63" w:lineRule="exact"/>
        <w:rPr>
          <w:sz w:val="20"/>
          <w:szCs w:val="20"/>
          <w:color w:val="auto"/>
        </w:rPr>
      </w:pPr>
    </w:p>
    <w:p>
      <w:pPr>
        <w:jc w:val="both"/>
        <w:ind w:right="120" w:firstLine="486"/>
        <w:spacing w:after="0" w:line="255" w:lineRule="auto"/>
        <w:rPr>
          <w:sz w:val="20"/>
          <w:szCs w:val="20"/>
          <w:color w:val="auto"/>
        </w:rPr>
      </w:pPr>
      <w:r>
        <w:rPr>
          <w:rFonts w:ascii="Arial" w:cs="Arial" w:eastAsia="Arial" w:hAnsi="Arial"/>
          <w:sz w:val="18"/>
          <w:szCs w:val="18"/>
          <w:color w:val="auto"/>
        </w:rPr>
        <w:t>Shelf-stock adjustments are credits issued to our customers to reflect decreases in the selling prices of our products. These credits are customary in the industry and are intended to reduce a customer’s inventory cost to better reflect current market prices. The primary factors we consider when deciding whether to record a reserve for a shelf-stock adjustment include:</w:t>
      </w:r>
    </w:p>
    <w:p>
      <w:pPr>
        <w:spacing w:after="0" w:line="3" w:lineRule="exact"/>
        <w:rPr>
          <w:sz w:val="20"/>
          <w:szCs w:val="20"/>
          <w:color w:val="auto"/>
        </w:rPr>
      </w:pPr>
    </w:p>
    <w:p>
      <w:pPr>
        <w:ind w:left="900" w:right="620" w:hanging="244"/>
        <w:spacing w:after="0" w:line="250"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estimated number of competing products being launched as well as the expected launch date, which we determine based on market intelligence;</w:t>
      </w:r>
    </w:p>
    <w:p>
      <w:pPr>
        <w:ind w:left="900" w:hanging="244"/>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estimated decline in the market price of our product, which we determine based on historical experience and customer input; and</w:t>
      </w:r>
    </w:p>
    <w:p>
      <w:pPr>
        <w:spacing w:after="0" w:line="20" w:lineRule="exact"/>
        <w:rPr>
          <w:rFonts w:ascii="Arial" w:cs="Arial" w:eastAsia="Arial" w:hAnsi="Arial"/>
          <w:sz w:val="17"/>
          <w:szCs w:val="17"/>
          <w:color w:val="auto"/>
        </w:rPr>
      </w:pPr>
    </w:p>
    <w:p>
      <w:pPr>
        <w:ind w:left="900" w:right="20" w:hanging="244"/>
        <w:spacing w:after="0" w:line="260" w:lineRule="auto"/>
        <w:tabs>
          <w:tab w:leader="none" w:pos="8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estimated levels of inventory held by our customers at the time of the anticipated decrease in market price, which we determine based upon historical experience and customer input.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December 31, 2022, our combined long-lived assets balance, including property, plant and equipment and finite-lived intangible assets, is approximately $2.2 billion. Our finite-lived intangible assets consist of license rights and developed technology.</w:t>
      </w:r>
    </w:p>
    <w:p>
      <w:pPr>
        <w:spacing w:after="0" w:line="6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Long-lived assets are generally initially recorded at fair value if acquired in a business combination, or at cost if otherwise. To the extent any such asset is deemed to have a finite life and to be held and used, it is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Long-lived assets are assessed for 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7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Prior to disposal,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spacing w:after="0" w:line="6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a result of the significance of our long-lived assets, any recognized losses could have a material adverse impact on our financial position and results of operations.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Our reviews of long-lived assets during the two years ended December 31, 2022 resulted in certain impairment charges. The majority of these charges related to finite-lived intangible assets and certain assets associated with disposal groups, which are further described in Note 11. Goodwill and Other Intangibles and Note 4. Discontinued Operations and Asset Sales, respectively, in the Consolidated Financial Statements included in Part IV, Item 15 of this report. Our impairment charges relating to long-lived assets were generally based on fair value estimates determined using discounted cash flow models or, in the case of disposal groups, a market approach. When testing a long-lived asset using a discounted cash flow model, we utilize assumptions related to the future operating performance of the corresponding product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certain capital structure considerations. These assumptions are based on significant inputs and judgments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 The discount rates applied to intangible long-lived assets impaired in 2022 ranged from 9.5% to 12.0%.</w:t>
      </w:r>
    </w:p>
    <w:p>
      <w:pPr>
        <w:spacing w:after="0" w:line="6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with certainty. Factors that we consider in deciding when to perform an impairment review include significant under-performance of a product line in relation to expectations, competitive events affecting the expected future performance of a product line, significant negative industry or economic trends and significant changes or planned changes in our use of the assets.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category of long-lived intangible assets is described further below.</w:t>
      </w:r>
    </w:p>
    <w:p>
      <w:pPr>
        <w:spacing w:after="0" w:line="11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i w:val="1"/>
          <w:iCs w:val="1"/>
          <w:color w:val="auto"/>
        </w:rPr>
        <w:t xml:space="preserve">Developed Technology. </w:t>
      </w:r>
      <w:r>
        <w:rPr>
          <w:rFonts w:ascii="Arial" w:cs="Arial" w:eastAsia="Arial" w:hAnsi="Arial"/>
          <w:sz w:val="16"/>
          <w:szCs w:val="16"/>
          <w:color w:val="auto"/>
        </w:rPr>
        <w:t>Our developed technology assets subject to amortization have useful lives ranging from 6 years to 16 years, with a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useful life of approximately 12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i w:val="1"/>
          <w:iCs w:val="1"/>
          <w:color w:val="auto"/>
        </w:rPr>
        <w:t xml:space="preserve">License Rights. </w:t>
      </w:r>
      <w:r>
        <w:rPr>
          <w:rFonts w:ascii="Arial" w:cs="Arial" w:eastAsia="Arial" w:hAnsi="Arial"/>
          <w:sz w:val="18"/>
          <w:szCs w:val="18"/>
          <w:color w:val="auto"/>
        </w:rPr>
        <w:t>Our license rights subject to amortization have useful lives ranging from 7 years to 15 years, with a weighted average useful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As of December 31, 2022, the carrying amount of our intangible assets associated with developed technology and license rights totaled approximately $1.7 billion. As a result, if the assumptions used in our impairment tests change, it is possible that material impairment charges could be recorded in future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our goodwill balance is approximately $1.4 billion and we have no indefinite-lived intangible assets.</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6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57"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Similarly, if applicable, we perform our indefinite-lived intangible asset impairment tests by comparing the fair value of each intangible asset with its carrying amount. We estimate the fair values of our indefinite-lived intangible assets using an income approach that utilizes a discounted cash flow model. If the carrying amount of an indefinite-lived intangible asset exceeds its fair value, an impairment loss is recognized in an amount equal to that excess.</w:t>
      </w:r>
    </w:p>
    <w:p>
      <w:pPr>
        <w:spacing w:after="0" w:line="4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all of which may differ from actual future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Assumptions related to future operating performance are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certain capital structure considerations. Where appropriate, the weighted average cost of capital may also incorporate certain risk premiums, such as a company-specific risk premium (CSRP), which represents the incremental return that investors may require to compensate for the risks, uncertainties and variability in our estimated future cash flows. These assumptions are based on significant inputs and judgments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w:t>
      </w:r>
    </w:p>
    <w:p>
      <w:pPr>
        <w:spacing w:after="0" w:line="60" w:lineRule="exact"/>
        <w:rPr>
          <w:sz w:val="20"/>
          <w:szCs w:val="20"/>
          <w:color w:val="auto"/>
        </w:rPr>
      </w:pPr>
    </w:p>
    <w:p>
      <w:pPr>
        <w:ind w:right="180" w:firstLine="486"/>
        <w:spacing w:after="0" w:line="269" w:lineRule="auto"/>
        <w:rPr>
          <w:sz w:val="20"/>
          <w:szCs w:val="20"/>
          <w:color w:val="auto"/>
        </w:rPr>
      </w:pPr>
      <w:r>
        <w:rPr>
          <w:rFonts w:ascii="Arial" w:cs="Arial" w:eastAsia="Arial" w:hAnsi="Arial"/>
          <w:sz w:val="17"/>
          <w:szCs w:val="17"/>
          <w:color w:val="auto"/>
        </w:rPr>
        <w:t>In order to assess the reasonableness of the calculated fair values of our reporting units, we also compare the sum of the reporting units’ fair values to Endo’s market capitalization, together with the aggregate estimated fair value of its debt, and/or observable bids for the Company, such as the Stalking Horse Bid (as defined and further described in Note 2. Bankruptcy Proceedings in the Consolidated Financial Statements included in Part IV, Item 15 of this report). We use this comparison to calculate an implied control premium (the excess sum of the reporting units’ fair values over Endo’s market capitalization, together with the aggregate estimated fair value of its debt, and/or observable bids) or an implied control discount (the excess of Endo’s market capitalization, together with the aggregate estimated fair value of its debt, and/or observable bids over the sum of the reporting units’ fair values). The Company evaluates the implied control premium or discount by comparing it to control premiums or discounts of recent comparable market transactions, as applicable. If the control premium or discount is not reasonable in light of comparable recent transactions, or recent movements in the Company’s share price and/or the aggregate estimated fair value of its debt, we reevaluate the fair value estimates of the reporting units to determine whether it is appropriate to adjust discount rates and/or other assumptions. This re-evaluation could correlate to different implied fair values for certain or all of the Company’s reporting units.</w:t>
      </w:r>
    </w:p>
    <w:p>
      <w:pPr>
        <w:spacing w:after="0" w:line="74"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As further described in Note 11. Goodwill and Other Intangibles in the Consolidated Financial Statements included in Part IV, Item 15 of this report, Endo performed its annual impairment tests as of October 1, 2022. For the purposes of the 2022 annual tests, the Company had two reporting units with goodwill: Branded Pharmaceuticals and Sterile Injectables; the Company did not have any indefinite-lived intangible assets.</w:t>
      </w:r>
    </w:p>
    <w:p>
      <w:pPr>
        <w:spacing w:after="0" w:line="5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discount rates used in the October 1, 2022 goodwill tests were 15.0% and 19.5% for the Branded Pharmaceuticals and Sterile Injectables reporting units, respectively, compared to: (i) 15.0% and 19.5%, respectively, used in the interim goodwill tests performed in the third quarter of 2022; (ii) 13.5% and 18.5%, respectively, used in the interim goodwill tests performed in the second quarter of 2022; and (iii) 14.5% and 11.0%, respectively, used in the October 1, 2021 goodwill tests. The discount rates used in these 2022 goodwill tests reflect certain increases in the CSRP compared to the October 1, 2021 tests, representing increased risks and uncertainties in the underlying cash flows, including those related to: (i) our ability to identify, develop and launch new product candidates, particularly in our Sterile Injectables reporting unit and (ii) risks and uncertainties associated with our ongoing bankruptcy proceedings. We believe the discount rates and other inputs and assumptions used in these various tests were consistent with those that a market participant would have used.</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recorded goodwill impairment charges of $1,748.0 million and $97.0 million, respectively, in connection with our second- and third-quarter 2022 interim impairment tests of our Sterile Injectables reporting unit. No impairment charges were recorded for our Branded Pharmaceuticals reporting unit as a result of these tests.</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completed our annual goodwill impairment tests on October 1, 2022; no additional impairments were recorded in connection with these tests. A 50 basis point increase in the assumed discount rate utilized in the Branded Pharmaceuticals test would not have changed the outcome of that test; however, a 50 basis point increase in the assumed discount rate utilized in the Sterile Injectables test would have resulted in a goodwill impairment charge for this reporting unit of approximately $45 million.</w:t>
      </w:r>
    </w:p>
    <w:p>
      <w:pPr>
        <w:spacing w:after="0" w:line="79"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We performed an additional interim goodwill impairment test for our Sterile Injectables reporting unit as of December 31, 2022 based, in part, on updates made to our estimates of future cash flows following the completion of our annual enterprise-wide long-term strategic planning process beginning in late fourth-quarter 2022 and concluding in February 2023, which is further described in Note 11. Goodwill and Other Intangibles in the Consolidated Financial Statements included in Part IV, Item 15 of this report. The discount rate used in this test was 14.5%. We believe this discount rate and the other inputs and assumptions used to estimate fair value were consistent with those that a market participant would have used in light of the degree of risk associated with the updated estimated future cash flows used in this impairment test as compared to the October 1, 2022 tests. As a result of the December 31, 2022 test, we determined that there was no impairment of goodwill. A 50 basis point increase in the assumed discount rate utilized in this test would have resulted in a goodwill impairment charge for this reporting unit of approximately $15 million.</w:t>
      </w:r>
    </w:p>
    <w:p>
      <w:pPr>
        <w:spacing w:after="0" w:line="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Additional information about our impairment tests is provided in Note 11. Goodwill and Other Intangibles in the Consolidated Financial Statements included in Part IV, Item 15 of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As of December 31, 2022, our Branded Pharmaceuticals and Sterile Injectables reporting units had remaining goodwill of approximately $0.8 billion and $0.5 billion, respectively. As a result, if the assumptions used in our impairment tests change, it is possible that additional impairment charges could be recorded in future periods and that these charges could be material.</w:t>
      </w:r>
    </w:p>
    <w:p>
      <w:pPr>
        <w:spacing w:after="0" w:line="76" w:lineRule="exact"/>
        <w:rPr>
          <w:sz w:val="20"/>
          <w:szCs w:val="20"/>
          <w:color w:val="auto"/>
        </w:rPr>
      </w:pPr>
    </w:p>
    <w:p>
      <w:pPr>
        <w:ind w:right="460" w:firstLine="486"/>
        <w:spacing w:after="0" w:line="257" w:lineRule="auto"/>
        <w:rPr>
          <w:sz w:val="20"/>
          <w:szCs w:val="20"/>
          <w:color w:val="auto"/>
        </w:rPr>
      </w:pPr>
      <w:r>
        <w:rPr>
          <w:rFonts w:ascii="Arial" w:cs="Arial" w:eastAsia="Arial" w:hAnsi="Arial"/>
          <w:sz w:val="18"/>
          <w:szCs w:val="18"/>
          <w:color w:val="auto"/>
        </w:rPr>
        <w:t>Each of our reporting units is subject to various risks and uncertainties, including those described above and in Note 11. Goodwill and Other Intangibles in the Consolidated Financial Statements included in Part IV, Item 15 of this report. If actual results for our reporting units differ from our expectations, as a result of these or other risks and uncertainties, and/or if we make related changes to our assumptions for these reporting units, the estimated future revenues and cash flows could be significantly reduced, which could ultimately result in goodwill impairment charges that may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income tax expense, deferred tax assets and liabilities, income tax payable and reserves for unrecognized tax benefits reflect our best assessment of estimated current and future taxes to be paid. We are subject to income taxes in the U.S. and numerous other jurisdictions in which we operate. Significant judgments and estimates are required in determining the consolidated income tax expense or benefit for financial statement purposes. Deferred income taxes arise from temporary differences, which result in future taxable or deductible amounts, between the tax basis of assets and liabilities and the corresponding amounts reported in our Consolidated Financial Statements. In assessing the ability to realize deferred tax assets, we consider, when appropriate, future taxable income by tax jurisdiction and tax planning strategies. Where appropriate, we record a valuation allowance to reduce our net deferred tax assets to equal an amount that is more likely than not to be realized. In projecting future taxable income, we consider historical results, adjusted in certain cases for the results of discontinued operations, changes in tax laws or nonrecurring transactions. We incorporate assumptions about the amount of future earnings within a specific jurisdiction’s pretax income, adjusted for material changes included in business operations. The assumptions about future taxable income require significant judgment and, while these assumptions rely heavily on estimates, such estimates are consistent with the plans we are using to manage the underlying business.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spacing w:after="0" w:line="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calculation of our tax liabilities often involves dealing with uncertainties in the application of complex tax laws and regulations in a multitude of jurisdictions across our global operations. A benefit from an uncertain tax position may be recognized when it is more likely than not that the position will be sustained on the basis of the technical merits upon examination, including resolutions of any related appeals or litigation processes. We first record unrecognized tax benefits as liabilities and then adjust these liabilities when our judgment changes as a result of the evaluation of new information not previously available at the time of establishing the liability. Because of the complexity of some of these uncertainties, the ultimate resolution may result in a payment, potentially including interest and penalties, that is materially different from our current estimate of the unrecognized tax benefit liabilities. These differences, along with any related interest and penalties, will generally be reflected as increases or decreases to income tax expense in the period in which new information becomes available.</w:t>
      </w:r>
    </w:p>
    <w:p>
      <w:pPr>
        <w:spacing w:after="0" w:line="8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make an evaluation at the end of each reporting period as to whether or not some or all of the undistributed earnings of our subsidiaries are indefinitely reinvested. Refer to Note 21. Income Taxes in the Consolidated Financial Statements included in Part IV, Item 15 of this report for information about our evaluation for the current reporting period and certain associated risks and uncertainties.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Material legal proceedings involving the Company are discussed in Note 16. Commitments and Contingencies in the Consolidated Financial Statements included in Part IV, Item 15 of this report.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are generally included in Selling, general and administrative expenses in the Consolidated Statements of Operations (or as Discontinued operations, net of tax in the case of vaginal mesh matters).</w:t>
      </w:r>
    </w:p>
    <w:p>
      <w:pPr>
        <w:spacing w:after="0" w:line="84"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items outside of our control including, without limitation, the normal cadence of the litigation process and the provision of claim information to us by plaintiff’s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spacing w:after="0" w:line="8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As of December 31, 2022, our accrual for loss contingencies totaled $820.8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December 31, 2022, our entire accrual for loss contingencies is classified as Liabilities subject to compromise in the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subject to compromise</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periods beginning with the third quarter of 2022, pre-petition unsecured and undersecured claims related to the Debtors that may be impacted by the bankruptcy reorganization process have been classified as Liabilities subject to compromise in the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w:t>
      </w:r>
    </w:p>
    <w:p>
      <w:pPr>
        <w:spacing w:after="0" w:line="8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determination of how liabilities will ultimately be settled or treated cannot be made until approved by the Bankruptcy Court. Therefore, the amounts classified as Liabilities subject to compromise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years ended December 31, 2022 and 2021 (dollars in thousands):</w:t>
      </w: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2,318,875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2,993,206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1,092,499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1,221,064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1,226,376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1,772,142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52.9 %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59.2 %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777,169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861,760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128,033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123,440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25,120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8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478,722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345,495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2,142,746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414,977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Acquisition-related and integration items, net</w:t>
            </w:r>
          </w:p>
        </w:tc>
        <w:tc>
          <w:tcPr>
            <w:tcW w:w="28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562,353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13,753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(19,774)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 before income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(2,888,102)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(546,603)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15" w:lineRule="exact"/>
        <w:rPr>
          <w:sz w:val="20"/>
          <w:szCs w:val="20"/>
          <w:color w:val="auto"/>
        </w:rPr>
      </w:pPr>
    </w:p>
    <w:p>
      <w:pPr>
        <w:ind w:right="240" w:firstLine="486"/>
        <w:spacing w:after="0" w:line="238" w:lineRule="auto"/>
        <w:rPr>
          <w:sz w:val="20"/>
          <w:szCs w:val="20"/>
          <w:color w:val="auto"/>
        </w:rPr>
      </w:pPr>
      <w:r>
        <w:rPr>
          <w:rFonts w:ascii="Arial" w:cs="Arial" w:eastAsia="Arial" w:hAnsi="Arial"/>
          <w:sz w:val="18"/>
          <w:szCs w:val="18"/>
          <w:b w:val="1"/>
          <w:bCs w:val="1"/>
          <w:i w:val="1"/>
          <w:iCs w:val="1"/>
          <w:color w:val="auto"/>
        </w:rPr>
        <w:t xml:space="preserve">Total revenues, net. </w:t>
      </w:r>
      <w:r>
        <w:rPr>
          <w:rFonts w:ascii="Arial" w:cs="Arial" w:eastAsia="Arial" w:hAnsi="Arial"/>
          <w:sz w:val="18"/>
          <w:szCs w:val="18"/>
          <w:color w:val="auto"/>
        </w:rPr>
        <w:t>Total revenues in 2022 were $2,318.9 million compared to $2,993.2 million in 2021 as revenue decreases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other products in our Sterile Injectables segment, as well as our Branded Pharmaceuticals and International Pharmaceuticals segments, were partially offset by increased revenues from our Generic Pharmaceuticals segment. Our revenues are further disaggregated and described below under the heading “Business Segment Results Review.”</w:t>
      </w:r>
    </w:p>
    <w:p>
      <w:pPr>
        <w:spacing w:after="0" w:line="94" w:lineRule="exact"/>
        <w:rPr>
          <w:sz w:val="20"/>
          <w:szCs w:val="20"/>
          <w:color w:val="auto"/>
        </w:rPr>
      </w:pPr>
    </w:p>
    <w:p>
      <w:pPr>
        <w:ind w:right="120" w:firstLine="486"/>
        <w:spacing w:after="0" w:line="295" w:lineRule="auto"/>
        <w:rPr>
          <w:sz w:val="20"/>
          <w:szCs w:val="20"/>
          <w:color w:val="auto"/>
        </w:rPr>
      </w:pPr>
      <w:r>
        <w:rPr>
          <w:rFonts w:ascii="Arial" w:cs="Arial" w:eastAsia="Arial" w:hAnsi="Arial"/>
          <w:sz w:val="16"/>
          <w:szCs w:val="16"/>
          <w:b w:val="1"/>
          <w:bCs w:val="1"/>
          <w:i w:val="1"/>
          <w:iCs w:val="1"/>
          <w:color w:val="auto"/>
        </w:rPr>
        <w:t xml:space="preserve">Cost of revenues and gross margin percentage. </w:t>
      </w:r>
      <w:r>
        <w:rPr>
          <w:rFonts w:ascii="Arial" w:cs="Arial" w:eastAsia="Arial" w:hAnsi="Arial"/>
          <w:sz w:val="16"/>
          <w:szCs w:val="16"/>
          <w:color w:val="auto"/>
        </w:rPr>
        <w:t>During the years ended December 31, 2022 and 2021, Cost of revenues includes certain 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5"/>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372,907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Amounts related to continuity and separation benefits, cost reductions and strategic review initiatives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61,806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9,058</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jc w:val="both"/>
        <w:ind w:left="580" w:right="80" w:hanging="329"/>
        <w:spacing w:after="0" w:line="276" w:lineRule="auto"/>
        <w:tabs>
          <w:tab w:leader="none" w:pos="572" w:val="left"/>
        </w:tabs>
        <w:numPr>
          <w:ilvl w:val="0"/>
          <w:numId w:val="46"/>
        </w:numPr>
        <w:rPr>
          <w:rFonts w:ascii="Arial" w:cs="Arial" w:eastAsia="Arial" w:hAnsi="Arial"/>
          <w:sz w:val="13"/>
          <w:szCs w:val="13"/>
          <w:color w:val="auto"/>
        </w:rPr>
      </w:pPr>
      <w:r>
        <w:rPr>
          <w:rFonts w:ascii="Arial" w:cs="Arial" w:eastAsia="Arial" w:hAnsi="Arial"/>
          <w:sz w:val="13"/>
          <w:szCs w:val="13"/>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in 2022 was primarily driven by prior asset impairment charges and decreases in the rate of amortization expense for certain assets.</w:t>
      </w:r>
    </w:p>
    <w:p>
      <w:pPr>
        <w:ind w:left="580" w:right="60" w:hanging="329"/>
        <w:spacing w:after="0" w:line="291" w:lineRule="auto"/>
        <w:tabs>
          <w:tab w:leader="none" w:pos="572" w:val="left"/>
        </w:tabs>
        <w:numPr>
          <w:ilvl w:val="0"/>
          <w:numId w:val="46"/>
        </w:numPr>
        <w:rPr>
          <w:rFonts w:ascii="Arial" w:cs="Arial" w:eastAsia="Arial" w:hAnsi="Arial"/>
          <w:sz w:val="13"/>
          <w:szCs w:val="13"/>
          <w:color w:val="auto"/>
        </w:rPr>
      </w:pPr>
      <w:r>
        <w:rPr>
          <w:rFonts w:ascii="Arial" w:cs="Arial" w:eastAsia="Arial" w:hAnsi="Arial"/>
          <w:sz w:val="13"/>
          <w:szCs w:val="13"/>
          <w:color w:val="auto"/>
        </w:rPr>
        <w:t>Amounts include, among other things, certain accelerated depreciation charges, inventory adjustments and net employee separation, continuity and other benefit-related costs, including amounts related to restructurings. For further discussion of our restructuring initiatives, including a discussion of amounts recognized and information about any expected future charges, refer to Note 4. Discontinued Operations and Asset Sales and Note 5. Restructuring in the Consolidated Financial Statements included in Part IV, Item 15 of this report.</w:t>
      </w:r>
    </w:p>
    <w:p>
      <w:pPr>
        <w:spacing w:after="0" w:line="75" w:lineRule="exact"/>
        <w:rPr>
          <w:sz w:val="20"/>
          <w:szCs w:val="20"/>
          <w:color w:val="auto"/>
        </w:rPr>
      </w:pPr>
    </w:p>
    <w:p>
      <w:pPr>
        <w:ind w:right="660" w:firstLine="486"/>
        <w:spacing w:after="0" w:line="234" w:lineRule="auto"/>
        <w:rPr>
          <w:sz w:val="20"/>
          <w:szCs w:val="20"/>
          <w:color w:val="auto"/>
        </w:rPr>
      </w:pPr>
      <w:r>
        <w:rPr>
          <w:rFonts w:ascii="Arial" w:cs="Arial" w:eastAsia="Arial" w:hAnsi="Arial"/>
          <w:sz w:val="18"/>
          <w:szCs w:val="18"/>
          <w:color w:val="auto"/>
        </w:rPr>
        <w:t>The decrease in Cost of revenues in 2022 was primarily due to decreased revenues and decreased amortization expense, partially offset by unfavorable changes in product mix resulting primarily from decreased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as well as increased costs for amounts related to continuity and separation benefits, cost reductions and strategic review initiatives.</w:t>
      </w:r>
    </w:p>
    <w:p>
      <w:pPr>
        <w:spacing w:after="0" w:line="95" w:lineRule="exact"/>
        <w:rPr>
          <w:sz w:val="20"/>
          <w:szCs w:val="20"/>
          <w:color w:val="auto"/>
        </w:rPr>
      </w:pPr>
    </w:p>
    <w:p>
      <w:pPr>
        <w:ind w:right="520" w:firstLine="486"/>
        <w:spacing w:after="0" w:line="291" w:lineRule="auto"/>
        <w:rPr>
          <w:sz w:val="20"/>
          <w:szCs w:val="20"/>
          <w:color w:val="auto"/>
        </w:rPr>
      </w:pPr>
      <w:r>
        <w:rPr>
          <w:rFonts w:ascii="Arial" w:cs="Arial" w:eastAsia="Arial" w:hAnsi="Arial"/>
          <w:sz w:val="18"/>
          <w:szCs w:val="18"/>
          <w:color w:val="auto"/>
        </w:rPr>
        <w:t>The decrease in gross margin percentage in 2022 was primarily due to unfavorable changes in product mix resulting primarily from decreased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decrease in 2022 was primarily due to decreased costs associated with our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legal matters. Additionally, in 2022, Selling, general and administrative expenses reflected the recovery of certain previously-incurred opioid-related legal expenses. These decreases were partially offset by increased Selling, general and administrative expenses associated with our investment in consumer marketing efforts supporting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strategic review initiatives, restructuring and/or other cost reduction initiatives, including costs incurred in connection with our bankruptcy proceedings, which are included in Selling, general and administrative expenses until the Petition Date and in Reorganization items, net thereafter. Refer to Note 5. Restructuring in the Consolidated Financial Statements included in Part IV, Item 15 of this report for further discussion of certain restructuring initiatives, including a discussion of amounts recognized and information about any expected future charges.</w:t>
      </w:r>
    </w:p>
    <w:p>
      <w:pPr>
        <w:spacing w:after="0" w:line="9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R&amp;D expenses. </w:t>
      </w:r>
      <w:r>
        <w:rPr>
          <w:rFonts w:ascii="Arial" w:cs="Arial" w:eastAsia="Arial" w:hAnsi="Arial"/>
          <w:sz w:val="18"/>
          <w:szCs w:val="18"/>
          <w:color w:val="auto"/>
        </w:rPr>
        <w:t>Our R&amp;D efforts are focused on the development of a diversified portfolio of innovative and clinically differentiated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The amount of R&amp;D expense we record in any period varies depending on the nature and stage of development of our R&amp;D programs, certain of which are further described below.</w:t>
      </w:r>
    </w:p>
    <w:p>
      <w:pPr>
        <w:spacing w:after="0" w:line="70" w:lineRule="exact"/>
        <w:rPr>
          <w:sz w:val="20"/>
          <w:szCs w:val="20"/>
          <w:color w:val="auto"/>
        </w:rPr>
      </w:pPr>
    </w:p>
    <w:p>
      <w:pPr>
        <w:ind w:right="100" w:firstLine="486"/>
        <w:spacing w:after="0" w:line="238" w:lineRule="auto"/>
        <w:rPr>
          <w:sz w:val="20"/>
          <w:szCs w:val="20"/>
          <w:color w:val="auto"/>
        </w:rPr>
      </w:pPr>
      <w:r>
        <w:rPr>
          <w:rFonts w:ascii="Arial" w:cs="Arial" w:eastAsia="Arial" w:hAnsi="Arial"/>
          <w:sz w:val="17"/>
          <w:szCs w:val="17"/>
          <w:color w:val="auto"/>
        </w:rPr>
        <w:t>We continue to invest in our Branded Pharmaceuticals segment. In early 2020, we announced that we had initiated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 for the treatment of plantar fibromatosis, for which we anticipate Phase 2 top-line data by the end of the first quarter of 2023. We also initiated a proof-of-concept study in plantar fasciitis during the fourth quarter of 2022. Additionally, until late 2022, we had been advancing our development programs for QWO</w:t>
      </w:r>
      <w:r>
        <w:rPr>
          <w:rFonts w:ascii="Arial" w:cs="Arial" w:eastAsia="Arial" w:hAnsi="Arial"/>
          <w:sz w:val="22"/>
          <w:szCs w:val="22"/>
          <w:color w:val="auto"/>
          <w:vertAlign w:val="superscript"/>
        </w:rPr>
        <w:t>®</w:t>
      </w:r>
      <w:r>
        <w:rPr>
          <w:rFonts w:ascii="Arial" w:cs="Arial" w:eastAsia="Arial" w:hAnsi="Arial"/>
          <w:sz w:val="17"/>
          <w:szCs w:val="17"/>
          <w:color w:val="auto"/>
        </w:rPr>
        <w:t>, which was launched in March 2021 for the treatment of moderate to severe cellulite in the buttocks of adult women. However, as further discussed in Note 5. Restructuring in the Consolidated Financial Statements included in Part IV, Item 15 of this report, in December 2022, we announced we would be ceasing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w:t>
      </w:r>
    </w:p>
    <w:p>
      <w:pPr>
        <w:spacing w:after="0" w:line="97" w:lineRule="exact"/>
        <w:rPr>
          <w:sz w:val="20"/>
          <w:szCs w:val="20"/>
          <w:color w:val="auto"/>
        </w:rPr>
      </w:pPr>
    </w:p>
    <w:p>
      <w:pPr>
        <w:ind w:right="760" w:firstLine="486"/>
        <w:spacing w:after="0" w:line="311" w:lineRule="auto"/>
        <w:rPr>
          <w:sz w:val="20"/>
          <w:szCs w:val="20"/>
          <w:color w:val="auto"/>
        </w:rPr>
      </w:pPr>
      <w:r>
        <w:rPr>
          <w:rFonts w:ascii="Arial" w:cs="Arial" w:eastAsia="Arial" w:hAnsi="Arial"/>
          <w:sz w:val="16"/>
          <w:szCs w:val="16"/>
          <w:color w:val="auto"/>
        </w:rPr>
        <w:t>We expect to continue to focus investments in RTU and other product candidates in our Sterile Injectables segment, potentially including acquisitions and/or license and commercialization agreements such as the 2022 Nevakar Agreement that is further described in Note 12. License, Collaboration and Asset Acquisition Agreements in the Consolidated Financial Statements included in Part IV, Item 15 of this report.</w:t>
      </w:r>
    </w:p>
    <w:p>
      <w:pPr>
        <w:spacing w:after="0" w:line="35" w:lineRule="exact"/>
        <w:rPr>
          <w:sz w:val="20"/>
          <w:szCs w:val="20"/>
          <w:color w:val="auto"/>
        </w:rPr>
      </w:pPr>
    </w:p>
    <w:p>
      <w:pPr>
        <w:ind w:right="140" w:firstLine="486"/>
        <w:spacing w:after="0" w:line="241" w:lineRule="auto"/>
        <w:rPr>
          <w:sz w:val="20"/>
          <w:szCs w:val="20"/>
          <w:color w:val="auto"/>
        </w:rPr>
      </w:pPr>
      <w:r>
        <w:rPr>
          <w:rFonts w:ascii="Arial" w:cs="Arial" w:eastAsia="Arial" w:hAnsi="Arial"/>
          <w:sz w:val="17"/>
          <w:szCs w:val="17"/>
          <w:color w:val="auto"/>
        </w:rPr>
        <w:t>The increase in R&amp;D expense in 2022 was primarily driven by increased costs associated with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programs, certain restructuring and other cost reduction initiatives and certain post-marketing commitments. These increases were partially offset by decreased costs associated with QWO</w:t>
      </w:r>
      <w:r>
        <w:rPr>
          <w:rFonts w:ascii="Arial" w:cs="Arial" w:eastAsia="Arial" w:hAnsi="Arial"/>
          <w:sz w:val="22"/>
          <w:szCs w:val="22"/>
          <w:color w:val="auto"/>
          <w:vertAlign w:val="superscript"/>
        </w:rPr>
        <w:t>®</w:t>
      </w:r>
      <w:r>
        <w:rPr>
          <w:rFonts w:ascii="Arial" w:cs="Arial" w:eastAsia="Arial" w:hAnsi="Arial"/>
          <w:sz w:val="17"/>
          <w:szCs w:val="17"/>
          <w:color w:val="auto"/>
        </w:rPr>
        <w:t>, including as a result of actions taken in connection with the discontinuation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discussed above. Refer to Note 5. Restructuring in the Consolidated Financial Statements included in Part IV, Item 15 of this report for further discussion of certain restructuring initiatives, including a discussion of amounts recognized and information about any expected future charges.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our development programs progress, it is possible that our R&amp;D expenses could increase.</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b w:val="1"/>
          <w:bCs w:val="1"/>
          <w:i w:val="1"/>
          <w:iCs w:val="1"/>
          <w:color w:val="auto"/>
        </w:rPr>
        <w:t xml:space="preserve">Acquired in-process research and development. </w:t>
      </w:r>
      <w:r>
        <w:rPr>
          <w:rFonts w:ascii="Arial" w:cs="Arial" w:eastAsia="Arial" w:hAnsi="Arial"/>
          <w:sz w:val="17"/>
          <w:szCs w:val="17"/>
          <w:color w:val="auto"/>
        </w:rPr>
        <w:t>Acquired in-process research and development charges are generally recognized in periods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The increase in Acquired in-process research and development charges in 2022 was primarily driven by the incurrence, during the second quarter of 2022, of expenses related to upfront payments associated with the 2022 Nevakar Agreement and the TLC Agreement of $35.0 million and $30.0 million, respectively, which are further described in Note 12. License, Collaboration and Asset Acquisition Agreements in the Consolidated Financial Statements included in Part IV, Item 15 of this report. This increase was partially offset by the incurrence, during 2021, of approximately $25.1 million of expenses, which primarily related to upfront payments associated with various license agreements.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7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Litigation-related and other contingencies, net. </w:t>
      </w:r>
      <w:r>
        <w:rPr>
          <w:rFonts w:ascii="Arial" w:cs="Arial" w:eastAsia="Arial" w:hAnsi="Arial"/>
          <w:sz w:val="18"/>
          <w:szCs w:val="18"/>
          <w:color w:val="auto"/>
        </w:rPr>
        <w:t>Included within Litigation-related and other contingencies, net are changes to our accruals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litigation-related charges. Our material legal proceedings and other contingent matters are described in more detail in Note 16. Commitments and Contingencies in the Consolidated Financial Statements included in Part IV, Item 15 of this report.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Description of Business, Note 2. Bankruptcy Proceedings and Note 16. Commitments and Contingencies in the Consolidated Financial Statements included in Part IV, Item 15 of this report.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 (in 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6"/>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288,701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Disposal group impairment charges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42,155</w:t>
            </w:r>
          </w:p>
        </w:tc>
      </w:tr>
      <w:tr>
        <w:trPr>
          <w:trHeight w:val="248"/>
        </w:trPr>
        <w:tc>
          <w:tcPr>
            <w:tcW w:w="8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 impairment charges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414,977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additional information, refer to Note 4. Discontinued Operations and Asset Sales, Note 5. Restructuring, Note 7. Fair Value Measurements, Note</w:t>
      </w:r>
    </w:p>
    <w:p>
      <w:pPr>
        <w:spacing w:after="0" w:line="46" w:lineRule="exact"/>
        <w:rPr>
          <w:sz w:val="20"/>
          <w:szCs w:val="20"/>
          <w:color w:val="auto"/>
        </w:rPr>
      </w:pPr>
    </w:p>
    <w:p>
      <w:pPr>
        <w:ind w:right="140" w:firstLine="8"/>
        <w:spacing w:after="0" w:line="260"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Leases, Note 10. Property, Plant and Equipment and Note 11. Goodwill and Other Intangibles in the Consolidated Financial Statements included in Part IV, Item 15 of this report, as well as the “CRITICAL ACCOUNTING ESTIMATES” section herein.</w:t>
      </w:r>
    </w:p>
    <w:p>
      <w:pPr>
        <w:spacing w:after="0" w:line="77"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expense (benefit)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in the Consolidated Financial Statements included in Part IV, Item 15 of this report for further discussion of our acquisition-related contingent consideration.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The components of Interest expense, net for the years ended December 31, 2022 and 2021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6"/>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562,937</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562,353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decrease in interest expense in 2022 was primarily attributable to the fact that we ceased the recognition of interest expense related to our indebtedness beginning on the Petition Date as a result of the Chapter 11 Cases. Additionally, when compared to the prior year period, there have been decreases to interest expense resulting from reductions in the aggregate principal amount of our indebtedness, which were primarily attributable to the partial repayment of the Revolving Credit Facility in October 2021, the January 2022 Senior Notes Repayments and certain quarterly payments made on the Term Loan Facility. These decreases in interest expense were partially offset by increases in the weighted average interest rate applicable to our total indebtedness through the Petition Date. Beginning during the third quarter of 2022, we also became obligated to make certain adequate protection payments as a result of the Chapter 11 Cases, which are currently being accounted for as a reduction of the carrying amount of the related debt instruments. Some or all of the adequate protection payments may later be recharacterized as interest expense depending upon certain developments in the Chapter 11 Cases, which could result in increases in interest expense in future periods that may be material. Refer to Note 15. Debt in the Consolidated Financial Statements included in Part IV, Item 15 of this report for further discussion.</w:t>
      </w:r>
    </w:p>
    <w:p>
      <w:pPr>
        <w:spacing w:after="0" w:line="7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9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 amount in 2021 relates to the March 2021 Refinancing Transactions. Refer to Note 15. Debt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IV, Item 15 of this report for further discussion.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b w:val="1"/>
          <w:bCs w:val="1"/>
          <w:i w:val="1"/>
          <w:iCs w:val="1"/>
          <w:color w:val="auto"/>
        </w:rPr>
        <w:t>Reorganization items, 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relate to the net expense or income recognized during our bankruptcy proceedings required to be presented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Reorganization items, net under </w:t>
      </w:r>
      <w:r>
        <w:rPr>
          <w:rFonts w:ascii="Arial" w:cs="Arial" w:eastAsia="Arial" w:hAnsi="Arial"/>
          <w:sz w:val="16"/>
          <w:szCs w:val="16"/>
          <w:i w:val="1"/>
          <w:iCs w:val="1"/>
          <w:color w:val="auto"/>
        </w:rPr>
        <w:t>Accounting Standards Codification Topic 852, Reorganizations</w:t>
      </w:r>
      <w:r>
        <w:rPr>
          <w:rFonts w:ascii="Arial" w:cs="Arial" w:eastAsia="Arial" w:hAnsi="Arial"/>
          <w:sz w:val="16"/>
          <w:szCs w:val="16"/>
          <w:color w:val="auto"/>
        </w:rPr>
        <w:t xml:space="preserve"> (ASC 852). Refer to Note 2. Bankruptcy Proceedings in the Consolidated Financial Statements included in Part IV, Item 15 of this report for further details. Costs related to our bankruptcy proceedings that were incurred prior to the Petition Date are generally reflected as Selling, general and administrative expenses in our Consolidated Statements of Operations. We expect to continue to incur significant expenses in connection with our ongoing bankruptcy proceedings and certain related transactions and it is possible that such costs will increase over time, particularly if we incur certain associated success-related and/or other contingent fees, which could be significant. In addition, the longer the Chapter 11 Cases continue, the higher our expenses for these matters could be.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The components of Other income, net for the years ended December 31, 2022 and 2021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6"/>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our investments in the equity of other companies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net, refer to Note 20. Other Income, Net in the Consolidated Financial Statements included in Part IV, Item 15 of this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Income tax expense (benefit)</w:t>
      </w:r>
      <w:r>
        <w:rPr>
          <w:rFonts w:ascii="Arial" w:cs="Arial" w:eastAsia="Arial" w:hAnsi="Arial"/>
          <w:sz w:val="17"/>
          <w:szCs w:val="17"/>
          <w:color w:val="auto"/>
        </w:rPr>
        <w:t>. The following table displays our Loss from continuing operations before income tax, Income tax expense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for the years ended December 31, 2022 and 2021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6"/>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income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(2,888,102)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(546,603)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21,516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22,478</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r>
    </w:tbl>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change in income tax expense in 2022 compared to the 2021 income tax expense primarily relates to an increase in accrued interest on uncertain tax positions and changes in the geographic mix of pre-tax earnings. For additional discussion of the effective tax rate, see Note 21. Income Taxes in the Consolidated Financial Statements included in Part IV, Item 15 of this report.</w:t>
      </w:r>
    </w:p>
    <w:p>
      <w:pPr>
        <w:spacing w:after="0" w:line="76"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As previously disclosed, the Company concluded that there was substantial doubt about its ability to continue as a going concern within one year after the date of issuance of the Condensed Consolidated Financial Statements included in the Quarterly Report on Form 10-Q for the quarterly period ended June 30, 2022 filed with the SEC on August 9, 2022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6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December 31,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21. Income Taxes in the Consolidated Financial Statements included in Part IV, Item 15 of this report.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of this report for more information.</w:t>
      </w:r>
    </w:p>
    <w:p>
      <w:pPr>
        <w:spacing w:after="0" w:line="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Additionally, as further discussed in Note 21. Income Taxes in the Consolidated Financial Statements included in Part IV, Item 15 of this report, the IRS has filed multiple proofs of claim against several of the Debtors in connection with our ongoing bankruptcy proceedings.</w:t>
      </w:r>
    </w:p>
    <w:p>
      <w:pPr>
        <w:spacing w:after="0" w:line="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additional information on our income taxes, see Note 21. Income Taxes in the Consolidated Financial Statements included in Part IV, Item 15 of this report.</w:t>
      </w:r>
    </w:p>
    <w:p>
      <w:pPr>
        <w:spacing w:after="0" w:line="62" w:lineRule="exact"/>
        <w:rPr>
          <w:sz w:val="20"/>
          <w:szCs w:val="20"/>
          <w:color w:val="auto"/>
        </w:rPr>
      </w:pPr>
    </w:p>
    <w:p>
      <w:pPr>
        <w:ind w:right="160" w:firstLine="486"/>
        <w:spacing w:after="0" w:line="278" w:lineRule="auto"/>
        <w:rPr>
          <w:sz w:val="20"/>
          <w:szCs w:val="20"/>
          <w:color w:val="auto"/>
        </w:rPr>
      </w:pPr>
      <w:r>
        <w:rPr>
          <w:rFonts w:ascii="Arial" w:cs="Arial" w:eastAsia="Arial" w:hAnsi="Arial"/>
          <w:sz w:val="17"/>
          <w:szCs w:val="17"/>
          <w:b w:val="1"/>
          <w:bCs w:val="1"/>
          <w:i w:val="1"/>
          <w:iCs w:val="1"/>
          <w:color w:val="auto"/>
        </w:rPr>
        <w:t xml:space="preserve">Discontinued operations, net of tax. </w:t>
      </w:r>
      <w:r>
        <w:rPr>
          <w:rFonts w:ascii="Arial" w:cs="Arial" w:eastAsia="Arial" w:hAnsi="Arial"/>
          <w:sz w:val="17"/>
          <w:szCs w:val="17"/>
          <w:color w:val="auto"/>
        </w:rPr>
        <w:t>The operating results of the Company’s Astora business, which the Board resolved to wind down in 2016,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reported as Discontinued operations, net of tax in the Consolidated Statements of Operations for all periods presented. The following table provides the operating results of Astora Discontinued operations, net of tax, for the years ended December 31,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6"/>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(49,594)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(13,487)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(44,164)</w:t>
            </w:r>
          </w:p>
        </w:tc>
      </w:tr>
    </w:tbl>
    <w:p>
      <w:pPr>
        <w:spacing w:after="0" w:line="187"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Amounts included in the Litigation-related and other contingencies, net line of the table above are for mesh-related litigation. The remaining pre-tax amounts in 2022 and 2021 were primarily related to mesh-related legal defense costs and certain other items. For additional discussion of mesh-related matters, refer to Note 16. Commitments and Contingencies in the Consolidated Financial Statements included in Part IV, Item 15 of this report.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6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years ended December 31, 2022 and 2021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1,266,097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740,586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92,906</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revenues from external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2,993,206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60" w:hanging="309"/>
        <w:spacing w:after="0"/>
        <w:tabs>
          <w:tab w:leader="none" w:pos="5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80" w:firstLine="486"/>
        <w:spacing w:after="0" w:line="269"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years ended December 31, 2022 and 2021 (dollars in thousands):</w:t>
      </w: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XIAFLEX®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438,680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432,344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SUPPRELIN® LA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86,432</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PERCOCET®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TESTOPEL®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260,467</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893,617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9"/>
          <w:szCs w:val="9"/>
          <w:color w:val="auto"/>
        </w:rPr>
        <w:t>®</w:t>
      </w:r>
      <w:r>
        <w:rPr>
          <w:rFonts w:ascii="Arial" w:cs="Arial" w:eastAsia="Arial" w:hAnsi="Arial"/>
          <w:sz w:val="14"/>
          <w:szCs w:val="14"/>
          <w:color w:val="auto"/>
        </w:rPr>
        <w:t>, NASCOBAL</w:t>
      </w:r>
      <w:r>
        <w:rPr>
          <w:rFonts w:ascii="Arial" w:cs="Arial" w:eastAsia="Arial" w:hAnsi="Arial"/>
          <w:sz w:val="9"/>
          <w:szCs w:val="9"/>
          <w:color w:val="auto"/>
        </w:rPr>
        <w:t>®</w:t>
      </w:r>
      <w:r>
        <w:rPr>
          <w:rFonts w:ascii="Arial" w:cs="Arial" w:eastAsia="Arial" w:hAnsi="Arial"/>
          <w:sz w:val="14"/>
          <w:szCs w:val="14"/>
          <w:color w:val="auto"/>
        </w:rPr>
        <w:t xml:space="preserve"> Nasal Spray and QWO</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580" w:right="180" w:hanging="329"/>
        <w:spacing w:after="0" w:line="283" w:lineRule="auto"/>
        <w:tabs>
          <w:tab w:leader="none" w:pos="572"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2022 and/or any product having revenues in excess of $25 million during any completed quarterly period in 2022 or 2021.</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2" w:lineRule="exact"/>
        <w:rPr>
          <w:sz w:val="20"/>
          <w:szCs w:val="20"/>
          <w:color w:val="auto"/>
        </w:rPr>
      </w:pPr>
    </w:p>
    <w:p>
      <w:pPr>
        <w:ind w:right="40" w:firstLine="486"/>
        <w:spacing w:after="0" w:line="244" w:lineRule="auto"/>
        <w:rPr>
          <w:sz w:val="20"/>
          <w:szCs w:val="20"/>
          <w:color w:val="auto"/>
        </w:rPr>
      </w:pPr>
      <w:r>
        <w:rPr>
          <w:rFonts w:ascii="Arial" w:cs="Arial" w:eastAsia="Arial" w:hAnsi="Arial"/>
          <w:sz w:val="17"/>
          <w:szCs w:val="17"/>
          <w:color w:val="auto"/>
        </w:rPr>
        <w:t>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generally experienced decreased sales volumes during the COVID-19 pandemic due to reduced physician office activity and patient office visits because of the COVID-19 pandemic. While these products have generally been recovering since early 2020, they have at times continued to be impacted by COVID-19-related and, more recently, other market conditions for specialty product office-based procedures, including medical and administrative staff shortages in physicians’ offices, reduced physician office activity and lower numbers of in-person patient office visits. The pandemic and other market conditions also created a high backlog of demand for non-elective urology procedures, which has in certain cases reduced the utilization of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by healthcare providers. Additionally, we believe that concerns by healthcare providers regarding economic uncertainty have impacted purchasing patterns of XIAFLEX</w:t>
      </w:r>
      <w:r>
        <w:rPr>
          <w:rFonts w:ascii="Arial" w:cs="Arial" w:eastAsia="Arial" w:hAnsi="Arial"/>
          <w:sz w:val="22"/>
          <w:szCs w:val="22"/>
          <w:color w:val="auto"/>
          <w:vertAlign w:val="superscript"/>
        </w:rPr>
        <w:t>®</w:t>
      </w:r>
      <w:r>
        <w:rPr>
          <w:rFonts w:ascii="Arial" w:cs="Arial" w:eastAsia="Arial" w:hAnsi="Arial"/>
          <w:sz w:val="17"/>
          <w:szCs w:val="17"/>
          <w:color w:val="auto"/>
        </w:rPr>
        <w:t>. Changes in market conditions and certain other factors could result in revenue decreases or otherwise impact future periods, which could have a material adverse effect on our business, financial condition, results of operations and cash flows.</w:t>
      </w:r>
    </w:p>
    <w:p>
      <w:pPr>
        <w:spacing w:after="0" w:line="88"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The increase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2022 was primarily attributable to increased net price, partially offset by lower volumes. The decrease in volumes was primarily driven by continued challenging market conditions as further described above and the ongoing impact from a disruption experienced by our third-party specialty pharmacy provider during the third quarter of 2022. While we have since seen some recovery in volumes related to this disruption, volumes have not yet returned to pre-disruption levels.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decrease in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revenues in 2022 was primarily attributable to decreased volumes, partially offset by increased net price.</w:t>
      </w:r>
    </w:p>
    <w:p>
      <w:pPr>
        <w:spacing w:after="0" w:line="71" w:lineRule="exact"/>
        <w:rPr>
          <w:sz w:val="20"/>
          <w:szCs w:val="20"/>
          <w:color w:val="auto"/>
        </w:rPr>
      </w:pPr>
    </w:p>
    <w:p>
      <w:pPr>
        <w:ind w:right="260" w:firstLine="486"/>
        <w:spacing w:after="0" w:line="236" w:lineRule="auto"/>
        <w:rPr>
          <w:sz w:val="20"/>
          <w:szCs w:val="20"/>
          <w:color w:val="auto"/>
        </w:rPr>
      </w:pPr>
      <w:r>
        <w:rPr>
          <w:rFonts w:ascii="Arial" w:cs="Arial" w:eastAsia="Arial" w:hAnsi="Arial"/>
          <w:sz w:val="18"/>
          <w:szCs w:val="18"/>
          <w:color w:val="auto"/>
        </w:rPr>
        <w:t>The decrease in Other Specialty revenues in 2022 was primarily attributable to decreased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revenues, partially offset by increased AVEED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2022 was primarily attributable to decreased volumes.</w:t>
      </w:r>
    </w:p>
    <w:p>
      <w:pPr>
        <w:spacing w:after="0" w:line="6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decrease in Other Established revenues in 2022 was primarily attributable to ongoing competitive pressures impacting this product portfolio and certain other factors.</w:t>
      </w:r>
    </w:p>
    <w:p>
      <w:pPr>
        <w:spacing w:after="0" w:line="6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Our Established Products portfolio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and 2021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60" w:hanging="309"/>
        <w:spacing w:after="0" w:line="234" w:lineRule="auto"/>
        <w:tabs>
          <w:tab w:leader="none" w:pos="5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APLISOL</w:t>
      </w:r>
      <w:r>
        <w:rPr>
          <w:rFonts w:ascii="Arial" w:cs="Arial" w:eastAsia="Arial" w:hAnsi="Arial"/>
          <w:sz w:val="18"/>
          <w:szCs w:val="18"/>
          <w:color w:val="auto"/>
          <w:vertAlign w:val="superscript"/>
        </w:rPr>
        <w:t>®</w:t>
      </w:r>
      <w:r>
        <w:rPr>
          <w:rFonts w:ascii="Arial" w:cs="Arial" w:eastAsia="Arial" w:hAnsi="Arial"/>
          <w:sz w:val="14"/>
          <w:szCs w:val="14"/>
          <w:color w:val="auto"/>
        </w:rPr>
        <w:t>, ertapenem for injection and others.</w:t>
      </w:r>
    </w:p>
    <w:p>
      <w:pPr>
        <w:ind w:left="580" w:right="120" w:hanging="329"/>
        <w:spacing w:after="0" w:line="275" w:lineRule="auto"/>
        <w:tabs>
          <w:tab w:leader="none" w:pos="57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the year ended December 31, 2022 and/or any product having revenues in excess of $25 million during any completed quarterly period in 2022 or 2021.</w:t>
      </w:r>
    </w:p>
    <w:p>
      <w:pPr>
        <w:spacing w:after="0" w:line="77" w:lineRule="exact"/>
        <w:rPr>
          <w:sz w:val="20"/>
          <w:szCs w:val="20"/>
          <w:color w:val="auto"/>
        </w:rPr>
      </w:pPr>
    </w:p>
    <w:p>
      <w:pPr>
        <w:ind w:right="40" w:firstLine="486"/>
        <w:spacing w:after="0" w:line="268" w:lineRule="auto"/>
        <w:rPr>
          <w:sz w:val="20"/>
          <w:szCs w:val="20"/>
          <w:color w:val="auto"/>
        </w:rPr>
      </w:pPr>
      <w:r>
        <w:rPr>
          <w:rFonts w:ascii="Arial" w:cs="Arial" w:eastAsia="Arial" w:hAnsi="Arial"/>
          <w:sz w:val="16"/>
          <w:szCs w:val="16"/>
          <w:color w:val="auto"/>
        </w:rPr>
        <w:t>The decrease in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in 2022 was primarily driven by decreases to both net price and volumes, which were primarily attributable to the impact of generic competition as well as lower overall market demand as COVID-19-related hospital utilization levels declined. During the first quarter of 2022, multiple competitive generic alternatives to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0"/>
          <w:szCs w:val="20"/>
          <w:color w:val="auto"/>
          <w:vertAlign w:val="superscript"/>
        </w:rPr>
        <w:t>®</w:t>
      </w:r>
      <w:r>
        <w:rPr>
          <w:rFonts w:ascii="Arial" w:cs="Arial" w:eastAsia="Arial" w:hAnsi="Arial"/>
          <w:sz w:val="16"/>
          <w:szCs w:val="16"/>
          <w:color w:val="auto"/>
        </w:rPr>
        <w:t>. In February 2022, we launched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an RTU bottle, representing the first and only RTU formulation of the drug. The bottle formulation now represents a meaningful portion of the overall vasopressin market. Nevertheless, the factors described above could have a material adverse effect on our business, financial condition, results of operations and cash flows. For additional information, refer to Note 16. Commitments and Contingencies in the Consolidated Financial Statements included in Part IV, Item 15 of this report under the heading “Patent Matters.”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in 2022 was primarily attributable to decreased net price and volumes.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decrease in Other Sterile Injectables revenues in 2022 was primarily attributable to decreased price, partially offset by increased volumes.</w:t>
      </w:r>
    </w:p>
    <w:p>
      <w:pPr>
        <w:spacing w:after="0" w:line="129" w:lineRule="exact"/>
        <w:rPr>
          <w:sz w:val="20"/>
          <w:szCs w:val="20"/>
          <w:color w:val="auto"/>
        </w:rPr>
      </w:pPr>
    </w:p>
    <w:p>
      <w:pPr>
        <w:jc w:val="both"/>
        <w:ind w:right="460" w:firstLine="486"/>
        <w:spacing w:after="0" w:line="342" w:lineRule="auto"/>
        <w:rPr>
          <w:sz w:val="20"/>
          <w:szCs w:val="20"/>
          <w:color w:val="auto"/>
        </w:rPr>
      </w:pPr>
      <w:r>
        <w:rPr>
          <w:rFonts w:ascii="Arial" w:cs="Arial" w:eastAsia="Arial" w:hAnsi="Arial"/>
          <w:sz w:val="16"/>
          <w:szCs w:val="16"/>
          <w:color w:val="auto"/>
        </w:rPr>
        <w:t>Our Sterile Injectables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16" w:lineRule="exact"/>
        <w:rPr>
          <w:sz w:val="20"/>
          <w:szCs w:val="20"/>
          <w:color w:val="auto"/>
        </w:rPr>
      </w:pPr>
    </w:p>
    <w:p>
      <w:pPr>
        <w:ind w:right="80" w:firstLine="486"/>
        <w:spacing w:after="0" w:line="313"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The increase in Generic Pharmaceuticals revenues in 2022 was primarily attributable to revenues from varenicline tablets</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generic version of Pfizer Inc.’s Chantix</w:t>
      </w:r>
      <w:r>
        <w:rPr>
          <w:rFonts w:ascii="Arial" w:cs="Arial" w:eastAsia="Arial" w:hAnsi="Arial"/>
          <w:sz w:val="20"/>
          <w:szCs w:val="20"/>
          <w:color w:val="auto"/>
          <w:vertAlign w:val="superscript"/>
        </w:rPr>
        <w:t>®</w:t>
      </w:r>
      <w:r>
        <w:rPr>
          <w:rFonts w:ascii="Arial" w:cs="Arial" w:eastAsia="Arial" w:hAnsi="Arial"/>
          <w:sz w:val="16"/>
          <w:szCs w:val="16"/>
          <w:color w:val="auto"/>
        </w:rPr>
        <w:t>), which launched in September 2021, partially offset by competitive pressures on certain generic products.</w:t>
      </w:r>
    </w:p>
    <w:p>
      <w:pPr>
        <w:ind w:right="40" w:firstLine="486"/>
        <w:spacing w:after="0" w:line="275" w:lineRule="auto"/>
        <w:rPr>
          <w:sz w:val="20"/>
          <w:szCs w:val="20"/>
          <w:color w:val="auto"/>
        </w:rPr>
      </w:pPr>
      <w:r>
        <w:rPr>
          <w:rFonts w:ascii="Arial" w:cs="Arial" w:eastAsia="Arial" w:hAnsi="Arial"/>
          <w:sz w:val="17"/>
          <w:szCs w:val="17"/>
          <w:color w:val="auto"/>
        </w:rPr>
        <w:t>During the first quarter of 2023, a competitor launched an alternative generic version of varenicline tablets. This launch began to impact both Endo’s market share and product price toward the middle of the first quarter of 2023, resulting in a decline in revenue for our Generic Pharmaceuticals segment. The effects of competition are likely to increase in future periods. Other products in our Generic Pharmaceuticals segment are also likely to continue to be affected by ongoing competitive pressures. These factors could result in revenue decreases or otherwise impact future periods, which could have a material adverse effect on our business, financial condition, results of operations and cash flows.</w:t>
      </w:r>
    </w:p>
    <w:p>
      <w:pPr>
        <w:spacing w:after="0" w:line="68"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 in International Pharmaceuticals revenues in 2022 was primarily attributable to competitive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expiration of a product agreement. This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Segment adjusted income from continuing operations before income tax. </w:t>
      </w:r>
      <w:r>
        <w:rPr>
          <w:rFonts w:ascii="Arial" w:cs="Arial" w:eastAsia="Arial" w:hAnsi="Arial"/>
          <w:sz w:val="18"/>
          <w:szCs w:val="18"/>
          <w:color w:val="auto"/>
        </w:rPr>
        <w:t>The following table displays our Segment adjusted income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operations before income tax (the measure we use to evaluate segment performance) by reportable segment for the years ended December 31, 2022 and 2021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384,186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349,424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998,453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20" w:lineRule="exact"/>
        <w:rPr>
          <w:sz w:val="20"/>
          <w:szCs w:val="20"/>
          <w:color w:val="auto"/>
        </w:rPr>
      </w:pPr>
    </w:p>
    <w:p>
      <w:pPr>
        <w:jc w:val="both"/>
        <w:ind w:right="740" w:firstLine="486"/>
        <w:spacing w:after="0" w:line="241"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decrease in Segment adjusted income from continuing operations before income tax in 2022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gross margin effects of the decreased segment revenues further described above, as well as increased costs associated with our investment in consumer marketing efforts supporting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legal matters, partially offset by decreased costs associated with our commercial investment in QWO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decrease in Segment adjusted income from continuing operations before income tax in 2022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effects of the decreased segment revenues further described above.</w:t>
      </w:r>
    </w:p>
    <w:p>
      <w:pPr>
        <w:spacing w:after="0" w:line="6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increase in Segment adjusted income from continuing operations before income tax in 2022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gross margin effects of the increased segment revenues further described above, as well as the favorable changes in product mix, which primarily related to varenicline tablets.</w:t>
      </w:r>
    </w:p>
    <w:p>
      <w:pPr>
        <w:spacing w:after="0" w:line="7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in Segment adjusted income from continuing operations before income tax in 2022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gross margin effects of the decreased segment revenues further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 Description of Business, Note 2. Bankruptcy Proceedings and Note 15. Debt in the Consolidated Financial Statements included in Part IV, Item 15 of this report for further discussion.</w:t>
      </w:r>
    </w:p>
    <w:p>
      <w:pPr>
        <w:spacing w:after="0" w:line="6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Our principal source of liquidity is cash generated from operations. Cash and cash equivalents, which primarily consisted of bank deposits and money market accounts, totaled $1,018.9 million at December 31, 2022 compared to $1,507.2 million at December 31, 2021.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(as defined below)) and other amounts related to our bankruptcy proceedings.</w:t>
      </w:r>
    </w:p>
    <w:p>
      <w:pPr>
        <w:spacing w:after="0" w:line="6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business is exposed to a variety of material risks as further described herein. For example, we may face decreased revenues as a result of COVID-19 and, to the extent COVID-19 has resulted in any increase to our Cash and cash equivalents, including as a result of any increase in revenues, such increase could be temporary. We may face unexpected costs in connection with our business operations, our ongoing and future legal proceedings, governmental investigations and other contingent liabilities (including potential costs related to settlements and judgments, as well as legal defense costs), our ongoing bankruptcy proceedings and the implementation of our COVID-19 related policies and procedures.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Description of Business in the Consolidated Financial Statements included in Part IV, Item 15 of this report,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8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Refer to Note 21. Income Taxes in the Consolidated Financial Statements included in Part IV, Item 15 of this report for a discussion of our indefinite reinvestment assertion relating to undistributed earnings of certain of our subsidiaries.</w:t>
      </w:r>
    </w:p>
    <w:p>
      <w:pPr>
        <w:spacing w:after="0" w:line="6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(as defined below) governing the Credit Facilities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and the indentures governing our various senior secured and senior unsecured notes. Refer to Note 2. Bankruptcy Proceedings and Note 15. Debt in the Consolidated Financial Statements included in Part IV, Item 15 of this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80" w:lineRule="exact"/>
        <w:rPr>
          <w:sz w:val="20"/>
          <w:szCs w:val="20"/>
          <w:color w:val="auto"/>
        </w:rPr>
      </w:pPr>
    </w:p>
    <w:p>
      <w:pPr>
        <w:ind w:right="4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December 31, 2022 and December 31, 2021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6"/>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2,076,768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2,714,586</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1,629,962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1,387,141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3.0:1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Net working capital increased by $302.5 million from December 31, 2021 to December 31, 2022. During this period, working capital benefited from the favorable impacts to net current assets resulting from revenues and gross margins, which are further described above. These benefits were partially offset by, among other things, the following current period activity: (i) Capital expenditures, excluding capitalized interest, net of Proceeds from the U.S. Government Agreement, of $81.1 million; (ii) Acquired in-process research and development charges of $68.7 million; and (iii) certain expenses incurred in connection with our bankruptcy proceedings and certain restructuring and other cost reduction initiatives.</w:t>
      </w:r>
    </w:p>
    <w:p>
      <w:pPr>
        <w:spacing w:after="0" w:line="6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bankruptcy proceedings have also resulted in adjustments to the classification of certain assets and liabilities in our Consolidated Balance Sheets during 2022, which have resulted in significant changes to our working capital. For example, many liabilities previously included in current liabilities have been reclassified as Liabilities subject to compromise and are therefore no longer part of our working capital. The classification of our assets and liabilities in our Consolidated Balance Sheets may continue to change significantly during bankruptcy proceedings, which could result in material changes to our working capital in future periods. Refer to Note 2. Bankruptcy Proceedings and Note 15. Debt in the Consolidated Financial Statements included in Part IV, Item 15 of this report for additional information.</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our Consolidated Statements of Cash Flows for the years ended December 31, 2022 and 2021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5"/>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269,193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411,050</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(59,544)</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(513,873)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(105,481)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restricted cash and restricted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246,310</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MCOs,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58" w:lineRule="auto"/>
        <w:rPr>
          <w:sz w:val="20"/>
          <w:szCs w:val="20"/>
          <w:color w:val="auto"/>
        </w:rPr>
      </w:pPr>
      <w:r>
        <w:rPr>
          <w:rFonts w:ascii="Arial" w:cs="Arial" w:eastAsia="Arial" w:hAnsi="Arial"/>
          <w:sz w:val="17"/>
          <w:szCs w:val="17"/>
          <w:color w:val="auto"/>
        </w:rPr>
        <w:t>The $141.9 million decrease in Net cash provided by operating activities in 2022 compared to the prior year period was primarily due to reduced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partially offset by decreased payments to settle a variety of liabilities resulting from payment delays and/or other reductions related to our contingency planning and bankruptcy proceedings. Additionally, as further discussed in Note 15. Debt in the Consolidated Financial Statements included in Part IV, Item 15 of this report, we are not currently making interest payments (which have historically been reflected as operating cash flows) on most of our debt instruments; we have instead begun making certain adequate protection payments related to our First Lien Debt Instruments, which are currently being reflected as financing cash flows.</w:t>
      </w:r>
    </w:p>
    <w:p>
      <w:pPr>
        <w:spacing w:after="0" w:line="8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It is possible that our operating cash flows could decline in the future as a result of, among other things, reductions to revenues and payments in future periods related to liabilities for which payment has been delayed as part of our contingency planning and bankruptcy proceedings. Additionally, it is possible that some or all of the adequate protection payments described above may later be recharacterized as interest expense depending upon certain developments in the Chapter 11 Cases, which could result adequate protection payments being reflected as operating cash flows in future periods, which could in turn lead to decreases to our operating cash flows that may be material.</w:t>
      </w:r>
    </w:p>
    <w:p>
      <w:pPr>
        <w:spacing w:after="0" w:line="6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$73.6 million increase in Net cash used in investing activities in 2022 compared to the prior year period was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attributable to: (i) an increase in Acquisitions, including in-process research and development, net of cash and restricted cash acquired of $85.3 million and</w:t>
      </w:r>
    </w:p>
    <w:p>
      <w:pPr>
        <w:ind w:right="320" w:firstLine="8"/>
        <w:spacing w:after="0" w:line="323"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increase in Capital expenditures, excluding capitalized interest of $21.8 million. The changes were partially offset by: (i) an increase in Proceeds from the U.S. Government Agreement of $18.6 million and (ii) an increase in Proceeds from sale of business and other assets, net of $11.1 million.</w:t>
      </w:r>
    </w:p>
    <w:p>
      <w:pPr>
        <w:spacing w:after="0" w:line="3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2022, Net cash used in financing activities primarily related to: (i) Adequate protection payments of $313.1 million;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Repayments of notes of $180.3 million; and (iii) Repayments of term loans of $10.0 million.</w:t>
      </w:r>
    </w:p>
    <w:p>
      <w:pPr>
        <w:spacing w:after="0" w:line="6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During 2021, Net cash used in financing activities related primarily to: (i) the March 2021 Refinancing Transactions, including the payment of approximately $43.6 million of associated costs and fees; (ii) Repayments of revolving debt of $22.8 million; (iii) Repayments of term loans subsequent to the March 2021 Refinancing Transactions of $15.0 million; and (iv) Payments of tax withholding for restricted shares of $14.8 million.</w:t>
      </w:r>
    </w:p>
    <w:p>
      <w:pPr>
        <w:spacing w:after="0" w:line="5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b w:val="1"/>
          <w:bCs w:val="1"/>
          <w:i w:val="1"/>
          <w:iCs w:val="1"/>
          <w:color w:val="auto"/>
        </w:rPr>
        <w:t xml:space="preserve">R&amp;D. </w:t>
      </w:r>
      <w:r>
        <w:rPr>
          <w:rFonts w:ascii="Arial" w:cs="Arial" w:eastAsia="Arial" w:hAnsi="Arial"/>
          <w:sz w:val="18"/>
          <w:szCs w:val="18"/>
          <w:color w:val="auto"/>
        </w:rPr>
        <w:t>As further described above under the heading “RESULTS OF OPERATIONS,” in recent years, we have incurred significant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R&amp;D. We expect to continue incur R&amp;D expenditures related to the development and advancement of our current product pipeline and any additional product candidates we may add via license, acquisition or organically. There can be no assurance that the results of any ongoing or future nonclinical or clinical trials related to these projects will be successful, that additional trials will not be required, that any compound, product or indication under development will receive regulatory approval in a timely manner or at all or that such compound, product or indication could be successfully manufactured in accordance with local current good manufacturing practices or marketed successfully, or that we will have sufficient funds to develop or commercialize any of our products.</w:t>
      </w:r>
    </w:p>
    <w:p>
      <w:pPr>
        <w:spacing w:after="0" w:line="8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b w:val="1"/>
          <w:bCs w:val="1"/>
          <w:i w:val="1"/>
          <w:iCs w:val="1"/>
          <w:color w:val="auto"/>
        </w:rPr>
        <w:t xml:space="preserve">Manufacturing, supply and other service agreements. </w:t>
      </w:r>
      <w:r>
        <w:rPr>
          <w:rFonts w:ascii="Arial" w:cs="Arial" w:eastAsia="Arial" w:hAnsi="Arial"/>
          <w:sz w:val="17"/>
          <w:szCs w:val="17"/>
          <w:color w:val="auto"/>
        </w:rPr>
        <w:t>We contract with various third-party manufacturers, suppliers and service providers to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or materials used in the manufacturing of our products, and to provide additional services such as packaging, processing, labeling, warehousing, distribution and customer service support. Any interruption to the goods or services provided for by these and similar contracts could have a material adverse effect on our business, financial condition, results of operations and cash flows.</w:t>
      </w:r>
    </w:p>
    <w:p>
      <w:pPr>
        <w:spacing w:after="0" w:line="63"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License, collaboration and asset acquisition agreements. </w:t>
      </w:r>
      <w:r>
        <w:rPr>
          <w:rFonts w:ascii="Arial" w:cs="Arial" w:eastAsia="Arial" w:hAnsi="Arial"/>
          <w:sz w:val="17"/>
          <w:szCs w:val="17"/>
          <w:color w:val="auto"/>
        </w:rPr>
        <w:t>We could become obligated to make certain contingent payments pursuant to our license,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collaboration and asset acquisition agreements. Except for upfront payments, payments under these agreements generally become due and payable only upon the achievement of certain developmental, regulatory, commercial and/or other milestones. Due to the fact that it is uncertain whether and when certain of these milestones will be achieved, they have not been recorded in our Consolidated Balance Sheets. In addition, we may be required to make sales-based royalty or similar payments under certain arrangements.</w:t>
      </w:r>
    </w:p>
    <w:p>
      <w:pPr>
        <w:spacing w:after="0" w:line="6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We are subject to various patent challenges, product liability claims, government investigations and other legal proceedings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ordinary course of business. Contingent accruals are recorded when we determine that a loss is both probable and reasonably estimable. Due to the fact that legal proceedings and other contingencies are inherently unpredictable, our assessments involve significant judgments regarding future events. For additional discussion of legal proceedings, see Note 16. Commitments and Contingencies in the Consolidated Financial Statements included in Part IV, Item 15 of this report.</w:t>
      </w:r>
    </w:p>
    <w:p>
      <w:pPr>
        <w:spacing w:after="0" w:line="80" w:lineRule="exact"/>
        <w:rPr>
          <w:sz w:val="20"/>
          <w:szCs w:val="20"/>
          <w:color w:val="auto"/>
        </w:rPr>
      </w:pPr>
    </w:p>
    <w:p>
      <w:pPr>
        <w:jc w:val="both"/>
        <w:ind w:right="120" w:firstLine="486"/>
        <w:spacing w:after="0" w:line="287" w:lineRule="auto"/>
        <w:rPr>
          <w:sz w:val="20"/>
          <w:szCs w:val="20"/>
          <w:color w:val="auto"/>
        </w:rPr>
      </w:pPr>
      <w:r>
        <w:rPr>
          <w:rFonts w:ascii="Arial" w:cs="Arial" w:eastAsia="Arial" w:hAnsi="Arial"/>
          <w:sz w:val="16"/>
          <w:szCs w:val="16"/>
          <w:b w:val="1"/>
          <w:bCs w:val="1"/>
          <w:i w:val="1"/>
          <w:iCs w:val="1"/>
          <w:color w:val="auto"/>
        </w:rPr>
        <w:t xml:space="preserve">Cash Requirements for Contractual and Other Obligations. </w:t>
      </w:r>
      <w:r>
        <w:rPr>
          <w:rFonts w:ascii="Arial" w:cs="Arial" w:eastAsia="Arial" w:hAnsi="Arial"/>
          <w:sz w:val="16"/>
          <w:szCs w:val="16"/>
          <w:color w:val="auto"/>
        </w:rPr>
        <w:t>As of December 31, 2022, we have various contractual and other obligations that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 will require the use of cash in both the short-term and long-term. These include, without limitation, the following: (i) payments related to our debt, including principal and interest and/or adequate protection payments; (ii) lease payments; (iii) obligations related to license and collaboration agreements;</w:t>
      </w:r>
    </w:p>
    <w:p>
      <w:pPr>
        <w:spacing w:after="0" w:line="2" w:lineRule="exact"/>
        <w:rPr>
          <w:sz w:val="20"/>
          <w:szCs w:val="20"/>
          <w:color w:val="auto"/>
        </w:rPr>
      </w:pPr>
    </w:p>
    <w:p>
      <w:pPr>
        <w:ind w:right="340" w:firstLine="8"/>
        <w:spacing w:after="0" w:line="277" w:lineRule="auto"/>
        <w:tabs>
          <w:tab w:leader="none" w:pos="3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commitments for capital expenditures; (v) other purchase obligations, which represent enforceable and legally binding obligations for purchases of goods and services, including minimum inventory contracts, that specify all significant terms, including fixed or minimum quantities to be purchased, fixed, minimum or variable price provisions and timing; and (vi) contractual payments for certain legal liability settlements.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540" w:firstLine="486"/>
        <w:spacing w:after="0" w:line="263" w:lineRule="auto"/>
        <w:rPr>
          <w:sz w:val="20"/>
          <w:szCs w:val="20"/>
          <w:color w:val="auto"/>
        </w:rPr>
      </w:pPr>
      <w:r>
        <w:rPr>
          <w:rFonts w:ascii="Arial" w:cs="Arial" w:eastAsia="Arial" w:hAnsi="Arial"/>
          <w:sz w:val="18"/>
          <w:szCs w:val="18"/>
          <w:color w:val="auto"/>
        </w:rPr>
        <w:t>Refer to Note 9. Leases, Note 12. License, Collaboration and Asset Acquisition Agreements, Note 15. Debt and Note 16. Commitments and Contingencies in the Consolidated Financial Statements included in Part IV, Item 15 of this report for additional information about these obligations including, to the extent material, quantitative information about the related cash requirements.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about our unrecognized income tax positions is included in Note 21. Income Taxes in the Consolidated Financial Statements included in Part IV, Item 15 of this report. Due to the nature and timing of the ultimate outcome of these unrecognized income tax positions, we cannot make a reliable estimate of the amount and period of related future payments, if any.</w:t>
      </w:r>
    </w:p>
    <w:p>
      <w:pPr>
        <w:spacing w:after="0" w:line="7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Chapter 11 Cases have affected and are likely to continue to affect certain of the obligations described above, as further discussed herein. As the Chapter 11 Cases progress, certain of our contractual arrangements could be amended or rejected, which could result in changes to our cash requirements for such obligations.</w:t>
      </w:r>
    </w:p>
    <w:p>
      <w:pPr>
        <w:spacing w:after="0" w:line="76"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Additionally, we have made significant cash payments to date as a direct result of our ongoing bankruptcy proceedings, including payments for related professional fees. We expect to continue to incur significant expenditures in the future as a result of our bankruptcy proceedings and certain related transactions. It is possible that our expenditures will increase over time, particularly if we incur certain associated success-related and/or other contingent fees, which could be significant. In addition, the longer the Chapter 11 Cases continue, the higher our expenditures for these matters could be.</w:t>
      </w:r>
    </w:p>
    <w:p>
      <w:pPr>
        <w:spacing w:after="0" w:line="4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additional discussion of our bankruptcy proceedings, refer to Note 2. Bankruptcy Proceedings in the Consolidated Financial Statements included in Part IV, Item 15 of this report.</w:t>
      </w:r>
    </w:p>
    <w:p>
      <w:pPr>
        <w:spacing w:after="0" w:line="6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business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COVID-19; acquired in-process research and development charges; asset impairment charges; share-based and other long-term incentive compensation; and changes in the fair value of financial instruments. Additionally, a substantial 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70"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b w:val="1"/>
          <w:bCs w:val="1"/>
          <w:i w:val="1"/>
          <w:iCs w:val="1"/>
          <w:color w:val="auto"/>
        </w:rPr>
        <w:t xml:space="preserve">Inflation. </w:t>
      </w:r>
      <w:r>
        <w:rPr>
          <w:rFonts w:ascii="Arial" w:cs="Arial" w:eastAsia="Arial" w:hAnsi="Arial"/>
          <w:sz w:val="17"/>
          <w:szCs w:val="17"/>
          <w:color w:val="auto"/>
        </w:rPr>
        <w:t>Materials, equipment and labor shortages, shipping, logistics and other delays and other supply chain and manufacturing disruptions,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While we do not believe that inflation had a material adverse effect on our financial statements for the periods presented, if these types of events or disruptions continue to occur, they could have a material adverse effect on our business, financial condition, results of operations and cash flows.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Our exposure to interest rate risk relates primarily to our variable-rate indebtedness associated with our Credit Facilities. Borrowings under the Credit Facilities may from time to time require payments calculated using variable rates, in certain cases subject to a floor. At December 31, 2022 and December 31, 2021, a hypothetical 1% increase in the applicable rate over any applicable floor would have resulted in the incurrence of $22.5 million and $22.6 million, respectively, of incremental payments (representing the annual rate of incurrence) related to our variable-rate debt borrowings.</w:t>
      </w:r>
    </w:p>
    <w:p>
      <w:pPr>
        <w:spacing w:after="0" w:line="49" w:lineRule="exact"/>
        <w:rPr>
          <w:sz w:val="20"/>
          <w:szCs w:val="20"/>
          <w:color w:val="auto"/>
        </w:rPr>
      </w:pPr>
    </w:p>
    <w:p>
      <w:pPr>
        <w:ind w:left="260" w:right="1600" w:firstLine="243"/>
        <w:spacing w:after="0" w:line="375" w:lineRule="auto"/>
        <w:rPr>
          <w:sz w:val="20"/>
          <w:szCs w:val="20"/>
          <w:color w:val="auto"/>
        </w:rPr>
      </w:pPr>
      <w:r>
        <w:rPr>
          <w:rFonts w:ascii="Arial" w:cs="Arial" w:eastAsia="Arial" w:hAnsi="Arial"/>
          <w:sz w:val="18"/>
          <w:szCs w:val="18"/>
          <w:color w:val="auto"/>
        </w:rPr>
        <w:t xml:space="preserve">As of December 31, 2022 and December 31, 2021, we had no other assets or liabilities with significant interest rate sensitivity.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ind w:right="30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net in the Consolidated Statements of Operations. Refer to Note 20. Other Income, Net in the Consolidated Financial Statements included in Part IV, Item 15 of this report for the amounts of Foreign currency (gain) loss, net.</w:t>
      </w:r>
    </w:p>
    <w:p>
      <w:pPr>
        <w:spacing w:after="0" w:line="8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December 31, 2022 and December 31, 2021. A 10% change at December 31, 2022 and December 31, 2021 would have resulted in approximately $11 million in incremental foreign currency losses on such dates.</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information required by this item is contained in the financial statements set forth in Item 15. under the caption “Consolidated Financial Statements” as part of this Annual Report on Form 10-K.</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December 31, 2022. Based on that evaluation, the Company’s Chief Executive Officer and Principal Financial Officer concluded that the Company’s disclosure controls and procedures were effective as of December 31, 2022.</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 Management’s Report on Internal Control over Financial Reporting</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report of management of the Company regarding internal control over financial reporting is set forth in Item 15. of this Annual Report on Form 10-K under the caption “MANAGEMENT’S REPORT ON INTERNAL CONTROL OVER FINANCIAL REPORTING” and incorporated herein by reference.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 Attestation Report of Independent Registered Public Accounting Firm</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attestation report of the Company’s independent registered public accounting firm regarding internal control over financial reporting is set forth in Item 15. of this Annual Report on Form 10-K under the caption “REPORT OF INDEPENDENT REGISTERED PUBLIC ACCOUNTING FIRM” and incorporated herein by reference.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 Changes in Internal Control over Financial Reporting</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December 31, 2022 that have materially affected, or are reasonably likely to materially affect, the Company’s internal control over financial reporting.</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will be provided in an amendment filed on Form 10-K/A.</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will be provided in an amendment filed on Form 10-K/A.</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will be provided in an amendment filed on Form 10-K/A.</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will be provided in an amendment filed on Form 10-K/A.</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will be provided in an amendment filed on Form 10-K/A.</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The following documents are filed as part of this report:</w:t>
      </w:r>
    </w:p>
    <w:p>
      <w:pPr>
        <w:spacing w:after="0" w:line="117"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The Consolidated Financial Statements</w:t>
      </w:r>
    </w:p>
    <w:p>
      <w:pPr>
        <w:spacing w:after="0" w:line="63" w:lineRule="exact"/>
        <w:rPr>
          <w:sz w:val="20"/>
          <w:szCs w:val="20"/>
          <w:color w:val="auto"/>
        </w:rPr>
      </w:pPr>
    </w:p>
    <w:p>
      <w:pPr>
        <w:ind w:left="980" w:right="2900"/>
        <w:spacing w:after="0" w:line="271" w:lineRule="auto"/>
        <w:rPr>
          <w:sz w:val="20"/>
          <w:szCs w:val="20"/>
          <w:color w:val="auto"/>
        </w:rPr>
      </w:pPr>
      <w:r>
        <w:rPr>
          <w:rFonts w:ascii="Arial" w:cs="Arial" w:eastAsia="Arial" w:hAnsi="Arial"/>
          <w:sz w:val="17"/>
          <w:szCs w:val="17"/>
          <w:i w:val="1"/>
          <w:iCs w:val="1"/>
          <w:color w:val="auto"/>
        </w:rPr>
        <w:t>Management’s Report on Internal Control Over Financial Reporting Report of Independent Registered Public Accounting Firm (PCAOB ID 238) Consolidated Balance Sheets as of December 31, 2022 and 2021</w:t>
      </w:r>
    </w:p>
    <w:p>
      <w:pPr>
        <w:ind w:left="980"/>
        <w:spacing w:after="0"/>
        <w:rPr>
          <w:sz w:val="20"/>
          <w:szCs w:val="20"/>
          <w:color w:val="auto"/>
        </w:rPr>
      </w:pPr>
      <w:r>
        <w:rPr>
          <w:rFonts w:ascii="Arial" w:cs="Arial" w:eastAsia="Arial" w:hAnsi="Arial"/>
          <w:sz w:val="18"/>
          <w:szCs w:val="18"/>
          <w:i w:val="1"/>
          <w:iCs w:val="1"/>
          <w:color w:val="auto"/>
        </w:rPr>
        <w:t>Consolidated Statements of Operations for the years ended December 31, 2022, 2021 and 2020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Consolidated Statements of Comprehensive (Loss) Income for the years ended December 31, 2022, 2021 and 2020</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Consolidated Statements of Shareholders’ Deficit for the years ended December 31, 2022, 2021 and 2020</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Cash Flows for the years ended December 31, 2022, 2021 and 2020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Notes to Consolidated Financial Statements</w:t>
      </w:r>
    </w:p>
    <w:p>
      <w:pPr>
        <w:spacing w:after="0" w:line="103"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6"/>
          <w:szCs w:val="16"/>
          <w:i w:val="1"/>
          <w:iCs w:val="1"/>
          <w:color w:val="auto"/>
        </w:rPr>
        <w:t>Financial Statement Schedules</w:t>
      </w:r>
    </w:p>
    <w:p>
      <w:pPr>
        <w:spacing w:after="0" w:line="113"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4060" w:type="dxa"/>
        <w:tblCellMar>
          <w:top w:w="0" w:type="dxa"/>
          <w:left w:w="0" w:type="dxa"/>
          <w:bottom w:w="0" w:type="dxa"/>
          <w:right w:w="0" w:type="dxa"/>
        </w:tblCellMar>
      </w:tblPr>
      <w:tr>
        <w:trPr>
          <w:trHeight w:val="161"/>
        </w:trPr>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Balance at Beginning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Additions, Costs and</w:t>
            </w:r>
          </w:p>
        </w:tc>
        <w:tc>
          <w:tcPr>
            <w:tcW w:w="15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Deductions, Write-</w:t>
            </w:r>
          </w:p>
        </w:tc>
        <w:tc>
          <w:tcPr>
            <w:tcW w:w="8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5"/>
              </w:rPr>
              <w:t>Other (1)</w:t>
            </w:r>
          </w:p>
        </w:tc>
        <w:tc>
          <w:tcPr>
            <w:tcW w:w="0" w:type="dxa"/>
            <w:vAlign w:val="bottom"/>
          </w:tcPr>
          <w:p>
            <w:pPr>
              <w:spacing w:after="0"/>
              <w:rPr>
                <w:sz w:val="1"/>
                <w:szCs w:val="1"/>
                <w:color w:val="auto"/>
              </w:rPr>
            </w:pPr>
          </w:p>
        </w:tc>
      </w:tr>
      <w:tr>
        <w:trPr>
          <w:trHeight w:val="186"/>
        </w:trPr>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of 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offs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Balance at End of</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Period</w:t>
      </w:r>
    </w:p>
    <w:p>
      <w:pPr>
        <w:spacing w:after="0" w:line="10" w:lineRule="exact"/>
        <w:rPr>
          <w:sz w:val="20"/>
          <w:szCs w:val="20"/>
          <w:color w:val="auto"/>
        </w:rPr>
      </w:pPr>
    </w:p>
    <w:p>
      <w:pPr>
        <w:sectPr>
          <w:pgSz w:w="11900" w:h="16838" w:orient="portrait"/>
          <w:cols w:equalWidth="0" w:num="2">
            <w:col w:w="9380" w:space="640"/>
            <w:col w:w="122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Valuation Allowance For Deferred Tax Assets:</w:t>
            </w: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9,828,959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5,571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9,668,556</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9,668,556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(3,752)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10,169,294</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10,169,294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(6,367)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10,436,419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remeasurement of net deferred tax assets due to changes in statutory tax rates.</w:t>
      </w:r>
    </w:p>
    <w:p>
      <w:pPr>
        <w:spacing w:after="0" w:line="11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not applicable or the required information is included in the Consolidated Financial Statements or the Notes thereto.</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w:t>
            </w:r>
          </w:p>
        </w:tc>
        <w:tc>
          <w:tcPr>
            <w:tcW w:w="5600" w:type="dxa"/>
            <w:vAlign w:val="bottom"/>
            <w:gridSpan w:val="21"/>
          </w:tcPr>
          <w:p>
            <w:pPr>
              <w:ind w:left="80"/>
              <w:spacing w:after="0"/>
              <w:rPr>
                <w:sz w:val="20"/>
                <w:szCs w:val="20"/>
                <w:color w:val="auto"/>
              </w:rPr>
            </w:pPr>
            <w:r>
              <w:rPr>
                <w:rFonts w:ascii="Arial" w:cs="Arial" w:eastAsia="Arial" w:hAnsi="Arial"/>
                <w:sz w:val="18"/>
                <w:szCs w:val="18"/>
                <w:i w:val="1"/>
                <w:iCs w:val="1"/>
                <w:color w:val="auto"/>
              </w:rPr>
              <w:t>Exhibits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9"/>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0"/>
          </w:tcPr>
          <w:p>
            <w:pPr>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Agreement and Plan of Merger, dated as of October 19, 2020, by and</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October 19, 2020</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80" w:type="dxa"/>
            <w:vAlign w:val="bottom"/>
            <w:tcBorders>
              <w:top w:val="single" w:sz="8" w:color="0000FF"/>
            </w:tcBorders>
            <w:gridSpan w:val="13"/>
          </w:tcPr>
          <w:p>
            <w:pPr>
              <w:spacing w:after="0" w:line="169"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among BioSpecifics Technologies Corp., Endo International plc, and</w:t>
              </w:r>
            </w:hyperlink>
          </w:p>
        </w:tc>
        <w:tc>
          <w:tcPr>
            <w:tcW w:w="400" w:type="dxa"/>
            <w:vAlign w:val="bottom"/>
            <w:gridSpan w:val="7"/>
          </w:tcPr>
          <w:p>
            <w:pPr>
              <w:ind w:left="20"/>
              <w:spacing w:after="0" w:line="169"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Beta</w:t>
              </w:r>
            </w:hyperlink>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140"/>
              <w:spacing w:after="0" w:line="169"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Acquisition Corp.</w:t>
              </w:r>
            </w:hyperlink>
          </w:p>
        </w:tc>
        <w:tc>
          <w:tcPr>
            <w:tcW w:w="40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0"/>
          </w:tcPr>
          <w:p>
            <w:pPr>
              <w:spacing w:after="0"/>
              <w:rPr>
                <w:rFonts w:ascii="Arial" w:cs="Arial" w:eastAsia="Arial" w:hAnsi="Arial"/>
                <w:sz w:val="18"/>
                <w:szCs w:val="18"/>
                <w:color w:val="0000FF"/>
              </w:rPr>
            </w:pPr>
            <w:hyperlink r:id="rId90">
              <w:r>
                <w:rPr>
                  <w:rFonts w:ascii="Arial" w:cs="Arial" w:eastAsia="Arial" w:hAnsi="Arial"/>
                  <w:sz w:val="18"/>
                  <w:szCs w:val="18"/>
                  <w:color w:val="0000FF"/>
                </w:rPr>
                <w:t>Certificate of Incorporation on re-registration as a public limited</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February 28, 2014</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company of Endo International plc</w:t>
              </w:r>
            </w:hyperlink>
          </w:p>
        </w:tc>
        <w:tc>
          <w:tcPr>
            <w:tcW w:w="2120" w:type="dxa"/>
            <w:vAlign w:val="bottom"/>
            <w:tcBorders>
              <w:top w:val="single" w:sz="8" w:color="0000FF"/>
            </w:tcBorders>
            <w:gridSpan w:val="6"/>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140"/>
              <w:spacing w:after="0" w:line="169" w:lineRule="exact"/>
              <w:rPr>
                <w:sz w:val="20"/>
                <w:szCs w:val="20"/>
                <w:color w:val="auto"/>
              </w:rPr>
            </w:pPr>
            <w:r>
              <w:rPr>
                <w:rFonts w:ascii="Arial" w:cs="Arial" w:eastAsia="Arial" w:hAnsi="Arial"/>
                <w:sz w:val="18"/>
                <w:szCs w:val="18"/>
                <w:color w:val="auto"/>
              </w:rPr>
              <w:t>K12B</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0"/>
          </w:tcPr>
          <w:p>
            <w:pPr>
              <w:spacing w:after="0"/>
              <w:rPr>
                <w:rFonts w:ascii="Arial" w:cs="Arial" w:eastAsia="Arial" w:hAnsi="Arial"/>
                <w:sz w:val="18"/>
                <w:szCs w:val="18"/>
                <w:color w:val="0000FF"/>
              </w:rPr>
            </w:pPr>
            <w:hyperlink r:id="rId91">
              <w:r>
                <w:rPr>
                  <w:rFonts w:ascii="Arial" w:cs="Arial" w:eastAsia="Arial" w:hAnsi="Arial"/>
                  <w:sz w:val="18"/>
                  <w:szCs w:val="18"/>
                  <w:color w:val="0000FF"/>
                </w:rPr>
                <w:t>Memorandum and Articles of Association of Endo International plc,</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2017</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Borders>
              <w:top w:val="single" w:sz="8" w:color="0000FF"/>
            </w:tcBorders>
            <w:gridSpan w:val="11"/>
          </w:tcPr>
          <w:p>
            <w:pPr>
              <w:spacing w:after="0" w:line="169"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dated as of October 31, 2013 and as amended as of June 8, 2017</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140"/>
              <w:spacing w:after="0" w:line="169"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Borders>
              <w:top w:val="single" w:sz="8" w:color="0000FF"/>
            </w:tcBorders>
            <w:gridSpan w:val="8"/>
          </w:tcPr>
          <w:p>
            <w:pPr>
              <w:spacing w:after="0"/>
              <w:rPr>
                <w:rFonts w:ascii="Arial" w:cs="Arial" w:eastAsia="Arial" w:hAnsi="Arial"/>
                <w:sz w:val="18"/>
                <w:szCs w:val="18"/>
                <w:color w:val="0000FF"/>
              </w:rPr>
            </w:pPr>
            <w:hyperlink r:id="rId92">
              <w:r>
                <w:rPr>
                  <w:rFonts w:ascii="Arial" w:cs="Arial" w:eastAsia="Arial" w:hAnsi="Arial"/>
                  <w:sz w:val="18"/>
                  <w:szCs w:val="18"/>
                  <w:color w:val="0000FF"/>
                </w:rPr>
                <w:t>Specimen Share Certificate of Endo International plc</w:t>
              </w:r>
            </w:hyperlink>
          </w:p>
        </w:tc>
        <w:tc>
          <w:tcPr>
            <w:tcW w:w="760" w:type="dxa"/>
            <w:vAlign w:val="bottom"/>
            <w:gridSpan w:val="12"/>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333-194253</w:t>
            </w: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Form S-8</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28, 2014</w:t>
            </w: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0"/>
          </w:tcPr>
          <w:p>
            <w:pPr>
              <w:spacing w:after="0"/>
              <w:rPr>
                <w:rFonts w:ascii="Arial" w:cs="Arial" w:eastAsia="Arial" w:hAnsi="Arial"/>
                <w:sz w:val="18"/>
                <w:szCs w:val="18"/>
                <w:color w:val="0000FF"/>
                <w:w w:val="98"/>
              </w:rPr>
            </w:pPr>
            <w:hyperlink r:id="rId93">
              <w:r>
                <w:rPr>
                  <w:rFonts w:ascii="Arial" w:cs="Arial" w:eastAsia="Arial" w:hAnsi="Arial"/>
                  <w:sz w:val="18"/>
                  <w:szCs w:val="18"/>
                  <w:color w:val="0000FF"/>
                  <w:w w:val="98"/>
                </w:rPr>
                <w:t>Indenture, dated January 27, 2015, among Endo Designated Activity</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20" w:type="dxa"/>
            <w:vAlign w:val="bottom"/>
            <w:gridSpan w:val="6"/>
          </w:tcPr>
          <w:p>
            <w:pPr>
              <w:ind w:left="140"/>
              <w:spacing w:after="0"/>
              <w:rPr>
                <w:sz w:val="20"/>
                <w:szCs w:val="20"/>
                <w:color w:val="auto"/>
              </w:rPr>
            </w:pPr>
            <w:r>
              <w:rPr>
                <w:rFonts w:ascii="Arial" w:cs="Arial" w:eastAsia="Arial" w:hAnsi="Arial"/>
                <w:sz w:val="18"/>
                <w:szCs w:val="18"/>
                <w:color w:val="auto"/>
              </w:rPr>
              <w:t>Current Report on Form 8- January 27, 2015</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40" w:type="dxa"/>
            <w:vAlign w:val="bottom"/>
            <w:tcBorders>
              <w:top w:val="single" w:sz="8" w:color="0000FF"/>
            </w:tcBorders>
            <w:gridSpan w:val="12"/>
          </w:tcPr>
          <w:p>
            <w:pPr>
              <w:spacing w:after="0" w:line="169"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Company (formerly, Endo Limited), Endo Finance LLC, Endo Finco</w:t>
              </w:r>
            </w:hyperlink>
          </w:p>
        </w:tc>
        <w:tc>
          <w:tcPr>
            <w:tcW w:w="440" w:type="dxa"/>
            <w:vAlign w:val="bottom"/>
            <w:gridSpan w:val="8"/>
          </w:tcPr>
          <w:p>
            <w:pPr>
              <w:ind w:left="60"/>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Inc.,</w:t>
              </w:r>
            </w:hyperlink>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140"/>
              <w:spacing w:after="0" w:line="169"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the guarantors named therein and Wells Fargo Bank, National</w:t>
              </w:r>
            </w:hyperlink>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40" w:type="dxa"/>
            <w:vAlign w:val="bottom"/>
            <w:tcBorders>
              <w:top w:val="single" w:sz="8" w:color="0000FF"/>
            </w:tcBorders>
            <w:gridSpan w:val="5"/>
          </w:tcPr>
          <w:p>
            <w:pPr>
              <w:spacing w:after="0" w:line="156" w:lineRule="exact"/>
              <w:rPr>
                <w:rFonts w:ascii="Arial" w:cs="Arial" w:eastAsia="Arial" w:hAnsi="Arial"/>
                <w:sz w:val="18"/>
                <w:szCs w:val="18"/>
                <w:color w:val="0000FF"/>
                <w:w w:val="88"/>
              </w:rPr>
            </w:pPr>
            <w:hyperlink r:id="rId93">
              <w:r>
                <w:rPr>
                  <w:rFonts w:ascii="Arial" w:cs="Arial" w:eastAsia="Arial" w:hAnsi="Arial"/>
                  <w:sz w:val="18"/>
                  <w:szCs w:val="18"/>
                  <w:color w:val="0000FF"/>
                  <w:w w:val="88"/>
                </w:rPr>
                <w:t>Association, as trustee, relating to the 6.00% Senior Notes due</w:t>
              </w:r>
            </w:hyperlink>
          </w:p>
        </w:tc>
        <w:tc>
          <w:tcPr>
            <w:tcW w:w="600" w:type="dxa"/>
            <w:vAlign w:val="bottom"/>
            <w:gridSpan w:val="9"/>
          </w:tcPr>
          <w:p>
            <w:pPr>
              <w:jc w:val="right"/>
              <w:ind w:right="50"/>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2025</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Borders>
              <w:top w:val="single" w:sz="8" w:color="0000FF"/>
            </w:tcBorders>
            <w:gridSpan w:val="10"/>
          </w:tcPr>
          <w:p>
            <w:pPr>
              <w:spacing w:after="0" w:line="169"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(including Form of 6.00% Senior Notes due 2025 and Form of</w:t>
              </w:r>
            </w:hyperlink>
          </w:p>
        </w:tc>
        <w:tc>
          <w:tcPr>
            <w:tcW w:w="14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93">
              <w:r>
                <w:rPr>
                  <w:rFonts w:ascii="Arial" w:cs="Arial" w:eastAsia="Arial" w:hAnsi="Arial"/>
                  <w:sz w:val="18"/>
                  <w:szCs w:val="18"/>
                  <w:color w:val="0000FF"/>
                  <w:w w:val="88"/>
                </w:rPr>
                <w:t>Supplemental Indenture relating to the 6.00% Senior Notes due</w:t>
              </w:r>
            </w:hyperlink>
          </w:p>
        </w:tc>
        <w:tc>
          <w:tcPr>
            <w:tcW w:w="540" w:type="dxa"/>
            <w:vAlign w:val="bottom"/>
            <w:tcBorders>
              <w:bottom w:val="single" w:sz="8" w:color="0000FF"/>
            </w:tcBorders>
            <w:gridSpan w:val="8"/>
          </w:tcPr>
          <w:p>
            <w:pPr>
              <w:ind w:left="120"/>
              <w:spacing w:after="0" w:line="156" w:lineRule="exact"/>
              <w:rPr>
                <w:rFonts w:ascii="Arial" w:cs="Arial" w:eastAsia="Arial" w:hAnsi="Arial"/>
                <w:sz w:val="18"/>
                <w:szCs w:val="18"/>
                <w:color w:val="0000FF"/>
                <w:w w:val="86"/>
              </w:rPr>
            </w:pPr>
            <w:hyperlink r:id="rId93">
              <w:r>
                <w:rPr>
                  <w:rFonts w:ascii="Arial" w:cs="Arial" w:eastAsia="Arial" w:hAnsi="Arial"/>
                  <w:sz w:val="18"/>
                  <w:szCs w:val="18"/>
                  <w:color w:val="0000FF"/>
                  <w:w w:val="86"/>
                </w:rPr>
                <w:t>2025)</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0"/>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Supplemental Indenture, dated March 27, 2015, among Endo Designated</w:t>
              </w:r>
            </w:hyperlink>
          </w:p>
        </w:tc>
        <w:tc>
          <w:tcPr>
            <w:tcW w:w="100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20" w:type="dxa"/>
            <w:vAlign w:val="bottom"/>
            <w:gridSpan w:val="4"/>
          </w:tcPr>
          <w:p>
            <w:pPr>
              <w:ind w:left="140"/>
              <w:spacing w:after="0"/>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February 29, 2016</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60" w:type="dxa"/>
            <w:vAlign w:val="bottom"/>
            <w:tcBorders>
              <w:top w:val="single" w:sz="8" w:color="0000FF"/>
            </w:tcBorders>
            <w:gridSpan w:val="16"/>
          </w:tcPr>
          <w:p>
            <w:pPr>
              <w:spacing w:after="0" w:line="169"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Activity Company (formerly, Endo Limited), Endo Finance LLC, Endo</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140"/>
              <w:spacing w:after="0" w:line="169" w:lineRule="exact"/>
              <w:rPr>
                <w:sz w:val="20"/>
                <w:szCs w:val="20"/>
                <w:color w:val="auto"/>
              </w:rPr>
            </w:pPr>
            <w:r>
              <w:rPr>
                <w:rFonts w:ascii="Arial" w:cs="Arial" w:eastAsia="Arial" w:hAnsi="Arial"/>
                <w:sz w:val="18"/>
                <w:szCs w:val="18"/>
                <w:color w:val="auto"/>
              </w:rPr>
              <w:t>10-K</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7"/>
              </w:rPr>
            </w:pPr>
            <w:hyperlink r:id="rId94">
              <w:r>
                <w:rPr>
                  <w:rFonts w:ascii="Arial" w:cs="Arial" w:eastAsia="Arial" w:hAnsi="Arial"/>
                  <w:sz w:val="18"/>
                  <w:szCs w:val="18"/>
                  <w:color w:val="0000FF"/>
                  <w:w w:val="87"/>
                </w:rPr>
                <w:t>Finco Inc., the guarantors named therein and Wells Fargo Bank, National</w:t>
              </w:r>
            </w:hyperlink>
          </w:p>
        </w:tc>
        <w:tc>
          <w:tcPr>
            <w:tcW w:w="140" w:type="dxa"/>
            <w:vAlign w:val="bottom"/>
            <w:tcBorders>
              <w:bottom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80" w:type="dxa"/>
            <w:vAlign w:val="bottom"/>
            <w:gridSpan w:val="17"/>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Association, as trustee, to the Indenture, dated January 27, 2015</w:t>
              </w:r>
            </w:hyperlink>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7"/>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gridSpan w:val="10"/>
          </w:tcPr>
          <w:p>
            <w:pPr>
              <w:ind w:left="460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6340" w:type="dxa"/>
            <w:vAlign w:val="bottom"/>
            <w:gridSpan w:val="43"/>
          </w:tcPr>
          <w:p>
            <w:pPr>
              <w:spacing w:after="0"/>
              <w:rPr>
                <w:sz w:val="20"/>
                <w:szCs w:val="20"/>
                <w:color w:val="auto"/>
              </w:rPr>
            </w:pPr>
            <w:r>
              <w:rPr>
                <w:rFonts w:ascii="Arial" w:cs="Arial" w:eastAsia="Arial" w:hAnsi="Arial"/>
                <w:sz w:val="14"/>
                <w:szCs w:val="14"/>
                <w:b w:val="1"/>
                <w:bCs w:val="1"/>
                <w:color w:val="0000FF"/>
              </w:rPr>
              <w:t>Table of Contents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gridSpan w:val="37"/>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91"/>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9"/>
                <w:szCs w:val="19"/>
                <w:color w:val="auto"/>
              </w:rPr>
            </w:pPr>
          </w:p>
        </w:tc>
        <w:tc>
          <w:tcPr>
            <w:tcW w:w="5400" w:type="dxa"/>
            <w:vAlign w:val="bottom"/>
            <w:gridSpan w:val="40"/>
          </w:tcPr>
          <w:p>
            <w:pPr>
              <w:spacing w:after="0"/>
              <w:rPr>
                <w:rFonts w:ascii="Arial" w:cs="Arial" w:eastAsia="Arial" w:hAnsi="Arial"/>
                <w:sz w:val="18"/>
                <w:szCs w:val="18"/>
                <w:color w:val="0000FF"/>
              </w:rPr>
            </w:pPr>
            <w:hyperlink r:id="rId97">
              <w:r>
                <w:rPr>
                  <w:rFonts w:ascii="Arial" w:cs="Arial" w:eastAsia="Arial" w:hAnsi="Arial"/>
                  <w:sz w:val="18"/>
                  <w:szCs w:val="18"/>
                  <w:color w:val="0000FF"/>
                </w:rPr>
                <w:t>Supplemental Indenture, dated as of May 28, 2020, among Endo</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June 16,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6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Designated Activity Company, Endo Finance LLC, Endo Finco</w:t>
              </w:r>
            </w:hyperlink>
          </w:p>
        </w:tc>
        <w:tc>
          <w:tcPr>
            <w:tcW w:w="740" w:type="dxa"/>
            <w:vAlign w:val="bottom"/>
            <w:gridSpan w:val="26"/>
          </w:tcPr>
          <w:p>
            <w:pPr>
              <w:jc w:val="right"/>
              <w:ind w:right="200"/>
              <w:spacing w:after="0" w:line="156" w:lineRule="exact"/>
              <w:rPr>
                <w:rFonts w:ascii="Arial" w:cs="Arial" w:eastAsia="Arial" w:hAnsi="Arial"/>
                <w:sz w:val="18"/>
                <w:szCs w:val="18"/>
                <w:color w:val="0000FF"/>
                <w:w w:val="81"/>
              </w:rPr>
            </w:pPr>
            <w:hyperlink r:id="rId97">
              <w:r>
                <w:rPr>
                  <w:rFonts w:ascii="Arial" w:cs="Arial" w:eastAsia="Arial" w:hAnsi="Arial"/>
                  <w:sz w:val="18"/>
                  <w:szCs w:val="18"/>
                  <w:color w:val="0000FF"/>
                  <w:w w:val="81"/>
                </w:rPr>
                <w:t>Inc., 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20" w:type="dxa"/>
            <w:vAlign w:val="bottom"/>
            <w:tcBorders>
              <w:top w:val="single" w:sz="8" w:color="0000FF"/>
            </w:tcBorders>
            <w:gridSpan w:val="31"/>
          </w:tcPr>
          <w:p>
            <w:pPr>
              <w:spacing w:after="0" w:line="169"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guarantors named therein and Wells Fargo Bank, National Association,</w:t>
              </w:r>
            </w:hyperlink>
          </w:p>
        </w:tc>
        <w:tc>
          <w:tcPr>
            <w:tcW w:w="180" w:type="dxa"/>
            <w:vAlign w:val="bottom"/>
            <w:gridSpan w:val="9"/>
          </w:tcPr>
          <w:p>
            <w:pPr>
              <w:spacing w:after="0" w:line="169" w:lineRule="exact"/>
              <w:rPr>
                <w:rFonts w:ascii="Arial" w:cs="Arial" w:eastAsia="Arial" w:hAnsi="Arial"/>
                <w:sz w:val="18"/>
                <w:szCs w:val="18"/>
                <w:color w:val="0000FF"/>
                <w:w w:val="83"/>
              </w:rPr>
            </w:pPr>
            <w:hyperlink r:id="rId97">
              <w:r>
                <w:rPr>
                  <w:rFonts w:ascii="Arial" w:cs="Arial" w:eastAsia="Arial" w:hAnsi="Arial"/>
                  <w:sz w:val="18"/>
                  <w:szCs w:val="18"/>
                  <w:color w:val="0000FF"/>
                  <w:w w:val="83"/>
                </w:rPr>
                <w:t>as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6"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trustee, to the Indenture, dated as of January 27, 2015, among Endo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8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Designated Activity Company, Endo Finance LLC, Endo Finco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17"/>
          </w:tcPr>
          <w:p>
            <w:pPr>
              <w:jc w:val="right"/>
              <w:ind w:right="200"/>
              <w:spacing w:after="0" w:line="156" w:lineRule="exact"/>
              <w:rPr>
                <w:rFonts w:ascii="Arial" w:cs="Arial" w:eastAsia="Arial" w:hAnsi="Arial"/>
                <w:sz w:val="18"/>
                <w:szCs w:val="18"/>
                <w:color w:val="0000FF"/>
                <w:w w:val="87"/>
              </w:rPr>
            </w:pPr>
            <w:hyperlink r:id="rId97">
              <w:r>
                <w:rPr>
                  <w:rFonts w:ascii="Arial" w:cs="Arial" w:eastAsia="Arial" w:hAnsi="Arial"/>
                  <w:sz w:val="18"/>
                  <w:szCs w:val="18"/>
                  <w:color w:val="0000FF"/>
                  <w:w w:val="87"/>
                </w:rPr>
                <w:t>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20" w:type="dxa"/>
            <w:vAlign w:val="bottom"/>
            <w:tcBorders>
              <w:top w:val="single" w:sz="8" w:color="0000FF"/>
            </w:tcBorders>
            <w:gridSpan w:val="31"/>
          </w:tcPr>
          <w:p>
            <w:pPr>
              <w:spacing w:after="0" w:line="169"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guarantors named therein and Wells Fargo Bank, National Association,</w:t>
              </w:r>
            </w:hyperlink>
          </w:p>
        </w:tc>
        <w:tc>
          <w:tcPr>
            <w:tcW w:w="180" w:type="dxa"/>
            <w:vAlign w:val="bottom"/>
            <w:gridSpan w:val="9"/>
          </w:tcPr>
          <w:p>
            <w:pPr>
              <w:spacing w:after="0" w:line="169" w:lineRule="exact"/>
              <w:rPr>
                <w:rFonts w:ascii="Arial" w:cs="Arial" w:eastAsia="Arial" w:hAnsi="Arial"/>
                <w:sz w:val="18"/>
                <w:szCs w:val="18"/>
                <w:color w:val="0000FF"/>
                <w:w w:val="83"/>
              </w:rPr>
            </w:pPr>
            <w:hyperlink r:id="rId97">
              <w:r>
                <w:rPr>
                  <w:rFonts w:ascii="Arial" w:cs="Arial" w:eastAsia="Arial" w:hAnsi="Arial"/>
                  <w:sz w:val="18"/>
                  <w:szCs w:val="18"/>
                  <w:color w:val="0000FF"/>
                  <w:w w:val="83"/>
                </w:rPr>
                <w:t>as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trustee, relating to the 6.000% Senior Notes due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5400" w:type="dxa"/>
            <w:vAlign w:val="bottom"/>
            <w:gridSpan w:val="40"/>
          </w:tcPr>
          <w:p>
            <w:pPr>
              <w:spacing w:after="0"/>
              <w:rPr>
                <w:rFonts w:ascii="Arial" w:cs="Arial" w:eastAsia="Arial" w:hAnsi="Arial"/>
                <w:sz w:val="18"/>
                <w:szCs w:val="18"/>
                <w:color w:val="0000FF"/>
                <w:w w:val="94"/>
              </w:rPr>
            </w:pPr>
            <w:hyperlink r:id="rId98">
              <w:r>
                <w:rPr>
                  <w:rFonts w:ascii="Arial" w:cs="Arial" w:eastAsia="Arial" w:hAnsi="Arial"/>
                  <w:sz w:val="18"/>
                  <w:szCs w:val="18"/>
                  <w:color w:val="0000FF"/>
                  <w:w w:val="94"/>
                </w:rPr>
                <w:t>Registration Rights Agreement, dated January 27, 2015, by and among</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January 27,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Endo Designated Activity Company (formerly, Endo Limited), Endo</w:t>
              </w:r>
            </w:hyperlink>
          </w:p>
        </w:tc>
        <w:tc>
          <w:tcPr>
            <w:tcW w:w="1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00" w:type="dxa"/>
            <w:vAlign w:val="bottom"/>
            <w:tcBorders>
              <w:bottom w:val="single" w:sz="8" w:color="0000FF"/>
            </w:tcBorders>
            <w:gridSpan w:val="27"/>
          </w:tcPr>
          <w:p>
            <w:pPr>
              <w:spacing w:after="0" w:line="169"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Finance LLC, Endo Finco Inc., the guarantors named therein and RBC</w:t>
              </w:r>
            </w:hyperlink>
          </w:p>
        </w:tc>
        <w:tc>
          <w:tcPr>
            <w:tcW w:w="300" w:type="dxa"/>
            <w:vAlign w:val="bottom"/>
            <w:gridSpan w:val="13"/>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0" w:type="dxa"/>
            <w:vAlign w:val="bottom"/>
            <w:gridSpan w:val="40"/>
          </w:tcPr>
          <w:p>
            <w:pPr>
              <w:spacing w:after="0" w:line="156"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Capital Markets, LLC and Citigroup Global Markets Inc., relating to 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6.</w:t>
              </w:r>
              <w:r>
                <w:rPr>
                  <w:rFonts w:ascii="Arial" w:cs="Arial" w:eastAsia="Arial" w:hAnsi="Arial"/>
                  <w:sz w:val="18"/>
                  <w:szCs w:val="18"/>
                  <w:u w:val="single" w:color="auto"/>
                  <w:color w:val="0000FF"/>
                  <w:w w:val="91"/>
                </w:rPr>
                <w:t>00%</w:t>
              </w:r>
              <w:r>
                <w:rPr>
                  <w:rFonts w:ascii="Arial" w:cs="Arial" w:eastAsia="Arial" w:hAnsi="Arial"/>
                  <w:sz w:val="18"/>
                  <w:szCs w:val="18"/>
                  <w:color w:val="0000FF"/>
                  <w:w w:val="91"/>
                </w:rPr>
                <w:t xml:space="preserve"> Senior Notes due 2025 (including Form of Counterpart to the</w:t>
              </w:r>
            </w:hyperlink>
          </w:p>
        </w:tc>
        <w:tc>
          <w:tcPr>
            <w:tcW w:w="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0" w:type="dxa"/>
            <w:vAlign w:val="bottom"/>
            <w:gridSpan w:val="40"/>
          </w:tcPr>
          <w:p>
            <w:pPr>
              <w:spacing w:after="0" w:line="169"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Registration Rights Agreement relating to the 6.00% Senior Notes due</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98">
              <w:r>
                <w:rPr>
                  <w:rFonts w:ascii="Arial" w:cs="Arial" w:eastAsia="Arial" w:hAnsi="Arial"/>
                  <w:sz w:val="18"/>
                  <w:szCs w:val="18"/>
                  <w:color w:val="0000FF"/>
                  <w:w w:val="86"/>
                </w:rPr>
                <w:t>2025)</w:t>
              </w:r>
            </w:hyperlink>
          </w:p>
        </w:tc>
        <w:tc>
          <w:tcPr>
            <w:tcW w:w="3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6340" w:type="dxa"/>
            <w:vAlign w:val="bottom"/>
            <w:gridSpan w:val="42"/>
          </w:tcPr>
          <w:p>
            <w:pPr>
              <w:spacing w:after="0"/>
              <w:rPr>
                <w:rFonts w:ascii="Arial" w:cs="Arial" w:eastAsia="Arial" w:hAnsi="Arial"/>
                <w:sz w:val="18"/>
                <w:szCs w:val="18"/>
                <w:color w:val="0000FF"/>
                <w:w w:val="93"/>
              </w:rPr>
            </w:pPr>
            <w:hyperlink r:id="rId99">
              <w:r>
                <w:rPr>
                  <w:rFonts w:ascii="Arial" w:cs="Arial" w:eastAsia="Arial" w:hAnsi="Arial"/>
                  <w:sz w:val="18"/>
                  <w:szCs w:val="18"/>
                  <w:color w:val="0000FF"/>
                  <w:w w:val="93"/>
                </w:rPr>
                <w:t xml:space="preserve">Indenture, dated July 9, 2015, among Endo Designated Activity Company </w:t>
              </w:r>
            </w:hyperlink>
            <w:r>
              <w:rPr>
                <w:rFonts w:ascii="Arial" w:cs="Arial" w:eastAsia="Arial" w:hAnsi="Arial"/>
                <w:sz w:val="18"/>
                <w:szCs w:val="18"/>
                <w:color w:val="000000"/>
                <w:w w:val="93"/>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July 9, 2015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(formerly, Endo Limited), Endo Finance LLC, Endo Finco Inc., 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0" w:type="dxa"/>
            <w:vAlign w:val="bottom"/>
            <w:gridSpan w:val="40"/>
          </w:tcPr>
          <w:p>
            <w:pPr>
              <w:spacing w:after="0" w:line="169"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guarantors named therein and Wells Fargo Bank, National Association, as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trustee, relating to the 6.000% Senior Notes due 2023 (including Form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6.</w:t>
              </w:r>
              <w:r>
                <w:rPr>
                  <w:rFonts w:ascii="Arial" w:cs="Arial" w:eastAsia="Arial" w:hAnsi="Arial"/>
                  <w:sz w:val="18"/>
                  <w:szCs w:val="18"/>
                  <w:u w:val="single" w:color="auto"/>
                  <w:color w:val="0000FF"/>
                  <w:w w:val="92"/>
                </w:rPr>
                <w:t>000%</w:t>
              </w:r>
              <w:r>
                <w:rPr>
                  <w:rFonts w:ascii="Arial" w:cs="Arial" w:eastAsia="Arial" w:hAnsi="Arial"/>
                  <w:sz w:val="18"/>
                  <w:szCs w:val="18"/>
                  <w:color w:val="0000FF"/>
                  <w:w w:val="92"/>
                </w:rPr>
                <w:t xml:space="preserve"> Notes due 2023 and Form of Supplemental Indenture relating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the 6.000% Notes due 2023)</w:t>
              </w:r>
            </w:hyperlink>
          </w:p>
        </w:tc>
        <w:tc>
          <w:tcPr>
            <w:tcW w:w="322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4.4.1</w:t>
            </w:r>
          </w:p>
        </w:tc>
        <w:tc>
          <w:tcPr>
            <w:tcW w:w="400" w:type="dxa"/>
            <w:vAlign w:val="bottom"/>
          </w:tcPr>
          <w:p>
            <w:pPr>
              <w:spacing w:after="0"/>
              <w:rPr>
                <w:sz w:val="18"/>
                <w:szCs w:val="18"/>
                <w:color w:val="auto"/>
              </w:rPr>
            </w:pPr>
          </w:p>
        </w:tc>
        <w:tc>
          <w:tcPr>
            <w:tcW w:w="5400" w:type="dxa"/>
            <w:vAlign w:val="bottom"/>
            <w:gridSpan w:val="40"/>
          </w:tcPr>
          <w:p>
            <w:pPr>
              <w:spacing w:after="0"/>
              <w:rPr>
                <w:rFonts w:ascii="Arial" w:cs="Arial" w:eastAsia="Arial" w:hAnsi="Arial"/>
                <w:sz w:val="18"/>
                <w:szCs w:val="18"/>
                <w:color w:val="0000FF"/>
              </w:rPr>
            </w:pPr>
            <w:hyperlink r:id="rId100">
              <w:r>
                <w:rPr>
                  <w:rFonts w:ascii="Arial" w:cs="Arial" w:eastAsia="Arial" w:hAnsi="Arial"/>
                  <w:sz w:val="18"/>
                  <w:szCs w:val="18"/>
                  <w:color w:val="0000FF"/>
                </w:rPr>
                <w:t>Supplemental Indenture, dated as of May 28, 2020, among Endo</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June 16,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6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Designated Activity Company, Endo Finance LLC, Endo Finco</w:t>
              </w:r>
            </w:hyperlink>
          </w:p>
        </w:tc>
        <w:tc>
          <w:tcPr>
            <w:tcW w:w="740" w:type="dxa"/>
            <w:vAlign w:val="bottom"/>
            <w:gridSpan w:val="26"/>
          </w:tcPr>
          <w:p>
            <w:pPr>
              <w:jc w:val="right"/>
              <w:ind w:right="200"/>
              <w:spacing w:after="0" w:line="156" w:lineRule="exact"/>
              <w:rPr>
                <w:rFonts w:ascii="Arial" w:cs="Arial" w:eastAsia="Arial" w:hAnsi="Arial"/>
                <w:sz w:val="18"/>
                <w:szCs w:val="18"/>
                <w:color w:val="0000FF"/>
                <w:w w:val="81"/>
              </w:rPr>
            </w:pPr>
            <w:hyperlink r:id="rId100">
              <w:r>
                <w:rPr>
                  <w:rFonts w:ascii="Arial" w:cs="Arial" w:eastAsia="Arial" w:hAnsi="Arial"/>
                  <w:sz w:val="18"/>
                  <w:szCs w:val="18"/>
                  <w:color w:val="0000FF"/>
                  <w:w w:val="81"/>
                </w:rPr>
                <w:t>Inc., 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20" w:type="dxa"/>
            <w:vAlign w:val="bottom"/>
            <w:tcBorders>
              <w:top w:val="single" w:sz="8" w:color="0000FF"/>
            </w:tcBorders>
            <w:gridSpan w:val="31"/>
          </w:tcPr>
          <w:p>
            <w:pPr>
              <w:spacing w:after="0" w:line="169"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guarantors named therein and Wells Fargo Bank, National Association,</w:t>
              </w:r>
            </w:hyperlink>
          </w:p>
        </w:tc>
        <w:tc>
          <w:tcPr>
            <w:tcW w:w="180" w:type="dxa"/>
            <w:vAlign w:val="bottom"/>
            <w:gridSpan w:val="9"/>
          </w:tcPr>
          <w:p>
            <w:pPr>
              <w:spacing w:after="0" w:line="169" w:lineRule="exact"/>
              <w:rPr>
                <w:rFonts w:ascii="Arial" w:cs="Arial" w:eastAsia="Arial" w:hAnsi="Arial"/>
                <w:sz w:val="18"/>
                <w:szCs w:val="18"/>
                <w:color w:val="0000FF"/>
                <w:w w:val="83"/>
              </w:rPr>
            </w:pPr>
            <w:hyperlink r:id="rId100">
              <w:r>
                <w:rPr>
                  <w:rFonts w:ascii="Arial" w:cs="Arial" w:eastAsia="Arial" w:hAnsi="Arial"/>
                  <w:sz w:val="18"/>
                  <w:szCs w:val="18"/>
                  <w:color w:val="0000FF"/>
                  <w:w w:val="83"/>
                </w:rPr>
                <w:t>as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trustee, to the Indenture, dated as of July 9, 2015, among Endo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52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Designated Activity Company, Endo Finance LLC, Endo Finco</w:t>
              </w:r>
            </w:hyperlink>
          </w:p>
        </w:tc>
        <w:tc>
          <w:tcPr>
            <w:tcW w:w="60" w:type="dxa"/>
            <w:vAlign w:val="bottom"/>
          </w:tcPr>
          <w:p>
            <w:pPr>
              <w:spacing w:after="0"/>
              <w:rPr>
                <w:sz w:val="13"/>
                <w:szCs w:val="13"/>
                <w:color w:val="auto"/>
              </w:rPr>
            </w:pPr>
          </w:p>
        </w:tc>
        <w:tc>
          <w:tcPr>
            <w:tcW w:w="820" w:type="dxa"/>
            <w:vAlign w:val="bottom"/>
            <w:gridSpan w:val="27"/>
          </w:tcPr>
          <w:p>
            <w:pPr>
              <w:jc w:val="right"/>
              <w:ind w:right="200"/>
              <w:spacing w:after="0" w:line="156"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Inc., the</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20" w:type="dxa"/>
            <w:vAlign w:val="bottom"/>
            <w:tcBorders>
              <w:top w:val="single" w:sz="8" w:color="0000FF"/>
            </w:tcBorders>
            <w:gridSpan w:val="31"/>
          </w:tcPr>
          <w:p>
            <w:pPr>
              <w:spacing w:after="0" w:line="169"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guarantors named therein and Wells Fargo Bank, National Association,</w:t>
              </w:r>
            </w:hyperlink>
          </w:p>
        </w:tc>
        <w:tc>
          <w:tcPr>
            <w:tcW w:w="180" w:type="dxa"/>
            <w:vAlign w:val="bottom"/>
            <w:gridSpan w:val="9"/>
          </w:tcPr>
          <w:p>
            <w:pPr>
              <w:spacing w:after="0" w:line="169" w:lineRule="exact"/>
              <w:rPr>
                <w:rFonts w:ascii="Arial" w:cs="Arial" w:eastAsia="Arial" w:hAnsi="Arial"/>
                <w:sz w:val="18"/>
                <w:szCs w:val="18"/>
                <w:color w:val="0000FF"/>
                <w:w w:val="83"/>
              </w:rPr>
            </w:pPr>
            <w:hyperlink r:id="rId100">
              <w:r>
                <w:rPr>
                  <w:rFonts w:ascii="Arial" w:cs="Arial" w:eastAsia="Arial" w:hAnsi="Arial"/>
                  <w:sz w:val="18"/>
                  <w:szCs w:val="18"/>
                  <w:color w:val="0000FF"/>
                  <w:w w:val="83"/>
                </w:rPr>
                <w:t>as</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trustee, relating to the 6.000% Senior Notes due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5400" w:type="dxa"/>
            <w:vAlign w:val="bottom"/>
            <w:gridSpan w:val="40"/>
          </w:tcPr>
          <w:p>
            <w:pPr>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Indenture, dated as of March 28, 2019, among Par Pharmaceutical, Inc.,</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March 28,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the guarantors named therein and Wells Fargo Bank, National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40" w:type="dxa"/>
            <w:vAlign w:val="bottom"/>
            <w:tcBorders>
              <w:top w:val="single" w:sz="8" w:color="0000FF"/>
            </w:tcBorders>
            <w:gridSpan w:val="11"/>
          </w:tcPr>
          <w:p>
            <w:pPr>
              <w:spacing w:after="0" w:line="169"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Association, as trustee, relating to the 7.500% Senior Secured</w:t>
              </w:r>
            </w:hyperlink>
          </w:p>
        </w:tc>
        <w:tc>
          <w:tcPr>
            <w:tcW w:w="960" w:type="dxa"/>
            <w:vAlign w:val="bottom"/>
            <w:gridSpan w:val="29"/>
          </w:tcPr>
          <w:p>
            <w:pPr>
              <w:ind w:left="60"/>
              <w:spacing w:after="0" w:line="169" w:lineRule="exact"/>
              <w:rPr>
                <w:rFonts w:ascii="Arial" w:cs="Arial" w:eastAsia="Arial" w:hAnsi="Arial"/>
                <w:sz w:val="18"/>
                <w:szCs w:val="18"/>
                <w:color w:val="0000FF"/>
              </w:rPr>
            </w:pPr>
            <w:hyperlink r:id="rId101">
              <w:r>
                <w:rPr>
                  <w:rFonts w:ascii="Arial" w:cs="Arial" w:eastAsia="Arial" w:hAnsi="Arial"/>
                  <w:sz w:val="18"/>
                  <w:szCs w:val="18"/>
                  <w:color w:val="0000FF"/>
                </w:rPr>
                <w:t>Notes due</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2027 (including Form of 7.500% Senior Secured Notes due 2027)</w:t>
              </w:r>
            </w:hyperlink>
          </w:p>
        </w:tc>
        <w:tc>
          <w:tcPr>
            <w:tcW w:w="5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5400" w:type="dxa"/>
            <w:vAlign w:val="bottom"/>
            <w:gridSpan w:val="40"/>
          </w:tcPr>
          <w:p>
            <w:pPr>
              <w:spacing w:after="0"/>
              <w:rPr>
                <w:rFonts w:ascii="Arial" w:cs="Arial" w:eastAsia="Arial" w:hAnsi="Arial"/>
                <w:sz w:val="18"/>
                <w:szCs w:val="18"/>
                <w:color w:val="0000FF"/>
                <w:w w:val="98"/>
              </w:rPr>
            </w:pPr>
            <w:hyperlink r:id="rId102">
              <w:r>
                <w:rPr>
                  <w:rFonts w:ascii="Arial" w:cs="Arial" w:eastAsia="Arial" w:hAnsi="Arial"/>
                  <w:sz w:val="18"/>
                  <w:szCs w:val="18"/>
                  <w:color w:val="0000FF"/>
                  <w:w w:val="98"/>
                </w:rPr>
                <w:t>First Supplemental Indenture, dated as of June 16, 2020, among Par</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June 16,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2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Pharmaceutical, Inc., the guarantors named therein and Wells Fargo</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Bank, National Association, as trustee, to the Indenture, dated as of</w:t>
              </w:r>
            </w:hyperlink>
          </w:p>
        </w:tc>
        <w:tc>
          <w:tcPr>
            <w:tcW w:w="40" w:type="dxa"/>
            <w:vAlign w:val="bottom"/>
            <w:tcBorders>
              <w:top w:val="single" w:sz="8" w:color="0000FF"/>
            </w:tcBorders>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0" w:type="dxa"/>
            <w:vAlign w:val="bottom"/>
            <w:gridSpan w:val="40"/>
          </w:tcPr>
          <w:p>
            <w:pPr>
              <w:spacing w:after="0" w:line="15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March 28, 2019, among Par Pharmaceutical, Inc., the guarantors named</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80" w:type="dxa"/>
            <w:vAlign w:val="bottom"/>
            <w:tcBorders>
              <w:top w:val="single" w:sz="8" w:color="0000FF"/>
            </w:tcBorders>
            <w:gridSpan w:val="29"/>
          </w:tcPr>
          <w:p>
            <w:pPr>
              <w:spacing w:after="0" w:line="15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therein and Wells Fargo Bank, National Association, as trustee, relating</w:t>
              </w:r>
            </w:hyperlink>
          </w:p>
        </w:tc>
        <w:tc>
          <w:tcPr>
            <w:tcW w:w="220" w:type="dxa"/>
            <w:vAlign w:val="bottom"/>
            <w:gridSpan w:val="11"/>
          </w:tcPr>
          <w:p>
            <w:pPr>
              <w:ind w:left="20"/>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to</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8"/>
              </w:rPr>
            </w:pPr>
            <w:hyperlink r:id="rId102">
              <w:r>
                <w:rPr>
                  <w:rFonts w:ascii="Arial" w:cs="Arial" w:eastAsia="Arial" w:hAnsi="Arial"/>
                  <w:sz w:val="18"/>
                  <w:szCs w:val="18"/>
                  <w:color w:val="0000FF"/>
                  <w:w w:val="88"/>
                </w:rPr>
                <w:t>the 7.500% Senior Secured Notes due 2027</w:t>
              </w:r>
            </w:hyperlink>
          </w:p>
        </w:tc>
        <w:tc>
          <w:tcPr>
            <w:tcW w:w="224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5400" w:type="dxa"/>
            <w:vAlign w:val="bottom"/>
            <w:gridSpan w:val="40"/>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Indenture, dated as of June 16, 2020, among Endo Designated Activity</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June 16, 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Company, Endo Finance LLC, Endo Finco Inc., the guarantors named</w:t>
              </w:r>
            </w:hyperlink>
          </w:p>
        </w:tc>
        <w:tc>
          <w:tcPr>
            <w:tcW w:w="2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60" w:type="dxa"/>
            <w:vAlign w:val="bottom"/>
            <w:tcBorders>
              <w:top w:val="single" w:sz="8" w:color="0000FF"/>
            </w:tcBorders>
            <w:gridSpan w:val="25"/>
          </w:tcPr>
          <w:p>
            <w:pPr>
              <w:spacing w:after="0" w:line="169" w:lineRule="exact"/>
              <w:rPr>
                <w:rFonts w:ascii="Arial" w:cs="Arial" w:eastAsia="Arial" w:hAnsi="Arial"/>
                <w:sz w:val="18"/>
                <w:szCs w:val="18"/>
                <w:color w:val="0000FF"/>
                <w:w w:val="88"/>
              </w:rPr>
            </w:pPr>
            <w:hyperlink r:id="rId103">
              <w:r>
                <w:rPr>
                  <w:rFonts w:ascii="Arial" w:cs="Arial" w:eastAsia="Arial" w:hAnsi="Arial"/>
                  <w:sz w:val="18"/>
                  <w:szCs w:val="18"/>
                  <w:color w:val="0000FF"/>
                  <w:w w:val="88"/>
                </w:rPr>
                <w:t>therein and Wells Fargo Bank, National Association, as trustee, relating</w:t>
              </w:r>
            </w:hyperlink>
          </w:p>
        </w:tc>
        <w:tc>
          <w:tcPr>
            <w:tcW w:w="20" w:type="dxa"/>
            <w:vAlign w:val="bottom"/>
          </w:tcPr>
          <w:p>
            <w:pPr>
              <w:spacing w:after="0"/>
              <w:rPr>
                <w:sz w:val="14"/>
                <w:szCs w:val="14"/>
                <w:color w:val="auto"/>
              </w:rPr>
            </w:pPr>
          </w:p>
        </w:tc>
        <w:tc>
          <w:tcPr>
            <w:tcW w:w="320" w:type="dxa"/>
            <w:vAlign w:val="bottom"/>
            <w:gridSpan w:val="14"/>
          </w:tcPr>
          <w:p>
            <w:pPr>
              <w:ind w:left="120"/>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to</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tcBorders>
              <w:top w:val="single" w:sz="8" w:color="0000FF"/>
            </w:tcBorders>
            <w:gridSpan w:val="39"/>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the 9.500% Senior Secured Second Lien Notes due 2027 (including Form</w:t>
              </w:r>
            </w:hyperlink>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of 9.500% Senior Secured Second Lien Notes due 2027)</w:t>
              </w:r>
            </w:hyperlink>
          </w:p>
        </w:tc>
        <w:tc>
          <w:tcPr>
            <w:tcW w:w="1260" w:type="dxa"/>
            <w:vAlign w:val="bottom"/>
            <w:tcBorders>
              <w:top w:val="single" w:sz="8" w:color="0000FF"/>
            </w:tcBorders>
            <w:gridSpan w:val="27"/>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5400" w:type="dxa"/>
            <w:vAlign w:val="bottom"/>
            <w:gridSpan w:val="40"/>
          </w:tcPr>
          <w:p>
            <w:pPr>
              <w:spacing w:after="0"/>
              <w:rPr>
                <w:rFonts w:ascii="Arial" w:cs="Arial" w:eastAsia="Arial" w:hAnsi="Arial"/>
                <w:sz w:val="18"/>
                <w:szCs w:val="18"/>
                <w:color w:val="0000FF"/>
                <w:w w:val="95"/>
              </w:rPr>
            </w:pPr>
            <w:hyperlink r:id="rId104">
              <w:r>
                <w:rPr>
                  <w:rFonts w:ascii="Arial" w:cs="Arial" w:eastAsia="Arial" w:hAnsi="Arial"/>
                  <w:sz w:val="18"/>
                  <w:szCs w:val="18"/>
                  <w:color w:val="0000FF"/>
                  <w:w w:val="95"/>
                </w:rPr>
                <w:t>Indenture, dated as of June 16, 2020, among Endo Designated Activity</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June 16, 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0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Company, Endo Finance LLC, Endo Finco Inc., the guarantors named</w:t>
              </w:r>
            </w:hyperlink>
          </w:p>
        </w:tc>
        <w:tc>
          <w:tcPr>
            <w:tcW w:w="20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60" w:type="dxa"/>
            <w:vAlign w:val="bottom"/>
            <w:tcBorders>
              <w:top w:val="single" w:sz="8" w:color="0000FF"/>
            </w:tcBorders>
            <w:gridSpan w:val="25"/>
          </w:tcPr>
          <w:p>
            <w:pPr>
              <w:spacing w:after="0" w:line="169"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therein and Wells Fargo Bank, National Association, as trustee, relating</w:t>
              </w:r>
            </w:hyperlink>
          </w:p>
        </w:tc>
        <w:tc>
          <w:tcPr>
            <w:tcW w:w="20" w:type="dxa"/>
            <w:vAlign w:val="bottom"/>
          </w:tcPr>
          <w:p>
            <w:pPr>
              <w:spacing w:after="0"/>
              <w:rPr>
                <w:sz w:val="14"/>
                <w:szCs w:val="14"/>
                <w:color w:val="auto"/>
              </w:rPr>
            </w:pPr>
          </w:p>
        </w:tc>
        <w:tc>
          <w:tcPr>
            <w:tcW w:w="320" w:type="dxa"/>
            <w:vAlign w:val="bottom"/>
            <w:gridSpan w:val="14"/>
          </w:tcPr>
          <w:p>
            <w:pPr>
              <w:ind w:left="120"/>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to</w:t>
              </w:r>
            </w:hyperlink>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80" w:type="dxa"/>
            <w:vAlign w:val="bottom"/>
            <w:tcBorders>
              <w:top w:val="single" w:sz="8" w:color="0000FF"/>
            </w:tcBorders>
            <w:gridSpan w:val="39"/>
          </w:tcPr>
          <w:p>
            <w:pPr>
              <w:spacing w:after="0" w:line="156" w:lineRule="exact"/>
              <w:rPr>
                <w:rFonts w:ascii="Arial" w:cs="Arial" w:eastAsia="Arial" w:hAnsi="Arial"/>
                <w:sz w:val="18"/>
                <w:szCs w:val="18"/>
                <w:color w:val="0000FF"/>
                <w:w w:val="97"/>
              </w:rPr>
            </w:pPr>
            <w:hyperlink r:id="rId104">
              <w:r>
                <w:rPr>
                  <w:rFonts w:ascii="Arial" w:cs="Arial" w:eastAsia="Arial" w:hAnsi="Arial"/>
                  <w:sz w:val="18"/>
                  <w:szCs w:val="18"/>
                  <w:color w:val="0000FF"/>
                  <w:w w:val="97"/>
                </w:rPr>
                <w:t>the 6.000% Senior Notes due 2028 (including Form of 6.000% Senior</w:t>
              </w:r>
            </w:hyperlink>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Notes due 2028)</w:t>
              </w:r>
            </w:hyperlink>
          </w:p>
        </w:tc>
        <w:tc>
          <w:tcPr>
            <w:tcW w:w="384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5400" w:type="dxa"/>
            <w:vAlign w:val="bottom"/>
            <w:gridSpan w:val="40"/>
          </w:tcPr>
          <w:p>
            <w:pPr>
              <w:spacing w:after="0"/>
              <w:rPr>
                <w:rFonts w:ascii="Arial" w:cs="Arial" w:eastAsia="Arial" w:hAnsi="Arial"/>
                <w:sz w:val="18"/>
                <w:szCs w:val="18"/>
                <w:color w:val="0000FF"/>
              </w:rPr>
            </w:pPr>
            <w:hyperlink r:id="rId105">
              <w:r>
                <w:rPr>
                  <w:rFonts w:ascii="Arial" w:cs="Arial" w:eastAsia="Arial" w:hAnsi="Arial"/>
                  <w:sz w:val="18"/>
                  <w:szCs w:val="18"/>
                  <w:color w:val="0000FF"/>
                </w:rPr>
                <w:t>Indenture, dated as of March 25, 2021, among Endo Luxembourg</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March 25, 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Borders>
              <w:top w:val="single" w:sz="8" w:color="0000FF"/>
            </w:tcBorders>
            <w:gridSpan w:val="15"/>
          </w:tcPr>
          <w:p>
            <w:pPr>
              <w:spacing w:after="0" w:line="156" w:lineRule="exact"/>
              <w:rPr>
                <w:rFonts w:ascii="Arial" w:cs="Arial" w:eastAsia="Arial" w:hAnsi="Arial"/>
                <w:sz w:val="18"/>
                <w:szCs w:val="18"/>
                <w:color w:val="0000FF"/>
                <w:w w:val="89"/>
              </w:rPr>
            </w:pPr>
            <w:hyperlink r:id="rId105">
              <w:r>
                <w:rPr>
                  <w:rFonts w:ascii="Arial" w:cs="Arial" w:eastAsia="Arial" w:hAnsi="Arial"/>
                  <w:sz w:val="18"/>
                  <w:szCs w:val="18"/>
                  <w:color w:val="0000FF"/>
                  <w:w w:val="89"/>
                </w:rPr>
                <w:t>Finance Company I S.à r.l., Endo U.S. Inc., the guarantors named</w:t>
              </w:r>
            </w:hyperlink>
          </w:p>
        </w:tc>
        <w:tc>
          <w:tcPr>
            <w:tcW w:w="680" w:type="dxa"/>
            <w:vAlign w:val="bottom"/>
            <w:gridSpan w:val="25"/>
          </w:tcPr>
          <w:p>
            <w:pPr>
              <w:ind w:left="40"/>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therein</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Borders>
              <w:top w:val="single" w:sz="8" w:color="0000FF"/>
            </w:tcBorders>
            <w:gridSpan w:val="35"/>
          </w:tcPr>
          <w:p>
            <w:pPr>
              <w:spacing w:after="0" w:line="169"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and Wells Fargo Bank, National Association, as trustee, relating to the</w:t>
              </w:r>
            </w:hyperlink>
          </w:p>
        </w:tc>
        <w:tc>
          <w:tcPr>
            <w:tcW w:w="100" w:type="dxa"/>
            <w:vAlign w:val="bottom"/>
            <w:gridSpan w:val="5"/>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8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6.</w:t>
              </w:r>
              <w:r>
                <w:rPr>
                  <w:rFonts w:ascii="Arial" w:cs="Arial" w:eastAsia="Arial" w:hAnsi="Arial"/>
                  <w:sz w:val="18"/>
                  <w:szCs w:val="18"/>
                  <w:u w:val="single" w:color="auto"/>
                  <w:color w:val="0000FF"/>
                  <w:w w:val="94"/>
                </w:rPr>
                <w:t>125%</w:t>
              </w:r>
              <w:r>
                <w:rPr>
                  <w:rFonts w:ascii="Arial" w:cs="Arial" w:eastAsia="Arial" w:hAnsi="Arial"/>
                  <w:sz w:val="18"/>
                  <w:szCs w:val="18"/>
                  <w:color w:val="0000FF"/>
                  <w:w w:val="94"/>
                </w:rPr>
                <w:t xml:space="preserve"> Senior Secured Notes due 2029 (including Form of 6.125%</w:t>
              </w:r>
            </w:hyperlink>
          </w:p>
        </w:tc>
        <w:tc>
          <w:tcPr>
            <w:tcW w:w="320" w:type="dxa"/>
            <w:vAlign w:val="bottom"/>
            <w:gridSpan w:val="14"/>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05">
              <w:r>
                <w:rPr>
                  <w:rFonts w:ascii="Arial" w:cs="Arial" w:eastAsia="Arial" w:hAnsi="Arial"/>
                  <w:sz w:val="18"/>
                  <w:szCs w:val="18"/>
                  <w:color w:val="0000FF"/>
                  <w:w w:val="88"/>
                </w:rPr>
                <w:t>Senior Secured Notes due 2029)</w:t>
              </w:r>
            </w:hyperlink>
          </w:p>
        </w:tc>
        <w:tc>
          <w:tcPr>
            <w:tcW w:w="2580" w:type="dxa"/>
            <w:vAlign w:val="bottom"/>
            <w:tcBorders>
              <w:top w:val="single" w:sz="8" w:color="0000FF"/>
            </w:tcBorders>
            <w:gridSpan w:val="15"/>
          </w:tcPr>
          <w:p>
            <w:pPr>
              <w:spacing w:after="0"/>
              <w:rPr>
                <w:sz w:val="13"/>
                <w:szCs w:val="13"/>
                <w:color w:val="auto"/>
              </w:rPr>
            </w:pPr>
          </w:p>
        </w:tc>
        <w:tc>
          <w:tcPr>
            <w:tcW w:w="480" w:type="dxa"/>
            <w:vAlign w:val="bottom"/>
            <w:gridSpan w:val="19"/>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5400" w:type="dxa"/>
            <w:vAlign w:val="bottom"/>
            <w:gridSpan w:val="40"/>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Amended and Restated Executive Deferred Compensation Plan</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10.2</w:t>
            </w:r>
          </w:p>
        </w:tc>
        <w:tc>
          <w:tcPr>
            <w:tcW w:w="400" w:type="dxa"/>
            <w:vAlign w:val="bottom"/>
          </w:tcPr>
          <w:p>
            <w:pPr>
              <w:spacing w:after="0"/>
              <w:rPr>
                <w:sz w:val="16"/>
                <w:szCs w:val="16"/>
                <w:color w:val="auto"/>
              </w:rPr>
            </w:pPr>
          </w:p>
        </w:tc>
        <w:tc>
          <w:tcPr>
            <w:tcW w:w="3440" w:type="dxa"/>
            <w:vAlign w:val="bottom"/>
            <w:tcBorders>
              <w:bottom w:val="single" w:sz="8" w:color="0000FF"/>
            </w:tcBorders>
            <w:gridSpan w:val="8"/>
          </w:tcPr>
          <w:p>
            <w:pPr>
              <w:spacing w:after="0" w:line="190"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Amended and Restated 401(k) Restoration Plan</w:t>
              </w:r>
            </w:hyperlink>
          </w:p>
        </w:tc>
        <w:tc>
          <w:tcPr>
            <w:tcW w:w="1960" w:type="dxa"/>
            <w:vAlign w:val="bottom"/>
            <w:gridSpan w:val="32"/>
          </w:tcPr>
          <w:p>
            <w:pPr>
              <w:spacing w:after="0"/>
              <w:rPr>
                <w:sz w:val="16"/>
                <w:szCs w:val="16"/>
                <w:color w:val="auto"/>
              </w:rPr>
            </w:pPr>
          </w:p>
        </w:tc>
        <w:tc>
          <w:tcPr>
            <w:tcW w:w="940" w:type="dxa"/>
            <w:vAlign w:val="bottom"/>
            <w:gridSpan w:val="2"/>
          </w:tcPr>
          <w:p>
            <w:pPr>
              <w:spacing w:after="0" w:line="190" w:lineRule="exact"/>
              <w:rPr>
                <w:sz w:val="20"/>
                <w:szCs w:val="20"/>
                <w:color w:val="auto"/>
              </w:rPr>
            </w:pPr>
            <w:r>
              <w:rPr>
                <w:rFonts w:ascii="Arial" w:cs="Arial" w:eastAsia="Arial" w:hAnsi="Arial"/>
                <w:sz w:val="18"/>
                <w:szCs w:val="18"/>
                <w:color w:val="auto"/>
              </w:rPr>
              <w:t>001-15989</w:t>
            </w:r>
          </w:p>
        </w:tc>
        <w:tc>
          <w:tcPr>
            <w:tcW w:w="2160" w:type="dxa"/>
            <w:vAlign w:val="bottom"/>
            <w:gridSpan w:val="4"/>
          </w:tcPr>
          <w:p>
            <w:pPr>
              <w:ind w:left="180"/>
              <w:spacing w:after="0" w:line="190" w:lineRule="exact"/>
              <w:rPr>
                <w:sz w:val="20"/>
                <w:szCs w:val="20"/>
                <w:color w:val="auto"/>
              </w:rPr>
            </w:pPr>
            <w:r>
              <w:rPr>
                <w:rFonts w:ascii="Arial" w:cs="Arial" w:eastAsia="Arial" w:hAnsi="Arial"/>
                <w:sz w:val="18"/>
                <w:szCs w:val="18"/>
                <w:color w:val="auto"/>
              </w:rPr>
              <w:t>Annual Report on Form</w:t>
            </w:r>
          </w:p>
        </w:tc>
        <w:tc>
          <w:tcPr>
            <w:tcW w:w="1800" w:type="dxa"/>
            <w:vAlign w:val="bottom"/>
            <w:gridSpan w:val="2"/>
          </w:tcPr>
          <w:p>
            <w:pPr>
              <w:spacing w:after="0" w:line="190" w:lineRule="exact"/>
              <w:rPr>
                <w:sz w:val="20"/>
                <w:szCs w:val="20"/>
                <w:color w:val="auto"/>
              </w:rPr>
            </w:pPr>
            <w:r>
              <w:rPr>
                <w:rFonts w:ascii="Arial" w:cs="Arial" w:eastAsia="Arial" w:hAnsi="Arial"/>
                <w:sz w:val="18"/>
                <w:szCs w:val="18"/>
                <w:color w:val="auto"/>
              </w:rPr>
              <w:t>March 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40" w:type="dxa"/>
            <w:vAlign w:val="bottom"/>
            <w:gridSpan w:val="17"/>
            <w:vMerge w:val="restart"/>
          </w:tcPr>
          <w:p>
            <w:pPr>
              <w:ind w:left="460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gridSpan w:val="17"/>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20"/>
        <w:spacing w:after="0"/>
        <w:rPr>
          <w:sz w:val="20"/>
          <w:szCs w:val="20"/>
          <w:color w:val="auto"/>
        </w:rPr>
      </w:pPr>
      <w:r>
        <w:rPr>
          <w:rFonts w:ascii="Arial" w:cs="Arial" w:eastAsia="Arial" w:hAnsi="Arial"/>
          <w:sz w:val="14"/>
          <w:szCs w:val="14"/>
          <w:b w:val="1"/>
          <w:bCs w:val="1"/>
          <w:u w:val="single" w:color="auto"/>
          <w:color w:val="auto"/>
        </w:rPr>
        <w:t>Incorporated by Reference from:</w:t>
      </w:r>
    </w:p>
    <w:p>
      <w:pPr>
        <w:spacing w:after="0" w:line="42" w:lineRule="exact"/>
        <w:rPr>
          <w:sz w:val="20"/>
          <w:szCs w:val="20"/>
          <w:color w:val="auto"/>
        </w:rPr>
      </w:pPr>
    </w:p>
    <w:p>
      <w:pPr>
        <w:ind w:left="20"/>
        <w:spacing w:after="0"/>
        <w:tabs>
          <w:tab w:leader="none" w:pos="920" w:val="left"/>
          <w:tab w:leader="none" w:pos="6300" w:val="left"/>
          <w:tab w:leader="none" w:pos="7440" w:val="left"/>
          <w:tab w:leader="none" w:pos="94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File Number</w:t>
      </w:r>
      <w:r>
        <w:rPr>
          <w:sz w:val="20"/>
          <w:szCs w:val="20"/>
          <w:color w:val="auto"/>
        </w:rPr>
        <w:tab/>
      </w:r>
      <w:r>
        <w:rPr>
          <w:rFonts w:ascii="Arial" w:cs="Arial" w:eastAsia="Arial" w:hAnsi="Arial"/>
          <w:sz w:val="14"/>
          <w:szCs w:val="14"/>
          <w:b w:val="1"/>
          <w:bCs w:val="1"/>
          <w:u w:val="single" w:color="auto"/>
          <w:color w:val="auto"/>
        </w:rPr>
        <w:t>Filing Type</w:t>
      </w:r>
      <w:r>
        <w:rPr>
          <w:sz w:val="20"/>
          <w:szCs w:val="20"/>
          <w:color w:val="auto"/>
        </w:rPr>
        <w:tab/>
      </w:r>
      <w:r>
        <w:rPr>
          <w:rFonts w:ascii="Arial" w:cs="Arial" w:eastAsia="Arial" w:hAnsi="Arial"/>
          <w:sz w:val="13"/>
          <w:szCs w:val="13"/>
          <w:b w:val="1"/>
          <w:bCs w:val="1"/>
          <w:u w:val="single" w:color="auto"/>
          <w:color w:val="auto"/>
        </w:rPr>
        <w:t>Filing Date</w:t>
      </w:r>
    </w:p>
    <w:p>
      <w:pPr>
        <w:sectPr>
          <w:pgSz w:w="11900" w:h="16838" w:orient="portrait"/>
          <w:cols w:equalWidth="0" w:num="1">
            <w:col w:w="10800"/>
          </w:cols>
          <w:pgMar w:left="320" w:top="118" w:right="779" w:bottom="1440" w:gutter="0" w:footer="0" w:header="0"/>
        </w:sectPr>
      </w:pP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5380" w:type="dxa"/>
            <w:vAlign w:val="bottom"/>
            <w:gridSpan w:val="3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Directors Deferred Compensation Plan</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001-15989</w:t>
            </w: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5380" w:type="dxa"/>
            <w:vAlign w:val="bottom"/>
            <w:gridSpan w:val="37"/>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Endo International plc Amended and Restated Employee Stock Purchase</w:t>
              </w:r>
            </w:hyperlink>
          </w:p>
        </w:tc>
        <w:tc>
          <w:tcPr>
            <w:tcW w:w="860" w:type="dxa"/>
            <w:vAlign w:val="bottom"/>
          </w:tcPr>
          <w:p>
            <w:pPr>
              <w:spacing w:after="0"/>
              <w:rPr>
                <w:sz w:val="20"/>
                <w:szCs w:val="20"/>
                <w:color w:val="auto"/>
              </w:rPr>
            </w:pPr>
            <w:r>
              <w:rPr>
                <w:rFonts w:ascii="Arial" w:cs="Arial" w:eastAsia="Arial" w:hAnsi="Arial"/>
                <w:sz w:val="18"/>
                <w:szCs w:val="18"/>
                <w:color w:val="auto"/>
                <w:w w:val="87"/>
              </w:rPr>
              <w:t>333-194253</w:t>
            </w:r>
          </w:p>
        </w:tc>
      </w:tr>
      <w:tr>
        <w:trPr>
          <w:trHeight w:val="156"/>
        </w:trPr>
        <w:tc>
          <w:tcPr>
            <w:tcW w:w="920" w:type="dxa"/>
            <w:vAlign w:val="bottom"/>
          </w:tcPr>
          <w:p>
            <w:pPr>
              <w:spacing w:after="0"/>
              <w:rPr>
                <w:sz w:val="13"/>
                <w:szCs w:val="13"/>
                <w:color w:val="auto"/>
              </w:rPr>
            </w:pPr>
          </w:p>
        </w:tc>
        <w:tc>
          <w:tcPr>
            <w:tcW w:w="52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5380" w:type="dxa"/>
            <w:vAlign w:val="bottom"/>
            <w:gridSpan w:val="37"/>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Amendment and Restatement Agreement, dated as of March 25, 2021, by</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6"/>
        </w:trPr>
        <w:tc>
          <w:tcPr>
            <w:tcW w:w="920" w:type="dxa"/>
            <w:vAlign w:val="bottom"/>
          </w:tcPr>
          <w:p>
            <w:pPr>
              <w:spacing w:after="0"/>
              <w:rPr>
                <w:sz w:val="13"/>
                <w:szCs w:val="13"/>
                <w:color w:val="auto"/>
              </w:rPr>
            </w:pPr>
          </w:p>
        </w:tc>
        <w:tc>
          <w:tcPr>
            <w:tcW w:w="5340" w:type="dxa"/>
            <w:vAlign w:val="bottom"/>
            <w:tcBorders>
              <w:top w:val="single" w:sz="8" w:color="0000FF"/>
            </w:tcBorders>
            <w:gridSpan w:val="35"/>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and among Endo International plc, Endo Luxembourg Finance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280" w:type="dxa"/>
            <w:vAlign w:val="bottom"/>
            <w:tcBorders>
              <w:top w:val="single" w:sz="8" w:color="0000FF"/>
            </w:tcBorders>
            <w:gridSpan w:val="32"/>
          </w:tcPr>
          <w:p>
            <w:pPr>
              <w:spacing w:after="0" w:line="169"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I S.à r.l., Endo LLC, the lenders and other parties party thereto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JPMorgan Chase Bank, N.A. as administrative agent, issuing bank</w:t>
              </w:r>
            </w:hyperlink>
          </w:p>
        </w:tc>
        <w:tc>
          <w:tcPr>
            <w:tcW w:w="20" w:type="dxa"/>
            <w:vAlign w:val="bottom"/>
            <w:tcBorders>
              <w:bottom w:val="single" w:sz="8" w:color="0000FF"/>
            </w:tcBorders>
          </w:tcPr>
          <w:p>
            <w:pPr>
              <w:spacing w:after="0"/>
              <w:rPr>
                <w:sz w:val="13"/>
                <w:szCs w:val="13"/>
                <w:color w:val="auto"/>
              </w:rPr>
            </w:pPr>
          </w:p>
        </w:tc>
        <w:tc>
          <w:tcPr>
            <w:tcW w:w="280" w:type="dxa"/>
            <w:vAlign w:val="bottom"/>
            <w:tcBorders>
              <w:bottom w:val="single" w:sz="8" w:color="0000FF"/>
            </w:tcBorders>
            <w:gridSpan w:val="5"/>
          </w:tcPr>
          <w:p>
            <w:pPr>
              <w:ind w:left="20"/>
              <w:spacing w:after="0" w:line="156" w:lineRule="exact"/>
              <w:rPr>
                <w:rFonts w:ascii="Arial" w:cs="Arial" w:eastAsia="Arial" w:hAnsi="Arial"/>
                <w:sz w:val="18"/>
                <w:szCs w:val="18"/>
                <w:color w:val="0000FF"/>
                <w:w w:val="79"/>
              </w:rPr>
            </w:pPr>
            <w:hyperlink r:id="rId112">
              <w:r>
                <w:rPr>
                  <w:rFonts w:ascii="Arial" w:cs="Arial" w:eastAsia="Arial" w:hAnsi="Arial"/>
                  <w:sz w:val="18"/>
                  <w:szCs w:val="18"/>
                  <w:color w:val="0000FF"/>
                  <w:w w:val="79"/>
                </w:rPr>
                <w:t>and</w:t>
              </w:r>
            </w:hyperlink>
          </w:p>
        </w:tc>
        <w:tc>
          <w:tcPr>
            <w:tcW w:w="28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5380" w:type="dxa"/>
            <w:vAlign w:val="bottom"/>
            <w:gridSpan w:val="37"/>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swingline lender, which amends and restates the Credit Agreement, dated</w:t>
              </w:r>
            </w:hyperlink>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30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112">
              <w:r>
                <w:rPr>
                  <w:rFonts w:ascii="Arial" w:cs="Arial" w:eastAsia="Arial" w:hAnsi="Arial"/>
                  <w:sz w:val="18"/>
                  <w:szCs w:val="18"/>
                  <w:color w:val="0000FF"/>
                </w:rPr>
                <w:t>as of April 27, 2017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5060" w:type="dxa"/>
            <w:vAlign w:val="bottom"/>
            <w:tcBorders>
              <w:bottom w:val="single" w:sz="8" w:color="0000FF"/>
            </w:tcBorders>
            <w:gridSpan w:val="23"/>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Collateral Trust Agreement, dated as of April 27, 2017, by and among</w:t>
              </w:r>
            </w:hyperlink>
          </w:p>
        </w:tc>
        <w:tc>
          <w:tcPr>
            <w:tcW w:w="320" w:type="dxa"/>
            <w:vAlign w:val="bottom"/>
            <w:gridSpan w:val="14"/>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6"/>
        </w:trPr>
        <w:tc>
          <w:tcPr>
            <w:tcW w:w="920" w:type="dxa"/>
            <w:vAlign w:val="bottom"/>
          </w:tcPr>
          <w:p>
            <w:pPr>
              <w:spacing w:after="0"/>
              <w:rPr>
                <w:sz w:val="13"/>
                <w:szCs w:val="13"/>
                <w:color w:val="auto"/>
              </w:rPr>
            </w:pPr>
          </w:p>
        </w:tc>
        <w:tc>
          <w:tcPr>
            <w:tcW w:w="5380" w:type="dxa"/>
            <w:vAlign w:val="bottom"/>
            <w:gridSpan w:val="37"/>
          </w:tcPr>
          <w:p>
            <w:pPr>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Endo International plc, certain subsidiaries of Endo International plc as</w:t>
              </w:r>
            </w:hyperlink>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88"/>
              </w:rPr>
            </w:pPr>
            <w:hyperlink r:id="rId113">
              <w:r>
                <w:rPr>
                  <w:rFonts w:ascii="Arial" w:cs="Arial" w:eastAsia="Arial" w:hAnsi="Arial"/>
                  <w:sz w:val="18"/>
                  <w:szCs w:val="18"/>
                  <w:color w:val="0000FF"/>
                  <w:w w:val="88"/>
                </w:rPr>
                <w:t>borrowers, Par Pharmaceutical, Inc., certain other grantors party thereto,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5220" w:type="dxa"/>
            <w:vAlign w:val="bottom"/>
            <w:tcBorders>
              <w:bottom w:val="single" w:sz="8" w:color="0000FF"/>
            </w:tcBorders>
            <w:gridSpan w:val="29"/>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JPMorgan Chase Bank, N.A, as administrative agent, Wells Fargo Bank,</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5240" w:type="dxa"/>
            <w:vAlign w:val="bottom"/>
            <w:gridSpan w:val="30"/>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National Association, as trustee, and Wilmington Trust, National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Association, as collateral trustee</w:t>
              </w:r>
            </w:hyperlink>
          </w:p>
        </w:tc>
        <w:tc>
          <w:tcPr>
            <w:tcW w:w="2340" w:type="dxa"/>
            <w:vAlign w:val="bottom"/>
            <w:tcBorders>
              <w:top w:val="single" w:sz="8" w:color="0000FF"/>
            </w:tcBorders>
            <w:gridSpan w:val="1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5380" w:type="dxa"/>
            <w:vAlign w:val="bottom"/>
            <w:gridSpan w:val="37"/>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Second Lien Collateral Trust Agreement, dated as of June 16, 2020, by</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51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and among Endo International plc, certain subsidiaries of Endo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5380" w:type="dxa"/>
            <w:vAlign w:val="bottom"/>
            <w:gridSpan w:val="37"/>
          </w:tcPr>
          <w:p>
            <w:pPr>
              <w:spacing w:after="0" w:line="169"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International plc as borrowers, Endo Designated Activity Company, Endo</w:t>
              </w:r>
            </w:hyperlink>
          </w:p>
        </w:tc>
        <w:tc>
          <w:tcPr>
            <w:tcW w:w="86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53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Finance LLC, Endo Finco Inc., certain other grantors party thereto,</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484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JPMorgan Chase Bank, N.A, as administrative agent, Wells Fargo</w:t>
              </w:r>
            </w:hyperlink>
          </w:p>
        </w:tc>
        <w:tc>
          <w:tcPr>
            <w:tcW w:w="540" w:type="dxa"/>
            <w:vAlign w:val="bottom"/>
            <w:gridSpan w:val="17"/>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Bank,</w:t>
              </w:r>
            </w:hyperlink>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2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National Association, as trustee, and Wilmington Trust, National</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Association, as collateral trustee</w:t>
              </w:r>
            </w:hyperlink>
          </w:p>
        </w:tc>
        <w:tc>
          <w:tcPr>
            <w:tcW w:w="2340" w:type="dxa"/>
            <w:vAlign w:val="bottom"/>
            <w:tcBorders>
              <w:top w:val="single" w:sz="8" w:color="0000FF"/>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4780" w:type="dxa"/>
            <w:vAlign w:val="bottom"/>
            <w:tcBorders>
              <w:bottom w:val="single" w:sz="8" w:color="0000FF"/>
            </w:tcBorders>
            <w:gridSpan w:val="17"/>
          </w:tcPr>
          <w:p>
            <w:pPr>
              <w:spacing w:after="0"/>
              <w:rPr>
                <w:rFonts w:ascii="Arial" w:cs="Arial" w:eastAsia="Arial" w:hAnsi="Arial"/>
                <w:sz w:val="18"/>
                <w:szCs w:val="18"/>
                <w:color w:val="0000FF"/>
                <w:w w:val="89"/>
              </w:rPr>
            </w:pPr>
            <w:hyperlink r:id="rId115">
              <w:r>
                <w:rPr>
                  <w:rFonts w:ascii="Arial" w:cs="Arial" w:eastAsia="Arial" w:hAnsi="Arial"/>
                  <w:sz w:val="18"/>
                  <w:szCs w:val="18"/>
                  <w:color w:val="0000FF"/>
                  <w:w w:val="89"/>
                </w:rPr>
                <w:t>Intercreditor Agreement, dated as of June 16, 2020, by and among</w:t>
              </w:r>
            </w:hyperlink>
          </w:p>
        </w:tc>
        <w:tc>
          <w:tcPr>
            <w:tcW w:w="600" w:type="dxa"/>
            <w:vAlign w:val="bottom"/>
            <w:gridSpan w:val="20"/>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5380" w:type="dxa"/>
            <w:vAlign w:val="bottom"/>
            <w:gridSpan w:val="37"/>
          </w:tcPr>
          <w:p>
            <w:pPr>
              <w:spacing w:after="0" w:line="156" w:lineRule="exact"/>
              <w:rPr>
                <w:rFonts w:ascii="Arial" w:cs="Arial" w:eastAsia="Arial" w:hAnsi="Arial"/>
                <w:sz w:val="18"/>
                <w:szCs w:val="18"/>
                <w:color w:val="0000FF"/>
                <w:w w:val="96"/>
              </w:rPr>
            </w:pPr>
            <w:hyperlink r:id="rId115">
              <w:r>
                <w:rPr>
                  <w:rFonts w:ascii="Arial" w:cs="Arial" w:eastAsia="Arial" w:hAnsi="Arial"/>
                  <w:sz w:val="18"/>
                  <w:szCs w:val="18"/>
                  <w:color w:val="0000FF"/>
                  <w:w w:val="96"/>
                </w:rPr>
                <w:t>Wilmington Trust, National Association, as first priority representative,</w:t>
              </w:r>
            </w:hyperlink>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516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Wilmington Trust, National Association, as second priority</w:t>
              </w:r>
            </w:hyperlink>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representative, and certain grantors party thereto</w:t>
              </w:r>
            </w:hyperlink>
          </w:p>
        </w:tc>
        <w:tc>
          <w:tcPr>
            <w:tcW w:w="760" w:type="dxa"/>
            <w:vAlign w:val="bottom"/>
            <w:tcBorders>
              <w:top w:val="single" w:sz="8" w:color="0000FF"/>
            </w:tcBorders>
            <w:gridSpan w:val="3"/>
          </w:tcPr>
          <w:p>
            <w:pPr>
              <w:spacing w:after="0"/>
              <w:rPr>
                <w:sz w:val="13"/>
                <w:szCs w:val="13"/>
                <w:color w:val="auto"/>
              </w:rPr>
            </w:pPr>
          </w:p>
        </w:tc>
        <w:tc>
          <w:tcPr>
            <w:tcW w:w="3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5380" w:type="dxa"/>
            <w:vAlign w:val="bottom"/>
            <w:gridSpan w:val="37"/>
          </w:tcPr>
          <w:p>
            <w:pPr>
              <w:spacing w:after="0"/>
              <w:rPr>
                <w:rFonts w:ascii="Arial" w:cs="Arial" w:eastAsia="Arial" w:hAnsi="Arial"/>
                <w:sz w:val="18"/>
                <w:szCs w:val="18"/>
                <w:color w:val="0000FF"/>
              </w:rPr>
            </w:pPr>
            <w:hyperlink r:id="rId116">
              <w:r>
                <w:rPr>
                  <w:rFonts w:ascii="Arial" w:cs="Arial" w:eastAsia="Arial" w:hAnsi="Arial"/>
                  <w:sz w:val="18"/>
                  <w:szCs w:val="18"/>
                  <w:color w:val="0000FF"/>
                </w:rPr>
                <w:t>Supply Agreement, dated June 26, 2008, between Auxilium and</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000-50855</w:t>
            </w:r>
          </w:p>
        </w:tc>
      </w:tr>
      <w:tr>
        <w:trPr>
          <w:trHeight w:val="156"/>
        </w:trPr>
        <w:tc>
          <w:tcPr>
            <w:tcW w:w="920" w:type="dxa"/>
            <w:vAlign w:val="bottom"/>
          </w:tcPr>
          <w:p>
            <w:pPr>
              <w:spacing w:after="0"/>
              <w:rPr>
                <w:sz w:val="13"/>
                <w:szCs w:val="13"/>
                <w:color w:val="auto"/>
              </w:rPr>
            </w:pPr>
          </w:p>
        </w:tc>
        <w:tc>
          <w:tcPr>
            <w:tcW w:w="46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Hollister-Stier Laboratories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5320" w:type="dxa"/>
            <w:vAlign w:val="bottom"/>
            <w:tcBorders>
              <w:bottom w:val="single" w:sz="8" w:color="0000FF"/>
            </w:tcBorders>
            <w:gridSpan w:val="34"/>
          </w:tcPr>
          <w:p>
            <w:pP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Endo International plc Amended and Restated 2015 Stock Incentive Plan</w:t>
              </w:r>
            </w:hyperlink>
          </w:p>
        </w:tc>
        <w:tc>
          <w:tcPr>
            <w:tcW w:w="60" w:type="dxa"/>
            <w:vAlign w:val="bottom"/>
            <w:gridSpan w:val="3"/>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5380" w:type="dxa"/>
            <w:vAlign w:val="bottom"/>
            <w:gridSpan w:val="3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Stock Option Agreement under the Endo International plc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Amended and Restated 2015 Stock Incentive Plan</w:t>
              </w:r>
            </w:hyperlink>
          </w:p>
        </w:tc>
        <w:tc>
          <w:tcPr>
            <w:tcW w:w="1200" w:type="dxa"/>
            <w:vAlign w:val="bottom"/>
            <w:tcBorders>
              <w:top w:val="single" w:sz="8" w:color="0000FF"/>
            </w:tcBorders>
            <w:gridSpan w:val="10"/>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5380" w:type="dxa"/>
            <w:vAlign w:val="bottom"/>
            <w:gridSpan w:val="37"/>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Stock Award Agreement under the Endo International plc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6"/>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Amended and Restated 2015 Stock Incentive Plan</w:t>
              </w:r>
            </w:hyperlink>
          </w:p>
        </w:tc>
        <w:tc>
          <w:tcPr>
            <w:tcW w:w="1160" w:type="dxa"/>
            <w:vAlign w:val="bottom"/>
            <w:tcBorders>
              <w:top w:val="single" w:sz="8" w:color="0000FF"/>
            </w:tcBorders>
            <w:gridSpan w:val="8"/>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5380" w:type="dxa"/>
            <w:vAlign w:val="bottom"/>
            <w:gridSpan w:val="37"/>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Form of Performance Award Agreement under the Endo International plc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Amended and Restated 2015 Stock Incentive Plan</w:t>
              </w:r>
            </w:hyperlink>
          </w:p>
        </w:tc>
        <w:tc>
          <w:tcPr>
            <w:tcW w:w="170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6240" w:type="dxa"/>
            <w:vAlign w:val="bottom"/>
            <w:gridSpan w:val="38"/>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 xml:space="preserve">Form of Long-Term Cash Award Agreement under the Endo International </w:t>
              </w:r>
            </w:hyperlink>
            <w:r>
              <w:rPr>
                <w:rFonts w:ascii="Arial" w:cs="Arial" w:eastAsia="Arial" w:hAnsi="Arial"/>
                <w:sz w:val="18"/>
                <w:szCs w:val="18"/>
                <w:color w:val="000000"/>
                <w:w w:val="92"/>
              </w:rPr>
              <w:t>001-36326</w:t>
            </w:r>
          </w:p>
        </w:tc>
      </w:tr>
      <w:tr>
        <w:trPr>
          <w:trHeight w:val="155"/>
        </w:trPr>
        <w:tc>
          <w:tcPr>
            <w:tcW w:w="9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plc Amended and Restated 2015 Stock Incentive Plan</w:t>
              </w:r>
            </w:hyperlink>
          </w:p>
        </w:tc>
        <w:tc>
          <w:tcPr>
            <w:tcW w:w="1500" w:type="dxa"/>
            <w:vAlign w:val="bottom"/>
            <w:tcBorders>
              <w:top w:val="single" w:sz="8" w:color="0000FF"/>
            </w:tcBorders>
            <w:gridSpan w:val="27"/>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5380" w:type="dxa"/>
            <w:vAlign w:val="bottom"/>
            <w:gridSpan w:val="37"/>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Long-Term Cash Incentive Award Agreement under the</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Amended and Restated 2015 Stock Incentive Plan</w:t>
              </w:r>
            </w:hyperlink>
          </w:p>
        </w:tc>
        <w:tc>
          <w:tcPr>
            <w:tcW w:w="1040" w:type="dxa"/>
            <w:vAlign w:val="bottom"/>
            <w:tcBorders>
              <w:top w:val="single" w:sz="8" w:color="0000FF"/>
            </w:tcBorders>
            <w:gridSpan w:val="6"/>
          </w:tcPr>
          <w:p>
            <w:pPr>
              <w:spacing w:after="0"/>
              <w:rPr>
                <w:sz w:val="13"/>
                <w:szCs w:val="13"/>
                <w:color w:val="auto"/>
              </w:rPr>
            </w:pPr>
          </w:p>
        </w:tc>
        <w:tc>
          <w:tcPr>
            <w:tcW w:w="3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2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5380" w:type="dxa"/>
            <w:vAlign w:val="bottom"/>
            <w:gridSpan w:val="37"/>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Indemnification Agreement with Endo Health Solutions Inc.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4980" w:type="dxa"/>
            <w:vAlign w:val="bottom"/>
            <w:tcBorders>
              <w:top w:val="single" w:sz="8" w:color="0000FF"/>
            </w:tcBorders>
            <w:gridSpan w:val="21"/>
          </w:tcPr>
          <w:p>
            <w:pPr>
              <w:spacing w:after="0"/>
              <w:rPr>
                <w:rFonts w:ascii="Arial" w:cs="Arial" w:eastAsia="Arial" w:hAnsi="Arial"/>
                <w:sz w:val="18"/>
                <w:szCs w:val="18"/>
                <w:color w:val="0000FF"/>
                <w:w w:val="99"/>
              </w:rPr>
            </w:pPr>
            <w:hyperlink r:id="rId124">
              <w:r>
                <w:rPr>
                  <w:rFonts w:ascii="Arial" w:cs="Arial" w:eastAsia="Arial" w:hAnsi="Arial"/>
                  <w:sz w:val="18"/>
                  <w:szCs w:val="18"/>
                  <w:color w:val="0000FF"/>
                  <w:w w:val="99"/>
                </w:rPr>
                <w:t>Form of Indemnification Agreement with Endo International plc</w:t>
              </w:r>
            </w:hyperlink>
          </w:p>
        </w:tc>
        <w:tc>
          <w:tcPr>
            <w:tcW w:w="400" w:type="dxa"/>
            <w:vAlign w:val="bottom"/>
            <w:gridSpan w:val="16"/>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5380" w:type="dxa"/>
            <w:vAlign w:val="bottom"/>
            <w:gridSpan w:val="37"/>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Executive Employment Agreement between Endo Health Solutions Inc.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6"/>
        </w:trPr>
        <w:tc>
          <w:tcPr>
            <w:tcW w:w="920" w:type="dxa"/>
            <w:vAlign w:val="bottom"/>
          </w:tcPr>
          <w:p>
            <w:pPr>
              <w:spacing w:after="0"/>
              <w:rPr>
                <w:sz w:val="13"/>
                <w:szCs w:val="13"/>
                <w:color w:val="auto"/>
              </w:rPr>
            </w:pPr>
          </w:p>
        </w:tc>
        <w:tc>
          <w:tcPr>
            <w:tcW w:w="518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and Blaise Coleman, dated February 19, 2020 and effective March 6,</w:t>
              </w:r>
            </w:hyperlink>
          </w:p>
        </w:tc>
        <w:tc>
          <w:tcPr>
            <w:tcW w:w="2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4"/>
              </w:rPr>
            </w:pPr>
            <w:hyperlink r:id="rId125">
              <w:r>
                <w:rPr>
                  <w:rFonts w:ascii="Arial" w:cs="Arial" w:eastAsia="Arial" w:hAnsi="Arial"/>
                  <w:sz w:val="18"/>
                  <w:szCs w:val="18"/>
                  <w:color w:val="0000FF"/>
                  <w:w w:val="84"/>
                </w:rPr>
                <w:t>2020</w:t>
              </w:r>
            </w:hyperlink>
          </w:p>
        </w:tc>
        <w:tc>
          <w:tcPr>
            <w:tcW w:w="10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5380" w:type="dxa"/>
            <w:vAlign w:val="bottom"/>
            <w:gridSpan w:val="37"/>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Executive Employment Agreement between Endo Health Solutions Inc.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5"/>
        </w:trPr>
        <w:tc>
          <w:tcPr>
            <w:tcW w:w="9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and Patrick Barry, effective April 26, 2020</w:t>
              </w:r>
            </w:hyperlink>
          </w:p>
        </w:tc>
        <w:tc>
          <w:tcPr>
            <w:tcW w:w="2100" w:type="dxa"/>
            <w:vAlign w:val="bottom"/>
            <w:tcBorders>
              <w:top w:val="single" w:sz="8" w:color="0000FF"/>
            </w:tcBorders>
            <w:gridSpan w:val="21"/>
          </w:tcPr>
          <w:p>
            <w:pPr>
              <w:spacing w:after="0"/>
              <w:rPr>
                <w:sz w:val="13"/>
                <w:szCs w:val="13"/>
                <w:color w:val="auto"/>
              </w:rPr>
            </w:pPr>
          </w:p>
        </w:tc>
        <w:tc>
          <w:tcPr>
            <w:tcW w:w="2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5380" w:type="dxa"/>
            <w:vAlign w:val="bottom"/>
            <w:gridSpan w:val="37"/>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Executive Employment Agreement between Endo Health Solutions Inc.</w:t>
              </w:r>
            </w:hyperlink>
          </w:p>
        </w:tc>
        <w:tc>
          <w:tcPr>
            <w:tcW w:w="860" w:type="dxa"/>
            <w:vAlign w:val="bottom"/>
          </w:tcPr>
          <w:p>
            <w:pPr>
              <w:spacing w:after="0"/>
              <w:rPr>
                <w:sz w:val="20"/>
                <w:szCs w:val="20"/>
                <w:color w:val="auto"/>
              </w:rPr>
            </w:pPr>
            <w:r>
              <w:rPr>
                <w:rFonts w:ascii="Arial" w:cs="Arial" w:eastAsia="Arial" w:hAnsi="Arial"/>
                <w:sz w:val="18"/>
                <w:szCs w:val="18"/>
                <w:color w:val="auto"/>
                <w:w w:val="97"/>
              </w:rPr>
              <w:t>001-36326</w:t>
            </w:r>
          </w:p>
        </w:tc>
      </w:tr>
      <w:tr>
        <w:trPr>
          <w:trHeight w:val="156"/>
        </w:trPr>
        <w:tc>
          <w:tcPr>
            <w:tcW w:w="920" w:type="dxa"/>
            <w:vAlign w:val="bottom"/>
          </w:tcPr>
          <w:p>
            <w:pPr>
              <w:spacing w:after="0"/>
              <w:rPr>
                <w:sz w:val="13"/>
                <w:szCs w:val="13"/>
                <w:color w:val="auto"/>
              </w:rPr>
            </w:pPr>
          </w:p>
        </w:tc>
        <w:tc>
          <w:tcPr>
            <w:tcW w:w="518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and Mark T. Bradley, dated February 19, 2020 and effective March 6,</w:t>
              </w:r>
            </w:hyperlink>
          </w:p>
        </w:tc>
        <w:tc>
          <w:tcPr>
            <w:tcW w:w="2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4"/>
              </w:rPr>
            </w:pPr>
            <w:hyperlink r:id="rId127">
              <w:r>
                <w:rPr>
                  <w:rFonts w:ascii="Arial" w:cs="Arial" w:eastAsia="Arial" w:hAnsi="Arial"/>
                  <w:sz w:val="18"/>
                  <w:szCs w:val="18"/>
                  <w:color w:val="0000FF"/>
                  <w:w w:val="84"/>
                </w:rPr>
                <w:t>2020</w:t>
              </w:r>
            </w:hyperlink>
          </w:p>
        </w:tc>
        <w:tc>
          <w:tcPr>
            <w:tcW w:w="10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Annual Report on Form March 1, 2013 10-K</w:t>
      </w:r>
    </w:p>
    <w:p>
      <w:pPr>
        <w:spacing w:after="0" w:line="1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Form S-8</w:t>
      </w:r>
      <w:r>
        <w:rPr>
          <w:sz w:val="20"/>
          <w:szCs w:val="20"/>
          <w:color w:val="auto"/>
        </w:rPr>
        <w:tab/>
      </w:r>
      <w:r>
        <w:rPr>
          <w:rFonts w:ascii="Arial" w:cs="Arial" w:eastAsia="Arial" w:hAnsi="Arial"/>
          <w:sz w:val="16"/>
          <w:szCs w:val="16"/>
          <w:color w:val="auto"/>
        </w:rPr>
        <w:t>February 28, 2014</w:t>
      </w:r>
    </w:p>
    <w:p>
      <w:pPr>
        <w:spacing w:after="0" w:line="21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Current Report on Form 8- March 25, 2021 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Current Report on Form 8- June 16, 2020 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Current Report on Form 8- June 16, 2020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Current Report on Form 8- June 16, 2020 K</w:t>
      </w:r>
    </w:p>
    <w:p>
      <w:pPr>
        <w:spacing w:after="0" w:line="36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Quarterly Report on Form August 8, 2008 10-Q</w:t>
      </w:r>
    </w:p>
    <w:p>
      <w:pPr>
        <w:spacing w:after="0" w:line="1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Current Report on Form 8- June 11, 2020 K</w:t>
      </w:r>
    </w:p>
    <w:p>
      <w:pPr>
        <w:spacing w:after="0" w:line="1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Quarterly Report on Form November 8, 2018 10-Q</w:t>
      </w:r>
    </w:p>
    <w:p>
      <w:pPr>
        <w:spacing w:after="0" w:line="1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Quarterly Report on Form May 7, 2021 10-Q</w:t>
      </w:r>
    </w:p>
    <w:p>
      <w:pPr>
        <w:spacing w:after="0" w:line="1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Quarterly Report on Form May 7, 2021 10-Q</w:t>
      </w:r>
    </w:p>
    <w:p>
      <w:pPr>
        <w:spacing w:after="0" w:line="1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Quarterly Report on Form May 7, 2021 10-Q</w:t>
      </w:r>
    </w:p>
    <w:p>
      <w:pPr>
        <w:spacing w:after="0" w:line="13"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Quarterly Report on Form August 8, 2018 10-Q</w:t>
      </w:r>
    </w:p>
    <w:p>
      <w:pPr>
        <w:spacing w:after="0" w:line="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Annual Report on Form February 29, 2016 10-K</w:t>
      </w:r>
    </w:p>
    <w:p>
      <w:pPr>
        <w:spacing w:after="0" w:line="1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Quarterly Report on Form May 6, 2016 10-Q</w:t>
      </w:r>
    </w:p>
    <w:p>
      <w:pPr>
        <w:spacing w:after="0" w:line="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Annual Report on Form February 26, 2020 10-K</w:t>
      </w:r>
    </w:p>
    <w:p>
      <w:pPr>
        <w:spacing w:after="0" w:line="18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Quarterly Report on Form May 7, 2020 10-Q</w:t>
      </w:r>
    </w:p>
    <w:p>
      <w:pPr>
        <w:spacing w:after="0" w:line="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Annual Report on Form February 26, 2020 10-K</w:t>
      </w:r>
    </w:p>
    <w:p>
      <w:pPr>
        <w:spacing w:after="0" w:line="362" w:lineRule="exact"/>
        <w:rPr>
          <w:sz w:val="20"/>
          <w:szCs w:val="20"/>
          <w:color w:val="auto"/>
        </w:rPr>
      </w:pPr>
    </w:p>
    <w:p>
      <w:pPr>
        <w:sectPr>
          <w:pgSz w:w="11900" w:h="16838" w:orient="portrait"/>
          <w:cols w:equalWidth="0" w:num="2">
            <w:col w:w="7180" w:space="280"/>
            <w:col w:w="3340"/>
          </w:cols>
          <w:pgMar w:left="320" w:top="118" w:right="779" w:bottom="1440" w:gutter="0" w:footer="0" w:header="0"/>
          <w:type w:val="continuous"/>
        </w:sectPr>
      </w:pPr>
    </w:p>
    <w:p>
      <w:pPr>
        <w:spacing w:after="0" w:line="33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2"/>
          <w:szCs w:val="12"/>
          <w:b w:val="1"/>
          <w:bCs w:val="1"/>
          <w:u w:val="single" w:color="auto"/>
          <w:color w:val="0000FF"/>
        </w:rPr>
        <w:t>Table of Contents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gridSpan w:val="26"/>
          </w:tcPr>
          <w:p>
            <w:pPr>
              <w:spacing w:after="0"/>
              <w:rPr>
                <w:sz w:val="14"/>
                <w:szCs w:val="14"/>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Executive Employment Agreement between Endo Health Solutions Inc.</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and Matthew Maletta, effective February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Amendment, dated as of August 13, 2022, to Executive Employment</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Agreement between Endo Health Solutions Inc. and Blaise Coleman,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20" w:type="dxa"/>
            <w:vAlign w:val="bottom"/>
            <w:gridSpan w:val="22"/>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effective March 6, 2020</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18"/>
                <w:szCs w:val="18"/>
                <w:color w:val="auto"/>
              </w:rPr>
            </w:pPr>
          </w:p>
        </w:tc>
        <w:tc>
          <w:tcPr>
            <w:tcW w:w="5300" w:type="dxa"/>
            <w:vAlign w:val="bottom"/>
            <w:gridSpan w:val="30"/>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Amendment, dated as of August 13, 2022, to Executive Employment</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8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Agreement between Endo Health Solutions Inc. and Patrick Barry,</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effective April 26, 2020</w:t>
              </w:r>
            </w:hyperlink>
          </w:p>
        </w:tc>
        <w:tc>
          <w:tcPr>
            <w:tcW w:w="30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18"/>
                <w:szCs w:val="18"/>
                <w:color w:val="auto"/>
              </w:rPr>
            </w:pPr>
          </w:p>
        </w:tc>
        <w:tc>
          <w:tcPr>
            <w:tcW w:w="5300" w:type="dxa"/>
            <w:vAlign w:val="bottom"/>
            <w:gridSpan w:val="30"/>
          </w:tcPr>
          <w:p>
            <w:pPr>
              <w:spacing w:after="0"/>
              <w:rPr>
                <w:rFonts w:ascii="Arial" w:cs="Arial" w:eastAsia="Arial" w:hAnsi="Arial"/>
                <w:sz w:val="18"/>
                <w:szCs w:val="18"/>
                <w:color w:val="0000FF"/>
                <w:w w:val="96"/>
              </w:rPr>
            </w:pPr>
            <w:hyperlink r:id="rId132">
              <w:r>
                <w:rPr>
                  <w:rFonts w:ascii="Arial" w:cs="Arial" w:eastAsia="Arial" w:hAnsi="Arial"/>
                  <w:sz w:val="18"/>
                  <w:szCs w:val="18"/>
                  <w:color w:val="0000FF"/>
                  <w:w w:val="96"/>
                </w:rPr>
                <w:t>Amendment, dated as of August 13, 2022, to Executive Employment</w:t>
              </w:r>
            </w:hyperlink>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Agreement between Endo Health Solutions Inc. and Mark T. Bradley,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23"/>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effective March 6, 2020</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18"/>
                <w:szCs w:val="18"/>
                <w:color w:val="auto"/>
              </w:rPr>
            </w:pPr>
          </w:p>
        </w:tc>
        <w:tc>
          <w:tcPr>
            <w:tcW w:w="5300" w:type="dxa"/>
            <w:vAlign w:val="bottom"/>
            <w:gridSpan w:val="30"/>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Amendment, dated as of August 13, 2022, to Executive Employment</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Agreement between Endo Health Solutions Inc. and Matthew Maletta,</w:t>
              </w:r>
            </w:hyperlink>
          </w:p>
        </w:tc>
        <w:tc>
          <w:tcPr>
            <w:tcW w:w="80" w:type="dxa"/>
            <w:vAlign w:val="bottom"/>
            <w:tcBorders>
              <w:bottom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0000FF"/>
            </w:tcBorders>
            <w:gridSpan w:val="10"/>
          </w:tcPr>
          <w:p>
            <w:pPr>
              <w:spacing w:after="0" w:line="169"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effective February 13, 2021</w:t>
              </w:r>
            </w:hyperlink>
          </w:p>
        </w:tc>
        <w:tc>
          <w:tcPr>
            <w:tcW w:w="3080" w:type="dxa"/>
            <w:vAlign w:val="bottom"/>
            <w:gridSpan w:val="14"/>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18"/>
                <w:szCs w:val="18"/>
                <w:color w:val="auto"/>
              </w:rPr>
            </w:pPr>
          </w:p>
        </w:tc>
        <w:tc>
          <w:tcPr>
            <w:tcW w:w="5300" w:type="dxa"/>
            <w:vAlign w:val="bottom"/>
            <w:gridSpan w:val="30"/>
          </w:tcPr>
          <w:p>
            <w:pPr>
              <w:spacing w:after="0"/>
              <w:rPr>
                <w:rFonts w:ascii="Arial" w:cs="Arial" w:eastAsia="Arial" w:hAnsi="Arial"/>
                <w:sz w:val="18"/>
                <w:szCs w:val="18"/>
                <w:color w:val="0000FF"/>
              </w:rPr>
            </w:pPr>
            <w:hyperlink r:id="rId134">
              <w:r>
                <w:rPr>
                  <w:rFonts w:ascii="Arial" w:cs="Arial" w:eastAsia="Arial" w:hAnsi="Arial"/>
                  <w:sz w:val="18"/>
                  <w:szCs w:val="18"/>
                  <w:color w:val="0000FF"/>
                </w:rPr>
                <w:t>Retention Agreement between Endo and Blaise Coleman, dated</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November 1, 2021</w:t>
              </w:r>
            </w:hyperlink>
          </w:p>
        </w:tc>
        <w:tc>
          <w:tcPr>
            <w:tcW w:w="32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rPr>
            </w:pPr>
            <w:hyperlink r:id="rId135">
              <w:r>
                <w:rPr>
                  <w:rFonts w:ascii="Arial" w:cs="Arial" w:eastAsia="Arial" w:hAnsi="Arial"/>
                  <w:sz w:val="18"/>
                  <w:szCs w:val="18"/>
                  <w:color w:val="0000FF"/>
                </w:rPr>
                <w:t>Retention Agreement between Endo and Mark T. Bradley, dated</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November 1, 2021</w:t>
              </w:r>
            </w:hyperlink>
          </w:p>
        </w:tc>
        <w:tc>
          <w:tcPr>
            <w:tcW w:w="3260" w:type="dxa"/>
            <w:vAlign w:val="bottom"/>
            <w:tcBorders>
              <w:top w:val="single" w:sz="8" w:color="0000FF"/>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8"/>
              </w:rPr>
            </w:pPr>
            <w:hyperlink r:id="rId136">
              <w:r>
                <w:rPr>
                  <w:rFonts w:ascii="Arial" w:cs="Arial" w:eastAsia="Arial" w:hAnsi="Arial"/>
                  <w:sz w:val="18"/>
                  <w:szCs w:val="18"/>
                  <w:color w:val="0000FF"/>
                  <w:w w:val="98"/>
                </w:rPr>
                <w:t>Retention Agreement between Endo and Matthew J. Maletta, dated</w:t>
              </w:r>
            </w:hyperlink>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November 1, 2021</w:t>
              </w:r>
            </w:hyperlink>
          </w:p>
        </w:tc>
        <w:tc>
          <w:tcPr>
            <w:tcW w:w="3480" w:type="dxa"/>
            <w:vAlign w:val="bottom"/>
            <w:tcBorders>
              <w:top w:val="single" w:sz="8" w:color="0000FF"/>
            </w:tcBorders>
            <w:gridSpan w:val="12"/>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Retention Agreement between Endo and Patrick Barry, dated November</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37">
              <w:r>
                <w:rPr>
                  <w:rFonts w:ascii="Arial" w:cs="Arial" w:eastAsia="Arial" w:hAnsi="Arial"/>
                  <w:sz w:val="18"/>
                  <w:szCs w:val="18"/>
                  <w:color w:val="0000FF"/>
                  <w:w w:val="86"/>
                </w:rPr>
                <w:t>1, 2021</w:t>
              </w:r>
            </w:hyperlink>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Retention Agreement between Endo and Blaise Coleman, dated August</w:t>
              </w:r>
            </w:hyperlink>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r:id="rId138">
              <w:r>
                <w:rPr>
                  <w:rFonts w:ascii="Arial" w:cs="Arial" w:eastAsia="Arial" w:hAnsi="Arial"/>
                  <w:sz w:val="18"/>
                  <w:szCs w:val="18"/>
                  <w:color w:val="0000FF"/>
                  <w:w w:val="85"/>
                </w:rPr>
                <w:t>11, 2022</w:t>
              </w:r>
            </w:hyperlink>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Retention Agreement between Endo and Mark T. Bradley, dated August</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r:id="rId139">
              <w:r>
                <w:rPr>
                  <w:rFonts w:ascii="Arial" w:cs="Arial" w:eastAsia="Arial" w:hAnsi="Arial"/>
                  <w:sz w:val="18"/>
                  <w:szCs w:val="18"/>
                  <w:color w:val="0000FF"/>
                  <w:w w:val="85"/>
                </w:rPr>
                <w:t>11, 2022</w:t>
              </w:r>
            </w:hyperlink>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Retention Agreement between Endo and Matthew J. Maletta, dated</w:t>
              </w:r>
            </w:hyperlink>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August 11, 2022</w:t>
              </w:r>
            </w:hyperlink>
          </w:p>
        </w:tc>
        <w:tc>
          <w:tcPr>
            <w:tcW w:w="3640" w:type="dxa"/>
            <w:vAlign w:val="bottom"/>
            <w:tcBorders>
              <w:top w:val="single" w:sz="8" w:color="0000FF"/>
            </w:tcBorders>
            <w:gridSpan w:val="14"/>
          </w:tcPr>
          <w:p>
            <w:pPr>
              <w:spacing w:after="0"/>
              <w:rPr>
                <w:sz w:val="13"/>
                <w:szCs w:val="13"/>
                <w:color w:val="auto"/>
              </w:rPr>
            </w:pPr>
          </w:p>
        </w:tc>
        <w:tc>
          <w:tcPr>
            <w:tcW w:w="380" w:type="dxa"/>
            <w:vAlign w:val="bottom"/>
            <w:gridSpan w:val="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Retention Agreement between Endo and Patrick Barry, dated August 11,</w:t>
              </w:r>
            </w:hyperlink>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1">
              <w:r>
                <w:rPr>
                  <w:rFonts w:ascii="Arial" w:cs="Arial" w:eastAsia="Arial" w:hAnsi="Arial"/>
                  <w:sz w:val="18"/>
                  <w:szCs w:val="18"/>
                  <w:color w:val="0000FF"/>
                  <w:w w:val="84"/>
                </w:rPr>
                <w:t>2022</w:t>
              </w:r>
            </w:hyperlink>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9"/>
                <w:szCs w:val="19"/>
                <w:color w:val="auto"/>
              </w:rPr>
            </w:pPr>
          </w:p>
        </w:tc>
        <w:tc>
          <w:tcPr>
            <w:tcW w:w="5300" w:type="dxa"/>
            <w:vAlign w:val="bottom"/>
            <w:gridSpan w:val="30"/>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Restructuring Support Agreement, dated August 16, 2022, by and among</w:t>
              </w:r>
            </w:hyperlink>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the Debtors and the members of the Ad Hoc First Lien Group</w:t>
              </w:r>
            </w:hyperlink>
          </w:p>
        </w:tc>
        <w:tc>
          <w:tcPr>
            <w:tcW w:w="8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19"/>
                <w:szCs w:val="19"/>
                <w:color w:val="auto"/>
              </w:rPr>
            </w:pPr>
          </w:p>
        </w:tc>
        <w:tc>
          <w:tcPr>
            <w:tcW w:w="5300" w:type="dxa"/>
            <w:vAlign w:val="bottom"/>
            <w:gridSpan w:val="30"/>
          </w:tcPr>
          <w:p>
            <w:pPr>
              <w:spacing w:after="0"/>
              <w:rPr>
                <w:sz w:val="20"/>
                <w:szCs w:val="20"/>
                <w:color w:val="auto"/>
              </w:rPr>
            </w:pPr>
            <w:r>
              <w:rPr>
                <w:rFonts w:ascii="Arial" w:cs="Arial" w:eastAsia="Arial" w:hAnsi="Arial"/>
                <w:sz w:val="18"/>
                <w:szCs w:val="18"/>
                <w:color w:val="0000FF"/>
              </w:rPr>
              <w:t>Subsidiaries of the Registrant</w:t>
            </w: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18"/>
                <w:szCs w:val="18"/>
                <w:color w:val="auto"/>
              </w:rPr>
            </w:pPr>
          </w:p>
        </w:tc>
        <w:tc>
          <w:tcPr>
            <w:tcW w:w="21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Power of Attorney</w:t>
            </w:r>
          </w:p>
        </w:tc>
        <w:tc>
          <w:tcPr>
            <w:tcW w:w="3180" w:type="dxa"/>
            <w:vAlign w:val="bottom"/>
            <w:gridSpan w:val="19"/>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5300" w:type="dxa"/>
            <w:vAlign w:val="bottom"/>
            <w:gridSpan w:val="30"/>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8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pursuant to Section 302 of the Sarbanes-Oxley Act of 2002</w:t>
            </w:r>
          </w:p>
        </w:tc>
        <w:tc>
          <w:tcPr>
            <w:tcW w:w="520" w:type="dxa"/>
            <w:vAlign w:val="bottom"/>
            <w:gridSpan w:val="13"/>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Incorporated by Reference from:</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Filing Type</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auto"/>
                <w:w w:val="88"/>
              </w:rPr>
              <w:t>001-36326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6, 2020</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4"/>
        </w:trPr>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4"/>
        </w:trPr>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4"/>
        </w:trPr>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4"/>
        </w:trPr>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March 1,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rPr>
              <w:t>March 1,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rPr>
              <w:t>March 1,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rPr>
              <w:t>March 1,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10-K</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216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5"/>
              </w:rPr>
              <w:t>Quarterly Report on Form</w:t>
            </w:r>
          </w:p>
        </w:tc>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w w:val="90"/>
              </w:rPr>
              <w:t>November 9,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10-Q</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88"/>
        </w:trPr>
        <w:tc>
          <w:tcPr>
            <w:tcW w:w="960" w:type="dxa"/>
            <w:vAlign w:val="bottom"/>
            <w:gridSpan w:val="2"/>
          </w:tcPr>
          <w:p>
            <w:pPr>
              <w:spacing w:after="0" w:line="189" w:lineRule="exact"/>
              <w:rPr>
                <w:sz w:val="20"/>
                <w:szCs w:val="20"/>
                <w:color w:val="auto"/>
              </w:rPr>
            </w:pPr>
            <w:r>
              <w:rPr>
                <w:rFonts w:ascii="Arial" w:cs="Arial" w:eastAsia="Arial" w:hAnsi="Arial"/>
                <w:sz w:val="18"/>
                <w:szCs w:val="18"/>
                <w:color w:val="auto"/>
              </w:rPr>
              <w:t>001-36326</w:t>
            </w:r>
          </w:p>
        </w:tc>
        <w:tc>
          <w:tcPr>
            <w:tcW w:w="3520" w:type="dxa"/>
            <w:vAlign w:val="bottom"/>
            <w:gridSpan w:val="5"/>
          </w:tcPr>
          <w:p>
            <w:pPr>
              <w:ind w:left="180"/>
              <w:spacing w:after="0" w:line="189" w:lineRule="exact"/>
              <w:rPr>
                <w:sz w:val="20"/>
                <w:szCs w:val="20"/>
                <w:color w:val="auto"/>
              </w:rPr>
            </w:pPr>
            <w:r>
              <w:rPr>
                <w:rFonts w:ascii="Arial" w:cs="Arial" w:eastAsia="Arial" w:hAnsi="Arial"/>
                <w:sz w:val="18"/>
                <w:szCs w:val="18"/>
                <w:color w:val="auto"/>
                <w:w w:val="95"/>
              </w:rPr>
              <w:t>Current Report on Form 8- August 17, 2022</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ind w:left="180"/>
              <w:spacing w:after="0"/>
              <w:rPr>
                <w:sz w:val="20"/>
                <w:szCs w:val="20"/>
                <w:color w:val="auto"/>
              </w:rPr>
            </w:pPr>
            <w:r>
              <w:rPr>
                <w:rFonts w:ascii="Arial" w:cs="Arial" w:eastAsia="Arial" w:hAnsi="Arial"/>
                <w:sz w:val="18"/>
                <w:szCs w:val="18"/>
                <w:color w:val="auto"/>
              </w:rPr>
              <w:t>K</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filed herewith</w:t>
      </w:r>
    </w:p>
    <w:p>
      <w:pPr>
        <w:spacing w:after="0" w:line="194" w:lineRule="exact"/>
        <w:rPr>
          <w:sz w:val="20"/>
          <w:szCs w:val="20"/>
          <w:color w:val="auto"/>
        </w:rPr>
      </w:pPr>
    </w:p>
    <w:p>
      <w:pPr>
        <w:sectPr>
          <w:pgSz w:w="11900" w:h="16838" w:orient="portrait"/>
          <w:cols w:equalWidth="0" w:num="2">
            <w:col w:w="6220" w:space="100"/>
            <w:col w:w="49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5320" w:type="dxa"/>
            <w:vAlign w:val="bottom"/>
            <w:gridSpan w:val="8"/>
          </w:tcPr>
          <w:p>
            <w:pPr>
              <w:spacing w:after="0"/>
              <w:rPr>
                <w:sz w:val="20"/>
                <w:szCs w:val="20"/>
                <w:color w:val="auto"/>
              </w:rPr>
            </w:pPr>
            <w:r>
              <w:rPr>
                <w:rFonts w:ascii="Arial" w:cs="Arial" w:eastAsia="Arial" w:hAnsi="Arial"/>
                <w:sz w:val="18"/>
                <w:szCs w:val="18"/>
                <w:color w:val="0000FF"/>
                <w:w w:val="95"/>
              </w:rPr>
              <w:t>Certification of the Chief Financial Officer of Endo pursuant to Section</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filed herewith</w:t>
            </w:r>
          </w:p>
        </w:tc>
      </w:tr>
      <w:tr>
        <w:trPr>
          <w:trHeight w:val="155"/>
        </w:trPr>
        <w:tc>
          <w:tcPr>
            <w:tcW w:w="94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23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80" w:type="dxa"/>
            <w:vAlign w:val="bottom"/>
          </w:tcPr>
          <w:p>
            <w:pPr>
              <w:spacing w:after="0"/>
              <w:rPr>
                <w:sz w:val="13"/>
                <w:szCs w:val="13"/>
                <w:color w:val="auto"/>
              </w:rPr>
            </w:pPr>
          </w:p>
        </w:tc>
      </w:tr>
      <w:tr>
        <w:trPr>
          <w:trHeight w:val="223"/>
        </w:trPr>
        <w:tc>
          <w:tcPr>
            <w:tcW w:w="940" w:type="dxa"/>
            <w:vAlign w:val="bottom"/>
          </w:tcPr>
          <w:p>
            <w:pPr>
              <w:ind w:left="20"/>
              <w:spacing w:after="0"/>
              <w:rPr>
                <w:sz w:val="20"/>
                <w:szCs w:val="20"/>
                <w:color w:val="auto"/>
              </w:rPr>
            </w:pPr>
            <w:r>
              <w:rPr>
                <w:rFonts w:ascii="Arial" w:cs="Arial" w:eastAsia="Arial" w:hAnsi="Arial"/>
                <w:sz w:val="18"/>
                <w:szCs w:val="18"/>
                <w:color w:val="auto"/>
              </w:rPr>
              <w:t>32.1</w:t>
            </w:r>
          </w:p>
        </w:tc>
        <w:tc>
          <w:tcPr>
            <w:tcW w:w="5320" w:type="dxa"/>
            <w:vAlign w:val="bottom"/>
            <w:gridSpan w:val="8"/>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furnished herewith</w:t>
            </w:r>
          </w:p>
        </w:tc>
      </w:tr>
      <w:tr>
        <w:trPr>
          <w:trHeight w:val="155"/>
        </w:trPr>
        <w:tc>
          <w:tcPr>
            <w:tcW w:w="940" w:type="dxa"/>
            <w:vAlign w:val="bottom"/>
          </w:tcPr>
          <w:p>
            <w:pPr>
              <w:spacing w:after="0"/>
              <w:rPr>
                <w:sz w:val="13"/>
                <w:szCs w:val="13"/>
                <w:color w:val="auto"/>
              </w:rPr>
            </w:pPr>
          </w:p>
        </w:tc>
        <w:tc>
          <w:tcPr>
            <w:tcW w:w="478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7"/>
              </w:rPr>
              <w:t>pursuant to 18 U.S.C. Section 1350, as adopted pursuant to Section</w:t>
            </w:r>
          </w:p>
        </w:tc>
        <w:tc>
          <w:tcPr>
            <w:tcW w:w="420" w:type="dxa"/>
            <w:vAlign w:val="bottom"/>
            <w:gridSpan w:val="3"/>
          </w:tcPr>
          <w:p>
            <w:pPr>
              <w:jc w:val="right"/>
              <w:ind w:right="40"/>
              <w:spacing w:after="0" w:line="156" w:lineRule="exact"/>
              <w:rPr>
                <w:sz w:val="20"/>
                <w:szCs w:val="20"/>
                <w:color w:val="auto"/>
              </w:rPr>
            </w:pPr>
            <w:r>
              <w:rPr>
                <w:rFonts w:ascii="Arial" w:cs="Arial" w:eastAsia="Arial" w:hAnsi="Arial"/>
                <w:sz w:val="18"/>
                <w:szCs w:val="18"/>
                <w:color w:val="0000FF"/>
              </w:rPr>
              <w:t>906</w:t>
            </w:r>
          </w:p>
        </w:tc>
        <w:tc>
          <w:tcPr>
            <w:tcW w:w="120" w:type="dxa"/>
            <w:vAlign w:val="bottom"/>
          </w:tcPr>
          <w:p>
            <w:pPr>
              <w:spacing w:after="0"/>
              <w:rPr>
                <w:sz w:val="13"/>
                <w:szCs w:val="13"/>
                <w:color w:val="auto"/>
              </w:rPr>
            </w:pPr>
          </w:p>
        </w:tc>
        <w:tc>
          <w:tcPr>
            <w:tcW w:w="498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264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Pr>
          <w:p>
            <w:pPr>
              <w:spacing w:after="0"/>
              <w:rPr>
                <w:sz w:val="14"/>
                <w:szCs w:val="1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0300" w:type="dxa"/>
            <w:vAlign w:val="bottom"/>
            <w:gridSpan w:val="9"/>
          </w:tcPr>
          <w:p>
            <w:pPr>
              <w:spacing w:after="0"/>
              <w:rPr>
                <w:sz w:val="20"/>
                <w:szCs w:val="20"/>
                <w:color w:val="auto"/>
              </w:rPr>
            </w:pPr>
            <w:r>
              <w:rPr>
                <w:rFonts w:ascii="Arial" w:cs="Arial" w:eastAsia="Arial" w:hAnsi="Arial"/>
                <w:sz w:val="18"/>
                <w:szCs w:val="18"/>
                <w:color w:val="0000FF"/>
              </w:rPr>
              <w:t xml:space="preserve">Certification of the Chief Financial Officer of Endo pursuant to 18 U.S.C. </w:t>
            </w:r>
            <w:r>
              <w:rPr>
                <w:rFonts w:ascii="Arial" w:cs="Arial" w:eastAsia="Arial" w:hAnsi="Arial"/>
                <w:sz w:val="18"/>
                <w:szCs w:val="18"/>
                <w:color w:val="000000"/>
              </w:rPr>
              <w:t>Not applicable; furnished herewith</w:t>
            </w:r>
          </w:p>
        </w:tc>
      </w:tr>
      <w:tr>
        <w:trPr>
          <w:trHeight w:val="155"/>
        </w:trPr>
        <w:tc>
          <w:tcPr>
            <w:tcW w:w="940" w:type="dxa"/>
            <w:vAlign w:val="bottom"/>
          </w:tcPr>
          <w:p>
            <w:pPr>
              <w:spacing w:after="0"/>
              <w:rPr>
                <w:sz w:val="13"/>
                <w:szCs w:val="13"/>
                <w:color w:val="auto"/>
              </w:rPr>
            </w:pPr>
          </w:p>
        </w:tc>
        <w:tc>
          <w:tcPr>
            <w:tcW w:w="53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0"/>
              </w:rPr>
              <w:t>Section 1350, as adopted pursuant to Section 906 of the Sarbanes-Oxley</w:t>
            </w:r>
          </w:p>
        </w:tc>
        <w:tc>
          <w:tcPr>
            <w:tcW w:w="498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52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Act of 2002</w:t>
            </w:r>
          </w:p>
        </w:tc>
        <w:tc>
          <w:tcPr>
            <w:tcW w:w="120" w:type="dxa"/>
            <w:vAlign w:val="bottom"/>
          </w:tcPr>
          <w:p>
            <w:pPr>
              <w:spacing w:after="0"/>
              <w:rPr>
                <w:sz w:val="14"/>
                <w:szCs w:val="14"/>
                <w:color w:val="auto"/>
              </w:rPr>
            </w:pPr>
          </w:p>
        </w:tc>
        <w:tc>
          <w:tcPr>
            <w:tcW w:w="4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5320" w:type="dxa"/>
            <w:vAlign w:val="bottom"/>
            <w:gridSpan w:val="8"/>
          </w:tcPr>
          <w:p>
            <w:pPr>
              <w:spacing w:after="0" w:line="196" w:lineRule="exact"/>
              <w:rPr>
                <w:sz w:val="20"/>
                <w:szCs w:val="20"/>
                <w:color w:val="auto"/>
              </w:rPr>
            </w:pPr>
            <w:r>
              <w:rPr>
                <w:rFonts w:ascii="Arial" w:cs="Arial" w:eastAsia="Arial" w:hAnsi="Arial"/>
                <w:sz w:val="18"/>
                <w:szCs w:val="18"/>
                <w:color w:val="auto"/>
                <w:w w:val="94"/>
              </w:rPr>
              <w:t>iXBRL Instance Document - the instance document does not appear in</w:t>
            </w:r>
          </w:p>
        </w:tc>
        <w:tc>
          <w:tcPr>
            <w:tcW w:w="4980" w:type="dxa"/>
            <w:vAlign w:val="bottom"/>
          </w:tcPr>
          <w:p>
            <w:pPr>
              <w:ind w:left="60"/>
              <w:spacing w:after="0" w:line="196" w:lineRule="exact"/>
              <w:rPr>
                <w:sz w:val="20"/>
                <w:szCs w:val="20"/>
                <w:color w:val="auto"/>
              </w:rPr>
            </w:pPr>
            <w:r>
              <w:rPr>
                <w:rFonts w:ascii="Arial" w:cs="Arial" w:eastAsia="Arial" w:hAnsi="Arial"/>
                <w:sz w:val="18"/>
                <w:szCs w:val="18"/>
                <w:color w:val="auto"/>
              </w:rPr>
              <w:t>Not applicable; submitted herewith</w:t>
            </w:r>
          </w:p>
        </w:tc>
      </w:tr>
      <w:tr>
        <w:trPr>
          <w:trHeight w:val="188"/>
        </w:trPr>
        <w:tc>
          <w:tcPr>
            <w:tcW w:w="940" w:type="dxa"/>
            <w:vAlign w:val="bottom"/>
          </w:tcPr>
          <w:p>
            <w:pPr>
              <w:spacing w:after="0"/>
              <w:rPr>
                <w:sz w:val="16"/>
                <w:szCs w:val="16"/>
                <w:color w:val="auto"/>
              </w:rPr>
            </w:pPr>
          </w:p>
        </w:tc>
        <w:tc>
          <w:tcPr>
            <w:tcW w:w="5320" w:type="dxa"/>
            <w:vAlign w:val="bottom"/>
            <w:gridSpan w:val="8"/>
          </w:tcPr>
          <w:p>
            <w:pPr>
              <w:spacing w:after="0" w:line="189" w:lineRule="exact"/>
              <w:rPr>
                <w:sz w:val="20"/>
                <w:szCs w:val="20"/>
                <w:color w:val="auto"/>
              </w:rPr>
            </w:pPr>
            <w:r>
              <w:rPr>
                <w:rFonts w:ascii="Arial" w:cs="Arial" w:eastAsia="Arial" w:hAnsi="Arial"/>
                <w:sz w:val="18"/>
                <w:szCs w:val="18"/>
                <w:color w:val="auto"/>
                <w:w w:val="93"/>
              </w:rPr>
              <w:t>the interactive data file because its XBRL tags are embedded within the</w:t>
            </w:r>
          </w:p>
        </w:tc>
        <w:tc>
          <w:tcPr>
            <w:tcW w:w="4980" w:type="dxa"/>
            <w:vAlign w:val="bottom"/>
          </w:tcPr>
          <w:p>
            <w:pPr>
              <w:spacing w:after="0"/>
              <w:rPr>
                <w:sz w:val="16"/>
                <w:szCs w:val="16"/>
                <w:color w:val="auto"/>
              </w:rPr>
            </w:pPr>
          </w:p>
        </w:tc>
      </w:tr>
      <w:tr>
        <w:trPr>
          <w:trHeight w:val="229"/>
        </w:trPr>
        <w:tc>
          <w:tcPr>
            <w:tcW w:w="940" w:type="dxa"/>
            <w:vAlign w:val="bottom"/>
          </w:tcPr>
          <w:p>
            <w:pPr>
              <w:spacing w:after="0"/>
              <w:rPr>
                <w:sz w:val="19"/>
                <w:szCs w:val="19"/>
                <w:color w:val="auto"/>
              </w:rPr>
            </w:pPr>
          </w:p>
        </w:tc>
        <w:tc>
          <w:tcPr>
            <w:tcW w:w="5320" w:type="dxa"/>
            <w:vAlign w:val="bottom"/>
            <w:gridSpan w:val="8"/>
          </w:tcPr>
          <w:p>
            <w:pPr>
              <w:spacing w:after="0"/>
              <w:rPr>
                <w:sz w:val="20"/>
                <w:szCs w:val="20"/>
                <w:color w:val="auto"/>
              </w:rPr>
            </w:pPr>
            <w:r>
              <w:rPr>
                <w:rFonts w:ascii="Arial" w:cs="Arial" w:eastAsia="Arial" w:hAnsi="Arial"/>
                <w:sz w:val="18"/>
                <w:szCs w:val="18"/>
                <w:color w:val="auto"/>
              </w:rPr>
              <w:t>inline XBRL document.</w:t>
            </w:r>
          </w:p>
        </w:tc>
        <w:tc>
          <w:tcPr>
            <w:tcW w:w="4980" w:type="dxa"/>
            <w:vAlign w:val="bottom"/>
          </w:tcPr>
          <w:p>
            <w:pPr>
              <w:spacing w:after="0"/>
              <w:rPr>
                <w:sz w:val="19"/>
                <w:szCs w:val="19"/>
                <w:color w:val="auto"/>
              </w:rPr>
            </w:pP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5320" w:type="dxa"/>
            <w:vAlign w:val="bottom"/>
            <w:gridSpan w:val="8"/>
          </w:tcPr>
          <w:p>
            <w:pPr>
              <w:spacing w:after="0"/>
              <w:rPr>
                <w:sz w:val="20"/>
                <w:szCs w:val="20"/>
                <w:color w:val="auto"/>
              </w:rPr>
            </w:pPr>
            <w:r>
              <w:rPr>
                <w:rFonts w:ascii="Arial" w:cs="Arial" w:eastAsia="Arial" w:hAnsi="Arial"/>
                <w:sz w:val="18"/>
                <w:szCs w:val="18"/>
                <w:color w:val="auto"/>
              </w:rPr>
              <w:t>iXBRL Taxonomy Extension Schema Document</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submitted herewith</w:t>
            </w: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5320" w:type="dxa"/>
            <w:vAlign w:val="bottom"/>
            <w:gridSpan w:val="8"/>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submitted herewith</w:t>
            </w: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5320" w:type="dxa"/>
            <w:vAlign w:val="bottom"/>
            <w:gridSpan w:val="8"/>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submitted herewith</w:t>
            </w: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5320" w:type="dxa"/>
            <w:vAlign w:val="bottom"/>
            <w:gridSpan w:val="8"/>
          </w:tcPr>
          <w:p>
            <w:pPr>
              <w:spacing w:after="0"/>
              <w:rPr>
                <w:sz w:val="20"/>
                <w:szCs w:val="20"/>
                <w:color w:val="auto"/>
              </w:rPr>
            </w:pPr>
            <w:r>
              <w:rPr>
                <w:rFonts w:ascii="Arial" w:cs="Arial" w:eastAsia="Arial" w:hAnsi="Arial"/>
                <w:sz w:val="18"/>
                <w:szCs w:val="18"/>
                <w:color w:val="auto"/>
              </w:rPr>
              <w:t>iXBRL Taxonomy Extension Label Linkbase Document</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submitted herewith</w:t>
            </w: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5320" w:type="dxa"/>
            <w:vAlign w:val="bottom"/>
            <w:gridSpan w:val="8"/>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4980" w:type="dxa"/>
            <w:vAlign w:val="bottom"/>
          </w:tcPr>
          <w:p>
            <w:pPr>
              <w:ind w:left="60"/>
              <w:spacing w:after="0"/>
              <w:rPr>
                <w:sz w:val="20"/>
                <w:szCs w:val="20"/>
                <w:color w:val="auto"/>
              </w:rPr>
            </w:pPr>
            <w:r>
              <w:rPr>
                <w:rFonts w:ascii="Arial" w:cs="Arial" w:eastAsia="Arial" w:hAnsi="Arial"/>
                <w:sz w:val="18"/>
                <w:szCs w:val="18"/>
                <w:color w:val="auto"/>
              </w:rPr>
              <w:t>Not applicable; submitted herewith</w:t>
            </w:r>
          </w:p>
        </w:tc>
      </w:tr>
      <w:tr>
        <w:trPr>
          <w:trHeight w:val="742"/>
        </w:trPr>
        <w:tc>
          <w:tcPr>
            <w:tcW w:w="940" w:type="dxa"/>
            <w:vAlign w:val="bottom"/>
          </w:tcPr>
          <w:p>
            <w:pPr>
              <w:spacing w:after="0"/>
              <w:rPr>
                <w:sz w:val="24"/>
                <w:szCs w:val="24"/>
                <w:color w:val="auto"/>
              </w:rPr>
            </w:pPr>
          </w:p>
        </w:tc>
        <w:tc>
          <w:tcPr>
            <w:tcW w:w="4780" w:type="dxa"/>
            <w:vAlign w:val="bottom"/>
            <w:gridSpan w:val="4"/>
          </w:tcPr>
          <w:p>
            <w:pPr>
              <w:ind w:left="4600"/>
              <w:spacing w:after="0"/>
              <w:rPr>
                <w:sz w:val="20"/>
                <w:szCs w:val="20"/>
                <w:color w:val="auto"/>
              </w:rPr>
            </w:pPr>
            <w:r>
              <w:rPr>
                <w:rFonts w:ascii="Arial" w:cs="Arial" w:eastAsia="Arial" w:hAnsi="Arial"/>
                <w:sz w:val="18"/>
                <w:szCs w:val="18"/>
                <w:color w:val="auto"/>
                <w:w w:val="79"/>
              </w:rPr>
              <w:t>81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6320" w:type="dxa"/>
            <w:vAlign w:val="bottom"/>
            <w:gridSpan w:val="6"/>
          </w:tcPr>
          <w:p>
            <w:pPr>
              <w:spacing w:after="0"/>
              <w:rPr>
                <w:sz w:val="20"/>
                <w:szCs w:val="20"/>
                <w:color w:val="auto"/>
              </w:rPr>
            </w:pPr>
            <w:r>
              <w:rPr>
                <w:rFonts w:ascii="Arial" w:cs="Arial" w:eastAsia="Arial" w:hAnsi="Arial"/>
                <w:sz w:val="14"/>
                <w:szCs w:val="14"/>
                <w:b w:val="1"/>
                <w:bCs w:val="1"/>
                <w:color w:val="0000FF"/>
              </w:rPr>
              <w:t>Table of Contents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4"/>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41" w:lineRule="exact"/>
        <w:rPr>
          <w:sz w:val="20"/>
          <w:szCs w:val="20"/>
          <w:color w:val="auto"/>
        </w:rPr>
      </w:pPr>
    </w:p>
    <w:p>
      <w:pPr>
        <w:ind w:left="260" w:hanging="234"/>
        <w:spacing w:after="0" w:line="235" w:lineRule="auto"/>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portions of this exhibit (indicated by asterisks) have been redacted and filed separately with the Securities and Exchange Commission pursuant to a confidential treatment request in accordance with Rule 24b-2 of the Exchange Act.</w:t>
      </w:r>
    </w:p>
    <w:p>
      <w:pPr>
        <w:spacing w:after="0" w:line="13"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Schedules and exhibits have been omitted pursuant to Item 601(a)(5) of Regulation S-K.</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 w:right="7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2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46"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Executive Officer)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6,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40"/>
          </w:cols>
          <w:pgMar w:left="320" w:top="118" w:right="639" w:bottom="1440" w:gutter="0" w:footer="0" w:header="0"/>
        </w:sectPr>
      </w:pPr>
    </w:p>
    <w:p>
      <w:pPr>
        <w:ind w:left="520"/>
        <w:spacing w:after="0"/>
        <w:rPr>
          <w:sz w:val="20"/>
          <w:szCs w:val="20"/>
          <w:color w:val="auto"/>
        </w:rPr>
      </w:pPr>
      <w:r>
        <w:rPr>
          <w:rFonts w:ascii="Arial" w:cs="Arial" w:eastAsia="Arial" w:hAnsi="Arial"/>
          <w:sz w:val="16"/>
          <w:szCs w:val="16"/>
          <w:b w:val="1"/>
          <w:bCs w:val="1"/>
          <w:u w:val="single" w:color="auto"/>
          <w:color w:val="auto"/>
        </w:rPr>
        <w:t>Signature</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Blaise Coleman</w:t>
      </w:r>
    </w:p>
    <w:p>
      <w:pPr>
        <w:spacing w:after="0" w:line="329" w:lineRule="exact"/>
        <w:rPr>
          <w:sz w:val="20"/>
          <w:szCs w:val="20"/>
          <w:color w:val="auto"/>
        </w:rPr>
      </w:pPr>
    </w:p>
    <w:p>
      <w:pPr>
        <w:ind w:left="520" w:right="300"/>
        <w:spacing w:after="0" w:line="422" w:lineRule="auto"/>
        <w:rPr>
          <w:sz w:val="20"/>
          <w:szCs w:val="20"/>
          <w:color w:val="auto"/>
        </w:rPr>
      </w:pPr>
      <w:r>
        <w:rPr>
          <w:rFonts w:ascii="Arial" w:cs="Arial" w:eastAsia="Arial" w:hAnsi="Arial"/>
          <w:sz w:val="15"/>
          <w:szCs w:val="15"/>
          <w:color w:val="auto"/>
        </w:rPr>
        <w:t>/S/ MARK T. BRADLEY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-224155</wp:posOffset>
            </wp:positionV>
            <wp:extent cx="1619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FRANK B. RACITI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Frank B. Raciti</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Mark G. Barberio</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Jennifer M. Chao</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Shane M. Cooke</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Nancy J. Hutson, Ph.D.</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Michael Hyatt</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43815</wp:posOffset>
            </wp:positionV>
            <wp:extent cx="16198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William P. Montague</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52070</wp:posOffset>
            </wp:positionV>
            <wp:extent cx="16198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 Christine Smith, Ph.D.</w:t>
      </w:r>
    </w:p>
    <w:p>
      <w:pPr>
        <w:spacing w:after="0" w:line="343" w:lineRule="exact"/>
        <w:rPr>
          <w:sz w:val="20"/>
          <w:szCs w:val="20"/>
          <w:color w:val="auto"/>
        </w:rPr>
      </w:pPr>
    </w:p>
    <w:p>
      <w:pPr>
        <w:ind w:left="520" w:hanging="499"/>
        <w:spacing w:after="0" w:line="422" w:lineRule="auto"/>
        <w:tabs>
          <w:tab w:leader="none" w:pos="500" w:val="left"/>
        </w:tabs>
        <w:rPr>
          <w:sz w:val="20"/>
          <w:szCs w:val="20"/>
          <w:color w:val="auto"/>
        </w:rPr>
      </w:pPr>
      <w:r>
        <w:rPr>
          <w:rFonts w:ascii="Arial" w:cs="Arial" w:eastAsia="Arial" w:hAnsi="Arial"/>
          <w:sz w:val="15"/>
          <w:szCs w:val="15"/>
          <w:color w:val="auto"/>
        </w:rPr>
        <w:t>*By:</w:t>
        <w:tab/>
        <w:t>/S/ MATTHEW J. MALETTA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-224155</wp:posOffset>
            </wp:positionV>
            <wp:extent cx="16198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630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Title</w:t>
            </w:r>
          </w:p>
        </w:tc>
        <w:tc>
          <w:tcPr>
            <w:tcW w:w="9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6300" w:type="dxa"/>
            <w:vAlign w:val="bottom"/>
            <w:gridSpan w:val="2"/>
          </w:tcPr>
          <w:p>
            <w:pPr>
              <w:spacing w:after="0"/>
              <w:rPr>
                <w:sz w:val="20"/>
                <w:szCs w:val="20"/>
                <w:color w:val="auto"/>
              </w:rPr>
            </w:pPr>
            <w:r>
              <w:rPr>
                <w:rFonts w:ascii="Arial" w:cs="Arial" w:eastAsia="Arial" w:hAnsi="Arial"/>
                <w:sz w:val="16"/>
                <w:szCs w:val="16"/>
                <w:color w:val="auto"/>
              </w:rPr>
              <w:t>Director, President and Chief Executive Officer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577"/>
        </w:trPr>
        <w:tc>
          <w:tcPr>
            <w:tcW w:w="6300" w:type="dxa"/>
            <w:vAlign w:val="bottom"/>
            <w:gridSpan w:val="2"/>
          </w:tcPr>
          <w:p>
            <w:pPr>
              <w:spacing w:after="0"/>
              <w:rPr>
                <w:sz w:val="20"/>
                <w:szCs w:val="20"/>
                <w:color w:val="auto"/>
              </w:rPr>
            </w:pPr>
            <w:r>
              <w:rPr>
                <w:rFonts w:ascii="Arial" w:cs="Arial" w:eastAsia="Arial" w:hAnsi="Arial"/>
                <w:sz w:val="16"/>
                <w:szCs w:val="16"/>
                <w:color w:val="auto"/>
              </w:rPr>
              <w:t>Executive Vice President, Chief Financial Officer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577"/>
        </w:trPr>
        <w:tc>
          <w:tcPr>
            <w:tcW w:w="6300" w:type="dxa"/>
            <w:vAlign w:val="bottom"/>
            <w:gridSpan w:val="2"/>
          </w:tcPr>
          <w:p>
            <w:pPr>
              <w:spacing w:after="0"/>
              <w:rPr>
                <w:sz w:val="20"/>
                <w:szCs w:val="20"/>
                <w:color w:val="auto"/>
              </w:rPr>
            </w:pPr>
            <w:r>
              <w:rPr>
                <w:rFonts w:ascii="Arial" w:cs="Arial" w:eastAsia="Arial" w:hAnsi="Arial"/>
                <w:sz w:val="16"/>
                <w:szCs w:val="16"/>
                <w:color w:val="auto"/>
              </w:rPr>
              <w:t>Vice President, Controller, Chief Accounting Officer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206"/>
        </w:trPr>
        <w:tc>
          <w:tcPr>
            <w:tcW w:w="630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21"/>
        </w:trPr>
        <w:tc>
          <w:tcPr>
            <w:tcW w:w="6300" w:type="dxa"/>
            <w:vAlign w:val="bottom"/>
            <w:gridSpan w:val="2"/>
          </w:tcPr>
          <w:p>
            <w:pPr>
              <w:spacing w:after="0"/>
              <w:rPr>
                <w:sz w:val="20"/>
                <w:szCs w:val="20"/>
                <w:color w:val="auto"/>
              </w:rPr>
            </w:pPr>
            <w:r>
              <w:rPr>
                <w:rFonts w:ascii="Arial" w:cs="Arial" w:eastAsia="Arial" w:hAnsi="Arial"/>
                <w:sz w:val="16"/>
                <w:szCs w:val="16"/>
                <w:color w:val="auto"/>
              </w:rPr>
              <w:t>Chairman and 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69"/>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69"/>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783"/>
        </w:trPr>
        <w:tc>
          <w:tcPr>
            <w:tcW w:w="63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r>
        <w:trPr>
          <w:trHeight w:val="810"/>
        </w:trPr>
        <w:tc>
          <w:tcPr>
            <w:tcW w:w="6300" w:type="dxa"/>
            <w:vAlign w:val="bottom"/>
            <w:gridSpan w:val="2"/>
          </w:tcPr>
          <w:p>
            <w:pPr>
              <w:spacing w:after="0"/>
              <w:rPr>
                <w:sz w:val="20"/>
                <w:szCs w:val="20"/>
                <w:color w:val="auto"/>
              </w:rPr>
            </w:pPr>
            <w:r>
              <w:rPr>
                <w:rFonts w:ascii="Arial" w:cs="Arial" w:eastAsia="Arial" w:hAnsi="Arial"/>
                <w:sz w:val="16"/>
                <w:szCs w:val="16"/>
                <w:color w:val="auto"/>
              </w:rPr>
              <w:t>Attorney-in-fact pursuant to a Power of Attorney filed with this Report as Exhibit 24.1</w:t>
            </w:r>
          </w:p>
        </w:tc>
        <w:tc>
          <w:tcPr>
            <w:tcW w:w="940" w:type="dxa"/>
            <w:vAlign w:val="bottom"/>
            <w:gridSpan w:val="2"/>
          </w:tcPr>
          <w:p>
            <w:pPr>
              <w:spacing w:after="0"/>
              <w:rPr>
                <w:sz w:val="20"/>
                <w:szCs w:val="20"/>
                <w:color w:val="auto"/>
              </w:rPr>
            </w:pPr>
            <w:r>
              <w:rPr>
                <w:rFonts w:ascii="Arial" w:cs="Arial" w:eastAsia="Arial" w:hAnsi="Arial"/>
                <w:sz w:val="16"/>
                <w:szCs w:val="16"/>
                <w:color w:val="auto"/>
                <w:w w:val="89"/>
              </w:rPr>
              <w:t>March 6, 2023</w:t>
            </w:r>
          </w:p>
        </w:tc>
      </w:tr>
    </w:tbl>
    <w:p>
      <w:pPr>
        <w:spacing w:after="0" w:line="600" w:lineRule="exact"/>
        <w:rPr>
          <w:sz w:val="20"/>
          <w:szCs w:val="20"/>
          <w:color w:val="auto"/>
        </w:rPr>
      </w:pPr>
    </w:p>
    <w:p>
      <w:pPr>
        <w:sectPr>
          <w:pgSz w:w="11900" w:h="16838" w:orient="portrait"/>
          <w:cols w:equalWidth="0" w:num="2">
            <w:col w:w="2500" w:space="680"/>
            <w:col w:w="7760"/>
          </w:cols>
          <w:pgMar w:left="320" w:top="118" w:right="639" w:bottom="1440" w:gutter="0" w:footer="0" w:header="0"/>
          <w:type w:val="continuous"/>
        </w:sect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INDEX TO FINANCIAL STATEMENTS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40" w:type="dxa"/>
            <w:vAlign w:val="bottom"/>
            <w:gridSpan w:val="4"/>
          </w:tcPr>
          <w:p>
            <w:pPr>
              <w:jc w:val="right"/>
              <w:spacing w:after="0"/>
              <w:rPr>
                <w:sz w:val="20"/>
                <w:szCs w:val="20"/>
                <w:color w:val="auto"/>
              </w:rPr>
            </w:pPr>
            <w:r>
              <w:rPr>
                <w:rFonts w:ascii="Arial" w:cs="Arial" w:eastAsia="Arial" w:hAnsi="Arial"/>
                <w:sz w:val="17"/>
                <w:szCs w:val="17"/>
                <w:b w:val="1"/>
                <w:bCs w:val="1"/>
                <w:color w:val="auto"/>
              </w:rPr>
              <w:t>Page</w:t>
            </w:r>
          </w:p>
        </w:tc>
      </w:tr>
      <w:tr>
        <w:trPr>
          <w:trHeight w:val="210"/>
        </w:trPr>
        <w:tc>
          <w:tcPr>
            <w:tcW w:w="7760" w:type="dxa"/>
            <w:vAlign w:val="bottom"/>
            <w:gridSpan w:val="9"/>
          </w:tcPr>
          <w:p>
            <w:pPr>
              <w:spacing w:after="0"/>
              <w:rPr>
                <w:sz w:val="20"/>
                <w:szCs w:val="20"/>
                <w:color w:val="auto"/>
              </w:rPr>
            </w:pPr>
            <w:r>
              <w:rPr>
                <w:rFonts w:ascii="Arial" w:cs="Arial" w:eastAsia="Arial" w:hAnsi="Arial"/>
                <w:sz w:val="17"/>
                <w:szCs w:val="17"/>
                <w:color w:val="0000FF"/>
              </w:rPr>
              <w:t>Management’s Report on Internal Control Over Financial Reporting</w:t>
            </w:r>
          </w:p>
        </w:tc>
        <w:tc>
          <w:tcPr>
            <w:tcW w:w="3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0000FF"/>
                <w:w w:val="86"/>
              </w:rPr>
              <w:t>F-2</w:t>
            </w:r>
          </w:p>
        </w:tc>
      </w:tr>
      <w:tr>
        <w:trPr>
          <w:trHeight w:val="209"/>
        </w:trPr>
        <w:tc>
          <w:tcPr>
            <w:tcW w:w="40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w w:val="92"/>
              </w:rPr>
              <w:t>Report of Independent Registered Public Accounting Firm</w:t>
            </w:r>
          </w:p>
        </w:tc>
        <w:tc>
          <w:tcPr>
            <w:tcW w:w="640" w:type="dxa"/>
            <w:vAlign w:val="bottom"/>
            <w:tcBorders>
              <w:top w:val="single" w:sz="8" w:color="0000FF"/>
            </w:tcBorders>
            <w:gridSpan w:val="2"/>
          </w:tcPr>
          <w:p>
            <w:pPr>
              <w:spacing w:after="0"/>
              <w:rPr>
                <w:sz w:val="18"/>
                <w:szCs w:val="18"/>
                <w:color w:val="auto"/>
              </w:rPr>
            </w:pPr>
          </w:p>
        </w:tc>
        <w:tc>
          <w:tcPr>
            <w:tcW w:w="3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7"/>
                <w:szCs w:val="17"/>
                <w:color w:val="0000FF"/>
                <w:w w:val="86"/>
              </w:rPr>
              <w:t>F-3</w:t>
            </w:r>
          </w:p>
        </w:tc>
      </w:tr>
      <w:tr>
        <w:trPr>
          <w:trHeight w:val="210"/>
        </w:trPr>
        <w:tc>
          <w:tcPr>
            <w:tcW w:w="7760" w:type="dxa"/>
            <w:vAlign w:val="bottom"/>
            <w:gridSpan w:val="9"/>
          </w:tcPr>
          <w:p>
            <w:pPr>
              <w:spacing w:after="0"/>
              <w:rPr>
                <w:sz w:val="20"/>
                <w:szCs w:val="20"/>
                <w:color w:val="auto"/>
              </w:rPr>
            </w:pPr>
            <w:r>
              <w:rPr>
                <w:rFonts w:ascii="Arial" w:cs="Arial" w:eastAsia="Arial" w:hAnsi="Arial"/>
                <w:sz w:val="17"/>
                <w:szCs w:val="17"/>
                <w:color w:val="0000FF"/>
              </w:rPr>
              <w:t>Consolidated Balance Sheets</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0000FF"/>
                <w:w w:val="86"/>
              </w:rPr>
              <w:t>F-7</w:t>
            </w:r>
          </w:p>
        </w:tc>
      </w:tr>
      <w:tr>
        <w:trPr>
          <w:trHeight w:val="20"/>
        </w:trPr>
        <w:tc>
          <w:tcPr>
            <w:tcW w:w="19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26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9"/>
              </w:rPr>
              <w:t>Consolidated Statements of Operations</w:t>
            </w:r>
          </w:p>
        </w:tc>
        <w:tc>
          <w:tcPr>
            <w:tcW w:w="5080" w:type="dxa"/>
            <w:vAlign w:val="bottom"/>
            <w:gridSpan w:val="7"/>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F-8</w:t>
            </w:r>
          </w:p>
        </w:tc>
      </w:tr>
      <w:tr>
        <w:trPr>
          <w:trHeight w:val="210"/>
        </w:trPr>
        <w:tc>
          <w:tcPr>
            <w:tcW w:w="40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Consolidated Statements of Comprehensive (Loss) Income</w:t>
            </w:r>
          </w:p>
        </w:tc>
        <w:tc>
          <w:tcPr>
            <w:tcW w:w="372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6"/>
              </w:rPr>
              <w:t>F-9</w:t>
            </w:r>
          </w:p>
        </w:tc>
      </w:tr>
      <w:tr>
        <w:trPr>
          <w:trHeight w:val="210"/>
        </w:trPr>
        <w:tc>
          <w:tcPr>
            <w:tcW w:w="34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1"/>
              </w:rPr>
              <w:t>Consolidated Statements of Shareholders’ Deficit</w:t>
            </w:r>
          </w:p>
        </w:tc>
        <w:tc>
          <w:tcPr>
            <w:tcW w:w="4360" w:type="dxa"/>
            <w:vAlign w:val="bottom"/>
            <w:gridSpan w:val="4"/>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5"/>
              </w:rPr>
              <w:t>F-10</w:t>
            </w:r>
          </w:p>
        </w:tc>
      </w:tr>
      <w:tr>
        <w:trPr>
          <w:trHeight w:val="209"/>
        </w:trPr>
        <w:tc>
          <w:tcPr>
            <w:tcW w:w="27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9"/>
              </w:rPr>
              <w:t>Consolidated Statements of Cash Flows</w:t>
            </w:r>
          </w:p>
        </w:tc>
        <w:tc>
          <w:tcPr>
            <w:tcW w:w="5020" w:type="dxa"/>
            <w:vAlign w:val="bottom"/>
            <w:gridSpan w:val="6"/>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5"/>
              </w:rPr>
              <w:t>F-11</w:t>
            </w:r>
          </w:p>
        </w:tc>
      </w:tr>
      <w:tr>
        <w:trPr>
          <w:trHeight w:val="210"/>
        </w:trPr>
        <w:tc>
          <w:tcPr>
            <w:tcW w:w="3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0"/>
              </w:rPr>
              <w:t>Notes to Consolidated Financial Statements</w:t>
            </w:r>
          </w:p>
        </w:tc>
        <w:tc>
          <w:tcPr>
            <w:tcW w:w="4760" w:type="dxa"/>
            <w:vAlign w:val="bottom"/>
            <w:gridSpan w:val="5"/>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5"/>
              </w:rPr>
              <w:t>F-13</w:t>
            </w: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of Endo International plc is responsible for establishing and maintaining adequate internal control over financial reporting as defined in Rules 13a-15(f) and 15d-15(f) under the Exchange Act, as amended. Endo International plc’s internal control over financial reporting was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Endo International plc’s management assessed the effectiveness of the Company’s internal control over financial reporting as of December 31, 2022.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management’s assessment, as of December 31, 2022,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is effective based on those criteria.</w:t>
      </w:r>
    </w:p>
    <w:p>
      <w:pPr>
        <w:spacing w:after="0" w:line="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Endo International plc’s independent registered public accounting firm has issued its report on the effectiveness of the Company’s internal control over financial reporting as of December 31, 2022. This report appears on page F-3.</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062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Endo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Endo International plc (Debtor-in-Possession) and its subsidiaries (the “Company”) as of December 31, 2022 and 2021, and the related consolidated statements of operations, of comprehensive (loss) income, of shareholders’ deficit and of cash flows for each of the three years in the period ended December 31, 2022, including the related notes and schedule of valuation and qualifying accounts for each of the three years in the period ended December 31, 2022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Notes 1 and 2 to the consolidated financial statements, the Company, together with certain of its direct and indirect subsidiaries, filed voluntary petitions for relief under the Bankruptcy Code, which raises substantial doubt about its ability to continue as a going concern. Management’s plans in regard to this matter are also described in Notes 1 and 2. The consolidated financial statements do not include any adjustments that might result from the outcome of this uncertainty. This matter is also discussed below as a critical audit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 Reserves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described in Note 3 to the consolidated financial statements, the amount of revenue recognized by the Company is equal to the fixed amount of the transaction price, adjusted for management’s estimates of a number of significant variable components including, but not limited to, estimates for chargebacks, rebates, sales incentives and allowances, DSA and other fees for services, returns and allowances, which management collectively refer to as sales deductions. As of December 31, 2022, reserves for sales deductions totaled $600.2 million. These amounts relate primarily to management’s estimates of unsettled obligations for returns and allowances, rebates and chargebacks. The most significant sales deduction reserves relate to returns, wholesaler chargebacks and rebates for the Sterile Injectables and Generic Pharmaceuticals segments. Management estimates the reserves for sales deductions based on factors such as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direct and indirect customers and other competitive factors.</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reserves for sales deductions is a critical audit matter are the significant judgment by management in developing these reserves, which in turn led to a high degree of auditor judgment, subjectivity, and effort in performing procedures and evaluating the reserves, as the reserves are based on direct and indirect customers’ buying patterns and the estimated resulting contractual deduction rates, historical experience, estimated future trends, estimated customer inventory levels and current contract sales terms with direct and indirect customers.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sales deductions, including the Company’s controls over the assumptions used to estimate the corresponding reserves for sales deductions. These procedures also included, among others, (i) developing an independent estimate of the reserves for sales deductions utilizing direct and indirect customers’ buying patterns and the estimated resulting contractual deduction rates, historical experience, estimated future trends, estimated customer inventory levels and current contract sales terms with direct and indirect customers, (ii) comparing the independent estimates to the sales deduction reserves recorded by management, (iii) evaluating management’s estimates in previous years by comparing historical reserves to rebate payments and credits processed in subsequent periods, and (iv) testing actual payments made and amounts credited to both direct and indirect customers to evaluate whether the payments and credits were made in accordance with the contractual and mandated terms of the Company’s rebate programs and returns policy.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 Sterile Injectables Reporting Unit</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described in Notes 3 and 11 to the consolidated financial statements, the Company’s goodwill balance for the Sterile Injectables reporting unit was $523.2 million as of December 31, 2022. An impairment assessment is conducted as of October 1, or more frequently whenever events or changes in circumstances indicate that the asset might be impaired. Management performs the goodwill impairment test by estimating the fair value of the reporting units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As a result of impairment tests performed during the second and third quarters, the Company recognized goodwill impairment charges of $1,845.0 million during the year ended December 31, 2022.</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assessments for the Sterile Injectables reporting unit is a critical audit matter are the significant judgment by management when developing the fair value estimate of the reporting unit, which in turn led to a high degree of auditor judgment, subjectivity and effort in performing procedures and evaluating management’s cash flows and significant assumptions related to future sales, long-term growth rates, gross margins, operating expenses, discount rates and the probability of achieving the estimated cash flows and future economic conditions. In addition, the audit effort involved the use of professionals with specialized skill and knowledge.</w:t>
      </w:r>
    </w:p>
    <w:p>
      <w:pPr>
        <w:spacing w:after="0" w:line="5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identification of triggering events and valuation of the Sterile Injectables reporting unit. These procedures also included, among others, testing management’s process for developing the fair value estimate of the Sterile Injectables reporting unit. Testing management’s process included evaluating the appropriateness of the discounted cash flow models related to cash flow projections, testing the completeness and accuracy of underlying data used in the models, evaluating the reasonableness of the significant assumptions used by management related to future sales, long-term growth rates, gross margins, operating expenses, discount rates and the probability of achieving the estimated cash flows and future economic conditions, and testing the assignment of assets and liabilities to the Sterile Injectables reporting unit. Evaluating management’s assumptions related to future sales, long-term growth rates, gross margins, operating expenses, discount rates and the probability of achieving the estimated cash flows and future economic conditions involved evaluating whether the assumptions used were reasonable considering (i) historical performance of the reporting unit, (ii) industry and economic forecasts and (iii) whether the assumptions were consistent with evidence obtained in other areas of the audit. Professionals with specialized skill and knowledge were used to assist in evaluating the appropriateness of the Company’s discounted cash flow models and evaluating the reasonableness of the discount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Proceedings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As described above and in Notes 2 and 16 to the consolidated financial statements, the Company initiated bankruptcy proceedings during the third quarter of 2022. As disclosed by management, on August 16, 2022, Endo International plc, together with certain of its direct and indirect subsidiaries (the Debtors), filed voluntary petitions for relief under chapter 11 of title 11 of the United States Code (the Bankruptcy Code). As a result of the bankruptcy proceedings, management has applied generally accepted accounting principles applicable to reorganizations in preparing the consolidated financial statements. These accounting principles require that, for periods including and after the filing of a chapter 11 petition, the consolidated financial statements distinguish transactions and events that are directly associated with the reorganization from the ongoing operations of the business. For periods beginning with the third quarter of 2022, pre-petition unsecured and undersecured claims related to the Debtors that may be impacted by the bankruptcy reorganization process in the amount of $9,168.8 million have been classified as liabilities subject to compromise in the consolidated balance sheet as of December 31, 2022. Additionally, certain expenses, gains and losses resulting from and recognized during the bankruptcy proceedings in the amount of $203.0 million are recorded in reorganization items, net in the consolidated statements of operations for the year ended December 31, 2022. In connection with the Restructuring Support Agreement the Company entered into on August 16, 2022, among other things, one or more entities formed in a manner acceptable to an ad hoc group of certain creditors (the Purchaser) will serve as stalking horse bidder as the Company seeks to sell all or substantially all of its assets in a sale pursuant to section 363 of the Bankruptcy Code. The Purchaser’s bid, along with certain resolutions reached in principle announced by the Debtors on March 3, 2023, provides for the establishment by the Purchaser of voluntary opioid trusts for the benefit of certain public, tribal and private opioid claimants in exchange for certain releases to be provided to (among others) the Purchaser and Endo International plc, its subsidiaries and affiliated entities and persons. The trusts would distribute up to a total of $584 million to eligible claimants that opt into the trust agreements by specified participation deadlines. Although the proposed voluntary opioid trusts would be funded by the Purchaser, and not by the Company or any of its subsidiaries, management believes the proposed funding amount represents the best estimate of liability relating to the contingencies associated with various opioid claims against the Company and its subsidiaries. As a result, approximately $453 million in charges were recorded during the year ended December 31, 2022 to adjust the Company’s aggregate opioid liability accrual to approximately $584 million as of December 31, 2022.</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principal considerations for our determination that performing procedures relating to the bankruptcy proceedings is a critical audit matter are a high degree of auditor subjectivity and effort in performing procedures and evaluating audit evidence relating to the accounting and disclosures related to the bankruptcy proceedings and the audit effort involved the use of professionals with specialized skill and knowledge.</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related to management’s accounting for and disclosure of the bankruptcy proceedings. These procedures also included among others, (i) reading the restructuring support agreement and evaluating the reasonableness of management’s assessment of the probable loss in relation to the opioid litigation matters, (ii) testing, for a sample of transactions, the completeness and accuracy of the classification of transactions as liabilities subject to compromise or reorganization items, net, (iii) obtaining and evaluating letters of audit inquiry with internal and external legal counsel related to opioid litigation and the bankruptcy proceedings and (iv) evaluating, on a sample basis, management’s accounting for claims submitted to the bankruptcy court. Professionals with specialized skill and knowledge were used to assist in evaluating the completeness and accuracy of amounts classified as liabilities subject to compromise and reorganization items, net. These procedures also included evaluating the accuracy of the Company’s disclosures with respect to the bankruptcy proceedings.</w:t>
      </w:r>
    </w:p>
    <w:p>
      <w:pPr>
        <w:spacing w:after="0" w:line="19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/s/</w:t>
        <w:tab/>
        <w:t>PricewaterhouseCoopers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6, 2023</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6"/>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1,018,883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1,507,196</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145,358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124,114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493,988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592,019</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274,499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283,552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136,923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200,484</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2,076,768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2,714,586</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438,314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396,712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34,832</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1,352,011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3,197,011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INTANGIBLES, NET</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1,732,935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2,362,823</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60,313</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5,757,937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8,767,415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00" w:type="dxa"/>
            <w:vAlign w:val="bottom"/>
            <w:shd w:val="clear" w:color="auto" w:fill="CCEEFF"/>
          </w:tcPr>
          <w:p>
            <w:pPr>
              <w:ind w:left="2620"/>
              <w:spacing w:after="0"/>
              <w:rPr>
                <w:sz w:val="20"/>
                <w:szCs w:val="20"/>
                <w:color w:val="auto"/>
              </w:rPr>
            </w:pPr>
            <w:r>
              <w:rPr>
                <w:rFonts w:ascii="Arial" w:cs="Arial" w:eastAsia="Arial" w:hAnsi="Arial"/>
                <w:sz w:val="14"/>
                <w:szCs w:val="14"/>
                <w:b w:val="1"/>
                <w:bCs w:val="1"/>
                <w:color w:val="auto"/>
              </w:rPr>
              <w:t>LIABILITIES AND SHAREHOLDERS’ DEFICIT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 and accrued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687,183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836,898</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Current portion of legal settlement accrual</w:t>
            </w:r>
          </w:p>
        </w:tc>
        <w:tc>
          <w:tcPr>
            <w:tcW w:w="10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580,994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200,342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76"/>
        </w:trPr>
        <w:tc>
          <w:tcPr>
            <w:tcW w:w="840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689,627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1,629,962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21,628</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LONG-TERM DEBT, LESS CURRENT PORTION, NET</w:t>
            </w:r>
          </w:p>
        </w:tc>
        <w:tc>
          <w:tcPr>
            <w:tcW w:w="10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8,048,980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33,727</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42,746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277,104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9,168,782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DEFICIT:</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Euro deferred shares, $0.01 par value; 4,000,000 shares authorized and issued at both December 31, 2022 and December 31, 2021</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8"/>
              </w:rPr>
              <w:t>Ordinary shares, $0.0001 par value; 1,000,000,000 shares authorized; 235,208,039 and 233,690,816 shares issued and outstanding at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December 31, 2022 and December 31, 2021, respectively</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8,969,322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8,953,906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(12,904,620)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(9,981,515)</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(226,941)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(216,445)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shareholders’ deficit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(4,162,172)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(1,243,986)</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5,757,937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8,767,415</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3780"/>
              <w:spacing w:after="0"/>
              <w:rPr>
                <w:sz w:val="20"/>
                <w:szCs w:val="20"/>
                <w:color w:val="auto"/>
              </w:rPr>
            </w:pPr>
            <w:r>
              <w:rPr>
                <w:rFonts w:ascii="Arial" w:cs="Arial" w:eastAsia="Arial" w:hAnsi="Arial"/>
                <w:sz w:val="14"/>
                <w:szCs w:val="14"/>
                <w:color w:val="auto"/>
              </w:rPr>
              <w:t>See accompanying Notes to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8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2,318,875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2,993,206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2,903,074</w:t>
            </w: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1,092,499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1,221,064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1,442,511</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777,169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861,760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698,506</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128,033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125,573</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33,329</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478,722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345,495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(19,049)</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Asset impairment charges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2,142,746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414,977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120,344</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16,549</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349,776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562,353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532,939</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202,978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(21,110)</w:t>
            </w:r>
          </w:p>
        </w:tc>
      </w:tr>
      <w:tr>
        <w:trPr>
          <w:trHeight w:val="176"/>
        </w:trPr>
        <w:tc>
          <w:tcPr>
            <w:tcW w:w="6900" w:type="dxa"/>
            <w:vAlign w:val="bottom"/>
          </w:tcPr>
          <w:p>
            <w:pPr>
              <w:ind w:left="20"/>
              <w:spacing w:after="0"/>
              <w:rPr>
                <w:sz w:val="20"/>
                <w:szCs w:val="20"/>
                <w:color w:val="auto"/>
              </w:rPr>
            </w:pPr>
            <w:r>
              <w:rPr>
                <w:rFonts w:ascii="Arial" w:cs="Arial" w:eastAsia="Arial" w:hAnsi="Arial"/>
                <w:sz w:val="14"/>
                <w:szCs w:val="14"/>
                <w:color w:val="auto"/>
              </w:rPr>
              <w:t>LOSS FROM CONTINUING OPERATIONS BEFORE INCOME TAX</w:t>
            </w: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(2,888,102)</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(546,603)</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(26,518)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(273,982)</w:t>
            </w:r>
          </w:p>
        </w:tc>
      </w:tr>
      <w:tr>
        <w:trPr>
          <w:trHeight w:val="176"/>
        </w:trPr>
        <w:tc>
          <w:tcPr>
            <w:tcW w:w="6900" w:type="dxa"/>
            <w:vAlign w:val="bottom"/>
          </w:tcPr>
          <w:p>
            <w:pPr>
              <w:ind w:left="20"/>
              <w:spacing w:after="0"/>
              <w:rPr>
                <w:sz w:val="20"/>
                <w:szCs w:val="20"/>
                <w:color w:val="auto"/>
              </w:rPr>
            </w:pPr>
            <w:r>
              <w:rPr>
                <w:rFonts w:ascii="Arial" w:cs="Arial" w:eastAsia="Arial" w:hAnsi="Arial"/>
                <w:sz w:val="14"/>
                <w:szCs w:val="14"/>
                <w:color w:val="auto"/>
              </w:rPr>
              <w:t>(LOSS) INCOME FROM CONTINUING OPERATIONS</w:t>
            </w: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(2,909,618)</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(569,081)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247,464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 NET OF TAX (NOTE 4)</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(13,487)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(63,520)</w:t>
            </w:r>
          </w:p>
        </w:tc>
      </w:tr>
      <w:tr>
        <w:trPr>
          <w:trHeight w:val="196"/>
        </w:trPr>
        <w:tc>
          <w:tcPr>
            <w:tcW w:w="69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(2,923,105)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(613,245)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183,944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9"/>
        </w:trPr>
        <w:tc>
          <w:tcPr>
            <w:tcW w:w="69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INCOME PER SHARE—BASIC:</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(0.28)</w:t>
            </w:r>
          </w:p>
        </w:tc>
      </w:tr>
      <w:tr>
        <w:trPr>
          <w:trHeight w:val="196"/>
        </w:trPr>
        <w:tc>
          <w:tcPr>
            <w:tcW w:w="690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0"/>
        </w:trPr>
        <w:tc>
          <w:tcPr>
            <w:tcW w:w="69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INCOME PER SHARE—DILUTED:</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2"/>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r>
      <w:tr>
        <w:trPr>
          <w:trHeight w:val="196"/>
        </w:trPr>
        <w:tc>
          <w:tcPr>
            <w:tcW w:w="6900" w:type="dxa"/>
            <w:vAlign w:val="bottom"/>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0"/>
        </w:trPr>
        <w:tc>
          <w:tcPr>
            <w:tcW w:w="69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 AVERAGE SHARES:</w:t>
            </w: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82"/>
        </w:trPr>
        <w:tc>
          <w:tcPr>
            <w:tcW w:w="6900" w:type="dxa"/>
            <w:vAlign w:val="bottom"/>
          </w:tcPr>
          <w:p>
            <w:pPr>
              <w:ind w:left="12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234,840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232,785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229,314</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6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234,840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233,653</w:t>
            </w:r>
          </w:p>
        </w:tc>
      </w:tr>
      <w:tr>
        <w:trPr>
          <w:trHeight w:val="20"/>
        </w:trPr>
        <w:tc>
          <w:tcPr>
            <w:tcW w:w="6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33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5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(2,923,105)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(613,245)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183,944</w:t>
            </w:r>
          </w:p>
        </w:tc>
      </w:tr>
      <w:tr>
        <w:trPr>
          <w:trHeight w:val="182"/>
        </w:trPr>
        <w:tc>
          <w:tcPr>
            <w:tcW w:w="33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3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3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unrealized (loss) gain on foreign currency</w:t>
            </w:r>
          </w:p>
        </w:tc>
        <w:tc>
          <w:tcPr>
            <w:tcW w:w="41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(10,496)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76"/>
        </w:trPr>
        <w:tc>
          <w:tcPr>
            <w:tcW w:w="3320" w:type="dxa"/>
            <w:vAlign w:val="bottom"/>
          </w:tcPr>
          <w:p>
            <w:pPr>
              <w:ind w:left="220"/>
              <w:spacing w:after="0"/>
              <w:rPr>
                <w:sz w:val="20"/>
                <w:szCs w:val="20"/>
                <w:color w:val="auto"/>
              </w:rPr>
            </w:pPr>
            <w:r>
              <w:rPr>
                <w:rFonts w:ascii="Arial" w:cs="Arial" w:eastAsia="Arial" w:hAnsi="Arial"/>
                <w:sz w:val="14"/>
                <w:szCs w:val="14"/>
                <w:color w:val="auto"/>
              </w:rPr>
              <w:t>Total other comprehensive (loss) income</w:t>
            </w:r>
          </w:p>
        </w:tc>
        <w:tc>
          <w:tcPr>
            <w:tcW w:w="3580" w:type="dxa"/>
            <w:vAlign w:val="bottom"/>
          </w:tcPr>
          <w:p>
            <w:pPr>
              <w:spacing w:after="0"/>
              <w:rPr>
                <w:sz w:val="15"/>
                <w:szCs w:val="15"/>
                <w:color w:val="auto"/>
              </w:rPr>
            </w:pPr>
          </w:p>
        </w:tc>
        <w:tc>
          <w:tcPr>
            <w:tcW w:w="5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(10,496)</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1,337</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INCOME</w:t>
            </w:r>
          </w:p>
        </w:tc>
        <w:tc>
          <w:tcPr>
            <w:tcW w:w="35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(2,933,601)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(611,937)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185,281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320" w:type="dxa"/>
            <w:vAlign w:val="bottom"/>
          </w:tcPr>
          <w:p>
            <w:pPr>
              <w:spacing w:after="0"/>
              <w:rPr>
                <w:sz w:val="15"/>
                <w:szCs w:val="15"/>
                <w:color w:val="auto"/>
              </w:rPr>
            </w:pPr>
          </w:p>
        </w:tc>
        <w:tc>
          <w:tcPr>
            <w:tcW w:w="4120" w:type="dxa"/>
            <w:vAlign w:val="bottom"/>
            <w:gridSpan w:val="2"/>
          </w:tcPr>
          <w:p>
            <w:pPr>
              <w:jc w:val="right"/>
              <w:spacing w:after="0"/>
              <w:rPr>
                <w:sz w:val="20"/>
                <w:szCs w:val="20"/>
                <w:color w:val="auto"/>
              </w:rPr>
            </w:pPr>
            <w:r>
              <w:rPr>
                <w:rFonts w:ascii="Arial" w:cs="Arial" w:eastAsia="Arial" w:hAnsi="Arial"/>
                <w:sz w:val="14"/>
                <w:szCs w:val="14"/>
                <w:color w:val="auto"/>
              </w:rPr>
              <w:t>See accompanying Notes to Consolidated Financial Statements.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Euro Deferred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56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center"/>
              <w:ind w:right="160"/>
              <w:spacing w:after="0" w:line="118"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7"/>
                <w:szCs w:val="7"/>
                <w:color w:val="auto"/>
              </w:rPr>
            </w:pPr>
          </w:p>
        </w:tc>
        <w:tc>
          <w:tcPr>
            <w:tcW w:w="800" w:type="dxa"/>
            <w:vAlign w:val="bottom"/>
            <w:vMerge w:val="restart"/>
          </w:tcPr>
          <w:p>
            <w:pPr>
              <w:jc w:val="center"/>
              <w:ind w:right="108"/>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0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Number of</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10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7"/>
        </w:trPr>
        <w:tc>
          <w:tcPr>
            <w:tcW w:w="35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gridSpan w:val="3"/>
            <w:vMerge w:val="continue"/>
          </w:tcPr>
          <w:p>
            <w:pPr>
              <w:spacing w:after="0"/>
              <w:rPr>
                <w:sz w:val="17"/>
                <w:szCs w:val="17"/>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2"/>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226,802,609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8,904,692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(9,552,214)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(219,090)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(866,544)</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183,944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183,944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Compensation related to share-based awards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41,357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issued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3,513,159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Tax withholding for 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(8,036)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BALANCE, DECEMBER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230,315,768</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8,938,012</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(9,368,270)</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(217,753)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(647,939)</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(613,245)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(613,245)</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related to share-based awards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82,331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issued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3,292,717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Tax withholding for 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(14,774)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233,690,816</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8,953,906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(9,981,515)</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(216,445)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(1,243,986)</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(2,923,105)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(2,923,105)</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(10,496)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related to share-based awards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17,314</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Ordinary shares issued</w:t>
            </w:r>
          </w:p>
        </w:tc>
        <w:tc>
          <w:tcPr>
            <w:tcW w:w="980" w:type="dxa"/>
            <w:vAlign w:val="bottom"/>
          </w:tcPr>
          <w:p>
            <w:pPr>
              <w:jc w:val="right"/>
              <w:spacing w:after="0"/>
              <w:rPr>
                <w:sz w:val="20"/>
                <w:szCs w:val="20"/>
                <w:color w:val="auto"/>
              </w:rPr>
            </w:pPr>
            <w:r>
              <w:rPr>
                <w:rFonts w:ascii="Arial" w:cs="Arial" w:eastAsia="Arial" w:hAnsi="Arial"/>
                <w:sz w:val="14"/>
                <w:szCs w:val="14"/>
                <w:color w:val="auto"/>
              </w:rPr>
              <w:t>1,517,223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withholding for restricted shares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235,208,039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8,969,322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(12,904,620)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(4,162,172)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Net (loss)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(2,923,105)</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(613,245)</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183,944</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391,629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457,098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518,807</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41,357</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Amortization of debt issuance costs and discount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15,606</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(163,558)</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16,353</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Loss (gain) on extinguishment of debt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Acquired in-process research and development charges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33,329</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Asset impairment charges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2,142,746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414,977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120,344</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Non-cash reorganization items,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89,197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 on sale of business and 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(16,353)</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 which provided (used) cash:</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105,912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(82,052)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(45,792)</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(8,031)</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Prepaid and other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80,350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(34,002)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(27,421)</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321,055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84,391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(171,366)</w:t>
            </w: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Income taxes payable/receivable,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(95,100)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269,193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411,050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402,119</w:t>
            </w:r>
          </w:p>
        </w:tc>
      </w:tr>
      <w:tr>
        <w:trPr>
          <w:trHeight w:val="162"/>
        </w:trPr>
        <w:tc>
          <w:tcPr>
            <w:tcW w:w="69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(99,722)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(69,971)</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Capitalized interest payments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(2,892)</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Acquisitions, including in-process research and development, net of cash and restricted cash acquired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(90,320)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(654,231)</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sales and maturities of investments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92,763</w:t>
            </w: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Product acquisition costs and license fees</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 and other assets, net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6,737</w:t>
            </w: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(133,147)</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(59,544)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(629,594)</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Proceeds from issuance of notes, net</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1,279,978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term loans, net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1,980,000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Repayments of notes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(180,342)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(57,649)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term loans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(3,310,475)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(34,150)</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Repayments of revolving debt</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Adequate protection payments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(313,109)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Repayments of other indebtedness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for debt issuance and extinguishment costs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Payments for contingent consideration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of tax withholding for restricted shares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(14,774)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Proceeds from exercise of options</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(513,873)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(105,481)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(108,567)</w:t>
            </w: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rPr>
                <w:sz w:val="20"/>
                <w:szCs w:val="20"/>
                <w:color w:val="auto"/>
              </w:rPr>
            </w:pPr>
            <w:r>
              <w:rPr>
                <w:rFonts w:ascii="Arial" w:cs="Arial" w:eastAsia="Arial" w:hAnsi="Arial"/>
                <w:sz w:val="14"/>
                <w:szCs w:val="14"/>
                <w:color w:val="auto"/>
              </w:rPr>
              <w:t>Effect of foreign exchange rate</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9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NET (DECREASE) INCREASE IN CASH, CASH EQUIVALENTS, RESTRICTED CASH AND RESTRICTED</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(382,069)</w:t>
            </w: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246,310</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(335,388)</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vMerge w:val="continue"/>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900" w:type="dxa"/>
            <w:vAlign w:val="bottom"/>
          </w:tcPr>
          <w:p>
            <w:pPr>
              <w:ind w:left="20"/>
              <w:spacing w:after="0" w:line="115" w:lineRule="exact"/>
              <w:rPr>
                <w:sz w:val="20"/>
                <w:szCs w:val="20"/>
                <w:color w:val="auto"/>
              </w:rPr>
            </w:pPr>
            <w:r>
              <w:rPr>
                <w:rFonts w:ascii="Arial" w:cs="Arial" w:eastAsia="Arial" w:hAnsi="Arial"/>
                <w:sz w:val="13"/>
                <w:szCs w:val="13"/>
                <w:color w:val="auto"/>
              </w:rPr>
              <w:t>CASH, CASH EQUIVALENTS, RESTRICTED CASH AND RESTRICTED CASH EQUIVALENTS, BEGINNING</w:t>
            </w: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1,631,310</w:t>
            </w: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1,385,000</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1,720,388</w:t>
            </w:r>
          </w:p>
        </w:tc>
        <w:tc>
          <w:tcPr>
            <w:tcW w:w="0" w:type="dxa"/>
            <w:vAlign w:val="bottom"/>
          </w:tcPr>
          <w:p>
            <w:pPr>
              <w:spacing w:after="0"/>
              <w:rPr>
                <w:sz w:val="1"/>
                <w:szCs w:val="1"/>
                <w:color w:val="auto"/>
              </w:rPr>
            </w:pP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OF PERIOD</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9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CASH, CASH EQUIVALENTS, RESTRICTED CASH AND RESTRICTED CASH EQUIVALENTS, END OF</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1,249,241</w:t>
            </w: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1,631,310</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1,385,000</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interest, excluding capitalized interest and adequate protection payments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289,664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538,424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534,529</w:t>
            </w:r>
          </w:p>
        </w:tc>
        <w:tc>
          <w:tcPr>
            <w:tcW w:w="0" w:type="dxa"/>
            <w:vAlign w:val="bottom"/>
          </w:tcPr>
          <w:p>
            <w:pPr>
              <w:spacing w:after="0"/>
              <w:rPr>
                <w:sz w:val="1"/>
                <w:szCs w:val="1"/>
                <w:color w:val="auto"/>
              </w:rPr>
            </w:pPr>
          </w:p>
        </w:tc>
      </w:tr>
      <w:tr>
        <w:trPr>
          <w:trHeight w:val="182"/>
        </w:trPr>
        <w:tc>
          <w:tcPr>
            <w:tcW w:w="6900" w:type="dxa"/>
            <w:vAlign w:val="bottom"/>
          </w:tcPr>
          <w:p>
            <w:pPr>
              <w:ind w:left="140"/>
              <w:spacing w:after="0"/>
              <w:rPr>
                <w:sz w:val="20"/>
                <w:szCs w:val="20"/>
                <w:color w:val="auto"/>
              </w:rPr>
            </w:pPr>
            <w:r>
              <w:rPr>
                <w:rFonts w:ascii="Arial" w:cs="Arial" w:eastAsia="Arial" w:hAnsi="Arial"/>
                <w:sz w:val="14"/>
                <w:szCs w:val="14"/>
                <w:color w:val="auto"/>
              </w:rPr>
              <w:t>Cash paid for income taxes, gross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14,101</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11,669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refunds from income taxes, gross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31,897</w:t>
            </w:r>
          </w:p>
        </w:tc>
        <w:tc>
          <w:tcPr>
            <w:tcW w:w="0" w:type="dxa"/>
            <w:vAlign w:val="bottom"/>
          </w:tcPr>
          <w:p>
            <w:pPr>
              <w:spacing w:after="0"/>
              <w:rPr>
                <w:sz w:val="1"/>
                <w:szCs w:val="1"/>
                <w:color w:val="auto"/>
              </w:rPr>
            </w:pP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SCHEDULE OF NONCASH INVESTING AND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Acquisitions, including in-process research and development, accrued in the period but not yet paid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Basis of Presentation</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 The accompanying Consolidated Financial Statements of Endo International plc and its subsidiaries have been prepared in accordance with U.S. GAAP.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have been exploring a wide array of potential actions as part of our contingency planning and, as further described in the Second-Quarter 2022 Form 10-Q, we previously concluded that the related conditions and events gave rise to substantial doubt about our ability to continue as a going concern.</w:t>
      </w:r>
    </w:p>
    <w:p>
      <w:pPr>
        <w:spacing w:after="0" w:line="6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Subsequent to the filing of the Second-Quarter 2022 Form 10-Q, on the August 16, 2022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2. Bankruptcy Proceedings and Note 15. Debt for additional information. As a result of these conditions and events, management continues to believe there is substantial doubt about our ability to continue as a going concern within one year after the date of issuance of these Consolidated Financial Statements. The accompanying Consolidated Financial Statements have been prepared under the going concern basis of accounting as required by U.S. GAAP and do not include any adjustments that might be necessary should we be unable to continue as a going concern.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BANKRUPTCY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Filing</w:t>
      </w:r>
    </w:p>
    <w:p>
      <w:pPr>
        <w:spacing w:after="0" w:line="12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 xml:space="preserve">As noted above, on the Petition Date, the Debtors filed voluntary petitions for relief under the Bankruptcy Code.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Arial" w:cs="Arial" w:eastAsia="Arial" w:hAnsi="Arial"/>
          <w:sz w:val="17"/>
          <w:szCs w:val="17"/>
          <w:i w:val="1"/>
          <w:iCs w:val="1"/>
          <w:color w:val="auto"/>
        </w:rPr>
        <w:t>In re Endo</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plc, et al</w:t>
      </w:r>
      <w:r>
        <w:rPr>
          <w:rFonts w:ascii="Arial" w:cs="Arial" w:eastAsia="Arial" w:hAnsi="Arial"/>
          <w:sz w:val="17"/>
          <w:szCs w:val="17"/>
          <w:color w:val="auto"/>
        </w:rPr>
        <w:t>. Certain entities consolidated by Endo International plc and included in these Consolidated Financial Statements are not party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Chapter 11 Cases. These entities are collectively referred to herein as the Non-Debtor Affiliates.</w:t>
      </w:r>
    </w:p>
    <w:p>
      <w:pPr>
        <w:spacing w:after="0" w:line="6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7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73"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15. Debt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Support Agreement</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August 16, 2022, we entered into a Restructuring Support Agreement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Stalking Horse Bidder or the Purchaser) will serve as stalking horse bidder as we seek to sell all or substantially all of our assets in a sale pursuant to section 363 of the Bankruptcy Code (the Sale).</w:t>
      </w:r>
    </w:p>
    <w:p>
      <w:pPr>
        <w:spacing w:after="0" w:line="5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As described in the RSA, the Stalking Horse Bidder’s bid (the Stalking Horse Bid), which is subject to higher or otherwise better bids from other parties, includes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Stalking Horse Bidder will also make offers of employment to all of our active employees. Pursuant to the RSA, the definitive purchase and sale agreement with respect to the Stalking Horse Bid will include customary representations and warranties and customary covenants by the parties thereto. On November 23, 2022, we filed: (i) a motion seeking Bankruptcy Court approval of bidding procedures in connection with the Sale and (ii) a motion seeking to set deadlines for all claimants to file claims against the Debtors. Although both motions were initially set to be heard by the Bankruptcy Court at a hearing on December 15, 2022, following several conferences with both the Bankruptcy Court and all major parties in interest in the Chapter 11 Cases, the hearing on both motions was adjourned to allow the Debtors and certain key parties in the Chapter 11 Cases to participate in a mediation process to attempt to resolve certain objections and contested issues relating to the Sale and other critical matters in the Chapter 11 Cases. On March 3, 2023, the Debtors announced that, as a result of the mediation process, the Ad Hoc First Lien Group (and Stalking Horse Bidder) had reached certain resolutions in principle with both the unsecured creditors’ committee and opioid claimants’ committee appointed in the Chapter 11 Cases and certain ad hoc groups of debtholders. These resolutions, which remain subject to definitive documentation, are supported by the Debtors. In connection with such resolutions, the Company agreed in principle with the Ad Hoc First Lien Group to reduce the Wind-Down Amount associated with the Stalking Horse Bid from $122 million to approximately $115 million, subject to definitive documentation. As negotiations among the mediation parties continue, the mediation has been extended and remains ongoing and the Bankruptcy Court hearing on both motions has been adjourned to an undetermined date. As a result of such adjournment, the proposed timelines and deadlines set forth in both motions are expected to be extended.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RSA contemplates a marketing process and auction that will be conducted under the supervision of the Bankruptcy Court, during which interested parties will have an opportunity to conduct due diligence and determine whether to submit a bid to acquire the Debtors’ assets. If the Stalking Horse Bid is selected as the highest or otherwise best offer following said marketing process and auction, the Ad Hoc First Lien Group will direct the Collateral Trustee (as defined in the Collateral Trust Agreement) to assign its rights to credit bid, on behalf of the Secured Parties (as defined in the Collateral Trust Agreement), to the Stalking Horse Bidder, so as to enable the Stalking Horse Bidder to credit bid for all or substantially all of our assets in exchange for the extinguishment of the obligations to the Secured Parties. The RSA further contemplates that the Purchaser will fund one or more trusts for parties with opioid-related claims against us, as further discussed in Note 16. Commitments and Contingencies.</w:t>
      </w:r>
    </w:p>
    <w:p>
      <w:pPr>
        <w:spacing w:after="0" w:line="69" w:lineRule="exact"/>
        <w:rPr>
          <w:sz w:val="20"/>
          <w:szCs w:val="20"/>
          <w:color w:val="auto"/>
        </w:rPr>
      </w:pPr>
    </w:p>
    <w:p>
      <w:pPr>
        <w:ind w:right="340" w:firstLine="486"/>
        <w:spacing w:after="0" w:line="301" w:lineRule="auto"/>
        <w:rPr>
          <w:sz w:val="20"/>
          <w:szCs w:val="20"/>
          <w:color w:val="auto"/>
        </w:rPr>
      </w:pPr>
      <w:r>
        <w:rPr>
          <w:rFonts w:ascii="Arial" w:cs="Arial" w:eastAsia="Arial" w:hAnsi="Arial"/>
          <w:sz w:val="16"/>
          <w:szCs w:val="16"/>
          <w:color w:val="auto"/>
        </w:rPr>
        <w:t>Pursuant to the RSA, each of the parties agreed to, among other things, take all actions as are necessary and appropriate to facilitate the implementation and consummation of the Restructuring (as defined in the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w:t>
      </w:r>
    </w:p>
    <w:p>
      <w:pPr>
        <w:spacing w:after="0" w:line="4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RSA provides certain milestones for the Restructuring. If we fail to satisfy these milestones and such failure is not the result of a breach of the RSA by the Required Consenting First Lien Creditors (as defined in the RSA), the Required Consenting First Lien Creditors will have the right to terminate the RSA. These milestones, as modified since we entered into the RSA (and which may be further modified from time to time), include: (i) not later than 11:59 p.m. prevailing Eastern Time on October 25, 2022, the Bankruptcy Court shall have entered the Cash Collateral Order on a final basis; (ii) not later than 11:59 p.m. prevailing Eastern Time on March 16, 2023, the Bankruptcy Court shall have entered an order approving the bidding procedures; (iii) not later than 11:59 p.m. prevailing Eastern Time on September 13, 2023, the Bankruptcy Court shall have entered an order approving the Sale; and (iv) not later than 11:59 p.m. prevailing Eastern Time on September 13, 2023 (the Outside Date), the closing of the Sale shall have occurred, subject to certain extensions of the Outside Date as set forth in the RSA, including: (a) for extensions of prior milestones; (b) to close the Sale transaction with a backup bidder; and (c) for delays in obtaining regulatory or third-party approvals or consents.</w:t>
      </w:r>
    </w:p>
    <w:p>
      <w:pPr>
        <w:spacing w:after="0" w:line="73"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Each of the parties to the RSA may terminate the agreement (and thereby their support for the Sale) under certain limited circumstances, including for material breaches and materially untrue representations and warranties by their counterparties, if a governmental agency enjoins the Sale or if the purchase and sale agreement with respect to the Sale is terminated under certain circumstances.</w:t>
      </w:r>
    </w:p>
    <w:p>
      <w:pPr>
        <w:spacing w:after="0" w:line="5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transactions contemplated by the RSA are subject to approval by the Bankruptcy Court, among other conditions. Accordingly, no assurance can be given that the transactions described therein will be consummated.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Chapter 11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Collateral</w:t>
      </w:r>
    </w:p>
    <w:p>
      <w:pPr>
        <w:spacing w:after="0" w:line="11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October 2022, the Bankruptcy Court entered the Cash Collateral Order approving the Debtors’ consensual use of their secured creditors’ cash collateral. The Debtors intend to use the cash collateral to, among other things, permit the orderly continuation of their businesses, pay the costs of administration of their estates and satisfy other working capital and general corporate purposes. As described in additional detail elsewhere in this report, including in Note 15. Debt, the Cash Collateral Order obligates the Debtors to make certain adequate protection payments during the bankruptcy proceedings, establishes a budget for the Debtors’ use of cash collateral, establishes certain informational rights for the Debtors’ secured creditors and provides for the waiver of certain Bankruptcy Code provisions. The Cash Collateral Order also requires the Debtors to maintain at least $600.0 million of “liquidity,” calculated at the end of each week as unrestricted cash and cash equivalents plus certain specified amounts of restricted cash associated with the TLC Agreement, which is further discussed below in Note 12. License, Collaboration and Asset Acquisition Agreements.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Potential Claims</w:t>
      </w:r>
    </w:p>
    <w:p>
      <w:pPr>
        <w:spacing w:after="0" w:line="11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In November 2022, the Debtors filed with the Bankruptcy Court schedules and statements, subject to further amendment or modification, which set forth, among other things, the assets and liabilities of each of the Debtors, subject to the assumptions filed in connection therewith.</w:t>
      </w:r>
    </w:p>
    <w:p>
      <w:pPr>
        <w:spacing w:after="0" w:line="38"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As part of the Chapter 11 Cases, persons and entities believing that they have claims or causes of action against the Debtors may file proofs of claim evidencing such claims. As noted above, the Debtors have filed a motion seeking to set a bar date (deadline) for holders of claims to file proofs of claim (including general claims and claims of governmental units), which motion has been adjourned to an undetermined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Debtors have received numerous claims as of the date of this report including, in certain cases, duplicate claims across multiple Debtors. For example, the IRS has filed multiple proofs of claim against several of the Debtors, as further discussed in Note 21. Income Taxes. We expect that the Debtors may continue to receive a significant number of claims in the future. As claims are filed, they are being evaluated for validity and compared to amounts recorded in our accounting records.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accounts and balances as reported as of December 31, 2022.</w:t>
      </w:r>
    </w:p>
    <w:p>
      <w:pPr>
        <w:spacing w:after="0" w:line="87"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Consolidated Balance Sheets. In light of the substantial number of claims that may be filed, the claims resolution process may take considerable time to complete and may continue for the duration of the Debtors’ bankruptcy proceedings.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Developments</w:t>
      </w:r>
    </w:p>
    <w:p>
      <w:pPr>
        <w:spacing w:after="0" w:line="121"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Bankruptcy Court adjourned the hearings for certain critical motions filed in November and December 2022, including: (i) our motion to establish bidding procedures in connection with the Sale; (ii) our motion to establish deadlines for creditors to file proofs of claim; and (iii) our motion to extend our exclusive periods to file and solicit a plan of reorganization, in order to allow the Debtors and certain key parties in the Chapter 11 Cases to participate in a mediation process to attempt to resolve certain objections and contested issues relating to the Sale and other critical matters. On March 3, 2023, the Debtors announced that, as a result of the mediation process, the Ad Hoc First Lien Group (and Stalking Horse Bidder) had reached certain resolutions in principle with both the unsecured creditors’ committee and opioid claimants’ committee appointed in the Chapter 11 Cases and certain ad hoc groups of debtholders. These resolutions, which remain subject to definitive documentation, are supported by the Debtors. In connection with such resolutions, the mediation has been extended and remains ongoing and the Bankruptcy Court hearing on the three motions has been adjourned to an undetermined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Accounting</w:t>
      </w:r>
    </w:p>
    <w:p>
      <w:pPr>
        <w:spacing w:after="0" w:line="12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As a result of the Chapter 11 Cases, we have applied the provisions of ASC 852 in preparing the accompanying Consolidated Financial Statements. ASC 852 requires that, for periods including and after the filing of a chapter 11 petition, the Consolidated Financial Statements distinguish transactions and events that are directly associated with the reorganization from the ongoing operations of the business.</w:t>
      </w:r>
    </w:p>
    <w:p>
      <w:pPr>
        <w:spacing w:after="0" w:line="5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the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December 31, 2022, information about the amounts presented as Liabilities subject to compromise in our Consolidated Balance Sheets (in thousands):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9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30,317</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160,617</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7,834,717</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Litigation accruals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820,805</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235,176</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87,150</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9,168,782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75" w:lineRule="auto"/>
        <w:tabs>
          <w:tab w:leader="none" w:pos="5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include operating and finance lease liabilities as further described in Note 9. Leases, acquisition-related contingent consideration liabilities as further described in Note 7. Fair Value Measurements and a variety of other miscellaneous liabilities.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The determination of how liabilities will ultimately be settled or treated cannot be made until approved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and could have a material adverse effect on our business, financial condition, results of operations and cash flows.</w:t>
      </w:r>
    </w:p>
    <w:p>
      <w:pPr>
        <w:spacing w:after="0" w:line="77" w:lineRule="exact"/>
        <w:rPr>
          <w:sz w:val="20"/>
          <w:szCs w:val="20"/>
          <w:color w:val="auto"/>
        </w:rPr>
      </w:pPr>
    </w:p>
    <w:p>
      <w:pPr>
        <w:jc w:val="both"/>
        <w:ind w:right="440" w:firstLine="486"/>
        <w:spacing w:after="0" w:line="278" w:lineRule="auto"/>
        <w:rPr>
          <w:sz w:val="20"/>
          <w:szCs w:val="20"/>
          <w:color w:val="auto"/>
        </w:rPr>
      </w:pPr>
      <w:r>
        <w:rPr>
          <w:rFonts w:ascii="Arial" w:cs="Arial" w:eastAsia="Arial" w:hAnsi="Arial"/>
          <w:sz w:val="17"/>
          <w:szCs w:val="17"/>
          <w:color w:val="auto"/>
        </w:rPr>
        <w:t>Certain expenses, gains and losses resulting from and recognized during our bankruptcy proceedings are now being recorded in Reorganization items, net in our Consolidated Statements of Operations. The following table sets forth, for the year ended December 31, 2022, information about the amounts presented as Reorganization items, net in our Consolidated Statements of Operations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6"/>
        </w:trPr>
        <w:tc>
          <w:tcPr>
            <w:tcW w:w="9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113,781</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valuation adjustments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89,197</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Since the Petition Date, our operating cash flows included net cash outflows of $53.7 million related to amounts classified or expected to be classified as Reorganization items, net, which primarily consisted of payments for professional fees.</w:t>
      </w:r>
    </w:p>
    <w:p>
      <w:pPr>
        <w:spacing w:after="0" w:line="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Refer also to Note 15. Debt for information about how our bankruptcy proceedings and certain related developments have affected our debt service payments and how such payments are being reflected in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Delisting</w:t>
      </w:r>
    </w:p>
    <w:p>
      <w:pPr>
        <w:spacing w:after="0" w:line="12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August 17, 2022, we received a letter (the Notice) from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Consolidation and Basis of Presentation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include the accounts of wholly-owned subsidiaries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elimination of intercompany accounts and transactions.</w:t>
      </w:r>
    </w:p>
    <w:p>
      <w:pPr>
        <w:spacing w:after="0" w:line="6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prior period amounts have been reclassified to conform to the current period presentation. The reclassification adjustments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 to changes to the presentation of certain costs and expenses in our Consolidated Statements of Operations. Specifically, effective with the first quarter of 2022, the Company has added a new financial statement line item labeled Acquired in-process research and development. Any prior period amounts of acquired in-process research and development charges presented in this report have been reclassified to this line item from the existing financial statement line item labeled Research and development.</w:t>
      </w:r>
    </w:p>
    <w:p>
      <w:pPr>
        <w:spacing w:after="0" w:line="8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Bankruptcy Accounting. </w:t>
      </w:r>
      <w:r>
        <w:rPr>
          <w:rFonts w:ascii="Arial" w:cs="Arial" w:eastAsia="Arial" w:hAnsi="Arial"/>
          <w:sz w:val="18"/>
          <w:szCs w:val="18"/>
          <w:color w:val="auto"/>
        </w:rPr>
        <w:t>Refer to Note 2. Bankruptcy Proceedings under the heading “Bankruptcy Accounting” for a discussion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considerations related to our ongoing bankruptcy proceedings.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our Consolidated Financial Statements in conformity with U.S. GAAP requires us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66"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We regularly evaluate our estimates and assumptions using historical experience and other factors, including the economic environment. As future events and their effects cannot be determined with precision, our estimates and assumptions may prove to be incomplete or inaccurate, or unanticipated events and circumstances may occur that might cause us to change those estimates and assumptions. Market conditions, such as illiquid credit markets, volatile equity markets, dramatic fluctuations in foreign currency rates and economic downturns, can increase the uncertainty already inherent in our estimates and assumptions. We also are subject to other risks and uncertainties that may cause actual results to differ from estimated amounts, such as changes in the healthcare environment, competition, litigation, legislation and regulations. We adjust our estimates and assumptions when facts and circumstances indicate the need for change. Those changes generally will be reflected in our Consolidated Financial Statements on a prospective basis.</w:t>
      </w:r>
    </w:p>
    <w:p>
      <w:pPr>
        <w:spacing w:after="0" w:line="5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Customer, Product and Supplier Concentration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sell our products to wholesalers, retail drug store chains, supermarket chains, mass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Net revenues from direct customers that accounted for 10% or more of our total consolidated net revenues during the years ended December 31, 2022, 2021 and 2020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5"/>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p>
      <w:pPr>
        <w:spacing w:after="0" w:line="117" w:lineRule="exact"/>
        <w:rPr>
          <w:sz w:val="20"/>
          <w:szCs w:val="20"/>
          <w:color w:val="auto"/>
        </w:rPr>
      </w:pPr>
    </w:p>
    <w:p>
      <w:pPr>
        <w:ind w:right="300" w:firstLine="486"/>
        <w:spacing w:after="0" w:line="223" w:lineRule="auto"/>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accounted for 19%, 14% and 11% of our 2022, 2021 and 2020 net revenues, respectively. Varenicline tablets (our generic version of Pfizer Inc.’s Chantix</w:t>
      </w:r>
      <w:r>
        <w:rPr>
          <w:rFonts w:ascii="Arial" w:cs="Arial" w:eastAsia="Arial" w:hAnsi="Arial"/>
          <w:sz w:val="23"/>
          <w:szCs w:val="23"/>
          <w:color w:val="auto"/>
          <w:vertAlign w:val="superscript"/>
        </w:rPr>
        <w:t>®</w:t>
      </w:r>
      <w:r>
        <w:rPr>
          <w:rFonts w:ascii="Arial" w:cs="Arial" w:eastAsia="Arial" w:hAnsi="Arial"/>
          <w:sz w:val="18"/>
          <w:szCs w:val="18"/>
          <w:color w:val="auto"/>
        </w:rPr>
        <w:t>) accounted for 13% of our 2022 net revenues.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accounted for 11%, 30% and 27% of our 2022, 2021 and 2020 net revenues, respectively. No other products accounted for 10% or more of our net revenues during any of the years ended December 31, 2022, 2021 and 2020.</w:t>
      </w:r>
    </w:p>
    <w:p>
      <w:pPr>
        <w:spacing w:after="0" w:line="96"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have agreements with certain third parties for the manufacture, supply and processing of certain of our existing pharmaceutical products. See Note 16. Commitments and Contingencies for information on any material manufacturing, supply and other service agreements.</w:t>
      </w:r>
    </w:p>
    <w:p>
      <w:pPr>
        <w:spacing w:after="0" w:line="3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are subject to risks and uncertainties associated with these concentrations that could have a material adverse effect on our business, financial condition, results of operations and cash flows in future periods, including in the near term.</w:t>
      </w:r>
    </w:p>
    <w:p>
      <w:pPr>
        <w:spacing w:after="0" w:line="62"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b w:val="1"/>
          <w:bCs w:val="1"/>
          <w:i w:val="1"/>
          <w:iCs w:val="1"/>
          <w:color w:val="auto"/>
        </w:rPr>
        <w:t>Revenue Recognition and Sales Deductions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contracts with commercial substance that establish payment terms and each party’s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84"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Payment terms for these types of contracts generally fall within 30 to 120 days of invoicing.</w:t>
      </w:r>
    </w:p>
    <w:p>
      <w:pPr>
        <w:spacing w:after="0" w:line="5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At December 31, 2022 and 2021, our reserves for sales deductions totaled $600.2 million and $588.7 million, respectively. These amounts relate primarily to our estimates of unsettled obligations for returns and allowances, rebates and chargebacks. The most significant sales deduction reserves relate to returns, wholesaler chargebacks and rebates for the Sterile Injectables and Generic Pharmaceuticals segments. Our estimates are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Significant judgment and estimation is required in developing the foregoing and other relevant assumptions. The most significant sales deductions are further described below.</w:t>
      </w:r>
    </w:p>
    <w:p>
      <w:pPr>
        <w:spacing w:after="0" w:line="69"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i w:val="1"/>
          <w:iCs w:val="1"/>
          <w:color w:val="auto"/>
        </w:rPr>
        <w:t>Returns and Allowances—</w:t>
      </w:r>
      <w:r>
        <w:rPr>
          <w:rFonts w:ascii="Arial" w:cs="Arial" w:eastAsia="Arial" w:hAnsi="Arial"/>
          <w:sz w:val="17"/>
          <w:szCs w:val="17"/>
          <w:color w:val="auto"/>
        </w:rPr>
        <w:t>Consistent with industry practice, we maintain a return policy that allows our customers to return products within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Rebates—</w:t>
      </w: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spacing w:after="0" w:line="4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spacing w:after="0" w:line="5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5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We market and sell products to both: (i) direct customers including wholesalers, distributors, warehousing pharmacy chains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b w:val="1"/>
          <w:bCs w:val="1"/>
          <w:i w:val="1"/>
          <w:iCs w:val="1"/>
          <w:color w:val="auto"/>
        </w:rPr>
        <w:t>Contract Assets and Contract Liabilities</w:t>
      </w:r>
      <w:r>
        <w:rPr>
          <w:rFonts w:ascii="Arial" w:cs="Arial" w:eastAsia="Arial" w:hAnsi="Arial"/>
          <w:sz w:val="17"/>
          <w:szCs w:val="17"/>
          <w:color w:val="auto"/>
        </w:rPr>
        <w:t>. Contract assets represent our right to consideration in exchange for goods or services that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transferred when that right is conditioned on something other than the passage of time. We record income and a corresponding contract asset when we fulfill a contractual performance obligation, but must also fulfill one or more additional performance obligations before being entitled to payment. Once our right to consideration becomes unconditional, the contract asset amount is reclassified as Accounts receivable.</w:t>
      </w:r>
    </w:p>
    <w:p>
      <w:pPr>
        <w:spacing w:after="0" w:line="63" w:lineRule="exact"/>
        <w:rPr>
          <w:sz w:val="20"/>
          <w:szCs w:val="20"/>
          <w:color w:val="auto"/>
        </w:rPr>
      </w:pPr>
    </w:p>
    <w:p>
      <w:pPr>
        <w:ind w:right="540" w:firstLine="486"/>
        <w:spacing w:after="0" w:line="263" w:lineRule="auto"/>
        <w:rPr>
          <w:sz w:val="20"/>
          <w:szCs w:val="20"/>
          <w:color w:val="auto"/>
        </w:rPr>
      </w:pPr>
      <w:r>
        <w:rPr>
          <w:rFonts w:ascii="Arial" w:cs="Arial" w:eastAsia="Arial" w:hAnsi="Arial"/>
          <w:sz w:val="18"/>
          <w:szCs w:val="18"/>
          <w:color w:val="auto"/>
        </w:rPr>
        <w:t>Contract liabilities represent our obligation to transfer goods or services to a customer. We record a contract liability generally upon receipt of consideration in advance of fulfilling one or more of our contractual performance obligations. Upon completing each performance obligation, the corresponding contract liability amount is reversed and income is recognized.</w:t>
      </w:r>
    </w:p>
    <w:p>
      <w:pPr>
        <w:spacing w:after="0" w:line="7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13. Contract Assets and Liabilities.</w:t>
      </w:r>
    </w:p>
    <w:p>
      <w:pPr>
        <w:spacing w:after="0" w:line="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We evaluate acquisitions of assets and other similar transactions to assess whether or not the transaction should be accounted for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8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76"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For asset acquisitions, a cost accumulation model is used to determine the cost of an asset acquisition. Direct transaction costs are recognized as part of the cost of an asset acquisition. We also evaluate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w:t>
      </w:r>
    </w:p>
    <w:p>
      <w:pPr>
        <w:spacing w:after="0" w:line="5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accounting for costs associated with acquiring in-process research and development assets, including contractual upfront and milestone payments to third parties, is further discussed below.</w:t>
      </w:r>
    </w:p>
    <w:p>
      <w:pPr>
        <w:spacing w:after="0" w:line="62"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b w:val="1"/>
          <w:bCs w:val="1"/>
          <w:i w:val="1"/>
          <w:iCs w:val="1"/>
          <w:color w:val="auto"/>
        </w:rPr>
        <w:t>R&amp;D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Expenditures for R&amp;D are expensed as incurred and included as Research and development in the Consolidated Statements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expenses include, among other things, the costs of discovery research, preclinical development, early- and late-clinical development and drug formulation, clinical trials, materials and medical support of marketed products. R&amp;D spending also includes enterprise-wide costs which support our overall R&amp;D infrastructure. Property, plant and equipment that are acquired or constructed for R&amp;D activities and that have alternate future uses are capitalized and depreciated over their estimated useful lives on a straight-line basis. The accounting for costs associated with acquiring in-process research and development assets, including contractual upfront and milestone payments to third parties, is further discussed below.</w:t>
      </w:r>
    </w:p>
    <w:p>
      <w:pPr>
        <w:spacing w:after="0" w:line="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considers all highly liquid money market instruments with an original maturities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purchased to be cash equivalents. At December 31, 2022 and 2021, cash equivalents were deposited in financial institutions and consisted almost entirely of immediately available fund balances. The Company maintains its cash deposits and cash equivalents with financial institutions it believes to be well-known and stable.</w:t>
      </w:r>
    </w:p>
    <w:p>
      <w:pPr>
        <w:spacing w:after="0" w:line="7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b w:val="1"/>
          <w:bCs w:val="1"/>
          <w:i w:val="1"/>
          <w:iCs w:val="1"/>
          <w:color w:val="auto"/>
        </w:rPr>
        <w:t>Restricted 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that are restricted as to withdrawal or use under the terms of certain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are excluded from Cash and cash equivalents in the Consolidated Balance Sheets. For additional information see Note 7. Fair Value Measurements.</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 Our accounts receivable balance is stated at amortized cost less an allowance determined using the expected credit loss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our accounts receivable balance is reduced by certain sales deduction reserves where we have the right of offset with the customer. We generally do not require collateral.</w:t>
      </w:r>
    </w:p>
    <w:p>
      <w:pPr>
        <w:spacing w:after="0" w:line="76"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b w:val="1"/>
          <w:bCs w:val="1"/>
          <w:i w:val="1"/>
          <w:iCs w:val="1"/>
          <w:color w:val="auto"/>
        </w:rPr>
        <w:t>Concentrations of Credit Risk and Credit Losses</w:t>
      </w:r>
      <w:r>
        <w:rPr>
          <w:rFonts w:ascii="Arial" w:cs="Arial" w:eastAsia="Arial" w:hAnsi="Arial"/>
          <w:sz w:val="16"/>
          <w:szCs w:val="16"/>
          <w:color w:val="auto"/>
        </w:rPr>
        <w:t>. Financial instruments that potentially subject us to significant concentrations of credit risk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With respect to our accounts receivable, we have no history of significant losses. Approximately 83% and 91% of our gross trade accounts receivable balances represent amounts due from three customers (Cardinal Health, Inc., McKesson Corporation and AmerisourceBergen Corporation) at December 31, 2022 and December 31, 2021,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Consolidated Financial Statements at December 31, 2022 or December 31, 2021, nor were the changes to the allowance during any of the periods presented.</w:t>
      </w:r>
    </w:p>
    <w:p>
      <w:pPr>
        <w:spacing w:after="0" w:line="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spacing w:after="0" w:line="7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consist of raw materials, work-in-process and finished goods. Inventory that is in excess of the amount expected to be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product-by-product basis. The Company could be required to write down previously capitalized costs related to pre-launch inventories upon a change in such judgment, a denial or delay of approval by regulatory bodies, a delay in commercialization or other potential factors. Our inventories are stated at the lower of cost or net realizable value.</w:t>
      </w:r>
    </w:p>
    <w:p>
      <w:pPr>
        <w:spacing w:after="0" w:line="8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Cost is determined by the first-in, first-out method. It includes materials, direct labor and an allocation of overhead, but excludes certain period charges and unallocated overheads that are charged to expense in the period in which they are incurred. Unallocated overheads can occur as a consequence of abnormally low production or idle facilities.</w:t>
      </w:r>
    </w:p>
    <w:p>
      <w:pPr>
        <w:spacing w:after="0" w:line="7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Net realizable value is determined by the estimated selling prices in the ordinary course of business, less reasonably predictable costs of completion, disposal and transportation. When necessary, we write-down inventories to net realizable value based on forecasted demand and market and regulatory conditions, which may differ from actual results.</w:t>
      </w:r>
    </w:p>
    <w:p>
      <w:pPr>
        <w:spacing w:after="0" w:line="7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is generally stated at cost less accumulated depreciation. Major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while routine maintenance and repairs are expensed as incurred. Costs incurred during the construction or development of property, plant and equipment are capitalized as assets under construction. Once an asset has been placed into service, depreciation expense is taken on a straight-line basis over the estimated useful life of the related assets or, in the case of leasehold improvements and finance lease assets, over the shorter of the estimated useful life and the lease term. As of December 31, 2022, the useful lives of our property, plant and equipment range from 1 year to up to 30 years for buildings, 15 years for machinery and equipment, 10 years for computer equipment and software and 10 years for furniture and fixtures. Depreciation expense is not recorded on assets held for sale. Gains and losses on disposals are included in Other income, net in the Consolidated Statements of Operations. As further described below under the heading “Long-Lived Asset Impairment Testing,” our property plant and equipment assets are also subject to impairment reviews.</w:t>
      </w:r>
    </w:p>
    <w:p>
      <w:pPr>
        <w:spacing w:after="0" w:line="8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b w:val="1"/>
          <w:bCs w:val="1"/>
          <w:i w:val="1"/>
          <w:iCs w:val="1"/>
          <w:color w:val="auto"/>
        </w:rPr>
        <w:t>Computer Software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capitalizes certain costs incurred in connection with obtaining or developing internal-use software,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external direct costs of material and services, and payroll costs for employees directly involved with the software development. Capitalized software costs are included in Property, plant and equipment, net in the Consolidated Balance Sheets and depreciated beginning when the software project is substantially complete and the asset is ready for its intended use. Costs incurred during the preliminary project stage and post-implementation stage, as well as maintenance and training costs, are expensed as incurred.</w:t>
      </w:r>
    </w:p>
    <w:p>
      <w:pPr>
        <w:spacing w:after="0" w:line="80"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b w:val="1"/>
          <w:bCs w:val="1"/>
          <w:i w:val="1"/>
          <w:iCs w:val="1"/>
          <w:color w:val="auto"/>
        </w:rPr>
        <w:t xml:space="preserve">Lease Accounting. </w:t>
      </w:r>
      <w:r>
        <w:rPr>
          <w:rFonts w:ascii="Arial" w:cs="Arial" w:eastAsia="Arial" w:hAnsi="Arial"/>
          <w:sz w:val="16"/>
          <w:szCs w:val="16"/>
          <w:color w:val="auto"/>
        </w:rPr>
        <w:t>Whenever the Company enters into a new arrangement, it must determine, at the inception date, whether the arrangement is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49"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5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For each lease, the Company must then determine the lease term, the present value of lease payments and the classification of the lease as either an operating or finance lease.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present value of lease payments is calculated based on:</w:t>
      </w:r>
    </w:p>
    <w:p>
      <w:pPr>
        <w:spacing w:after="0" w:line="23" w:lineRule="exact"/>
        <w:rPr>
          <w:sz w:val="20"/>
          <w:szCs w:val="20"/>
          <w:color w:val="auto"/>
        </w:rPr>
      </w:pPr>
    </w:p>
    <w:p>
      <w:pPr>
        <w:ind w:left="900" w:right="120" w:hanging="244"/>
        <w:spacing w:after="0" w:line="250" w:lineRule="auto"/>
        <w:tabs>
          <w:tab w:leader="none" w:pos="8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Arial" w:cs="Arial" w:eastAsia="Arial" w:hAnsi="Arial"/>
          <w:sz w:val="18"/>
          <w:szCs w:val="18"/>
          <w:color w:val="auto"/>
        </w:rPr>
      </w:pPr>
    </w:p>
    <w:p>
      <w:pPr>
        <w:ind w:left="900" w:right="80" w:hanging="244"/>
        <w:spacing w:after="0" w:line="295" w:lineRule="auto"/>
        <w:tabs>
          <w:tab w:leader="none" w:pos="8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5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Generally, upon the commencement of a lease, the Company will record a lease liability and a right-of-use asset. However, the Company has elected, for all underlying assets with initial lease terms of twelve months or less (known as short-term leases), to not recognize a lease liability or right-of-use asset. Lease liabilities are initially recorded at lease commencement as the present value of future lease payments. Right-of-use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68"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Over the lease term, the Company generally increases its lease liabilities using the effective interest method and decreases its lease liabilities for lease payments made. For finance leases, amortization expense and interest expense are recognized separately in the Consolidated Statements of Operations, with amortization expense generally recorded on a straight-line basis over the lease term and interest expense recorded using the effective interest method. For operating leases, a single lease cost is generally recognized in the Consolidated Statements of Operations on a straight-line basis over the lease term unless an impairment has been recorded with respect to a leased asset. Lease costs for short-term leases not recognized in the Consolidated Balance Sheets are recognized in the Consolidated Statements of Operations on a straight-line basis over the lease term. Variable lease costs not initially included in the lease liability and right-of-use asset impairment charges are expensed as incurred. Right-of-use assets are assessed for impairment, similar to other long-lived assets.</w:t>
      </w:r>
    </w:p>
    <w:p>
      <w:pPr>
        <w:spacing w:after="0" w:line="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Cloud Computing Arrangements. </w:t>
      </w:r>
      <w:r>
        <w:rPr>
          <w:rFonts w:ascii="Arial" w:cs="Arial" w:eastAsia="Arial" w:hAnsi="Arial"/>
          <w:sz w:val="18"/>
          <w:szCs w:val="18"/>
          <w:color w:val="auto"/>
        </w:rPr>
        <w:t>The Company may from time to time incur costs in connection with hosting arrangements that are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The Company capitalizes any such implementation costs, expenses them over the terms of the respective hosting arrangements and subjects them to impairment testing consistent with other long-lived assets.</w:t>
      </w:r>
    </w:p>
    <w:p>
      <w:pPr>
        <w:spacing w:after="0" w:line="76"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b w:val="1"/>
          <w:bCs w:val="1"/>
          <w:i w:val="1"/>
          <w:iCs w:val="1"/>
          <w:color w:val="auto"/>
        </w:rPr>
        <w:t>Finite-Lived Intangible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finite-lived intangible assets consist of license rights and developed technology. Upon acquisition,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are generally initially recorded at fair value if acquired in a business combination, or at cost if otherwise. There are several methods that can be used to determine fair value. For intangible assets, we typically use an income approach. This approach starts with our forecast of all of the expected future net cash flows. Revenues are estimated based on relevant market size and growth factors, expected industry trends, individual project life cycles and, if applicable, the life of any estimated period of marketing exclusivity, such as that granted by a patent. The pricing, margins and expense levels of similar products are considered if available. For certain licensed assets, our estimates of future cash flows consider periods covered by renewal options to the extent we have the intent and ability, at the date of the estimate, to renew the underlying license agreements. These cash flows are then adjusted to present value by applying an appropriate discount rate that reflects the risk factors associated with the cash flow streams.</w:t>
      </w:r>
    </w:p>
    <w:p>
      <w:pPr>
        <w:spacing w:after="0" w:line="5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To the extent an intangible asset is deemed to have a finite life and to be held and used, it is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5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further described under the heading “Long-Lived Asset Impairment Testing,” our finite-lived intangible assets are also subject to impairment reviews.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b w:val="1"/>
          <w:bCs w:val="1"/>
          <w:i w:val="1"/>
          <w:iCs w:val="1"/>
          <w:color w:val="auto"/>
        </w:rPr>
        <w:t>Developed Technology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developed technology assets subject to amortization have useful lives ranging from 6 years to 16 years, with a weighted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average useful life of approximately 12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License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license rights subject to amortization have useful lives ranging from 7 years to 15 years, with a weighted average useful life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Long-Lived Asset Impairment Testing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Long-lived assets, including property, plant and equipment and finite-lived intangible assets, are assessed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69"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Prior to disposal,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spacing w:after="0" w:line="6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b w:val="1"/>
          <w:bCs w:val="1"/>
          <w:i w:val="1"/>
          <w:iCs w:val="1"/>
          <w:color w:val="auto"/>
        </w:rPr>
        <w:t>Acquired in-Process Research and Development Assets</w:t>
      </w:r>
      <w:r>
        <w:rPr>
          <w:rFonts w:ascii="Arial" w:cs="Arial" w:eastAsia="Arial" w:hAnsi="Arial"/>
          <w:sz w:val="16"/>
          <w:szCs w:val="16"/>
          <w:color w:val="auto"/>
        </w:rPr>
        <w:t>. Acquired in-process research and development charges are generally recognized in periods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Otherwise, acquired in-process research and development assets are generally recognized as indefinite-lived intangible assets. Such assets are generally initially recorded at fair value if acquired in a business combination, or at cost if otherwise. Any indefinite-lived intangible assets are not subject to amortization. Instead, they are tested for impairment annually, as of October 1, and when events or changes in circumstances indicate that the asset might be impaired. If the fair value of the intangible assets is less than its carrying amount, an impairment loss is recognized for the difference. Assets that receive regulatory approval are reclassified and accounted for as finite-lived intangible assets.</w:t>
      </w:r>
    </w:p>
    <w:p>
      <w:pPr>
        <w:spacing w:after="0" w:line="57"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b w:val="1"/>
          <w:bCs w:val="1"/>
          <w:i w:val="1"/>
          <w:iCs w:val="1"/>
          <w:color w:val="auto"/>
        </w:rPr>
        <w:t>Goodwill</w:t>
      </w:r>
      <w:r>
        <w:rPr>
          <w:rFonts w:ascii="Arial" w:cs="Arial" w:eastAsia="Arial" w:hAnsi="Arial"/>
          <w:sz w:val="16"/>
          <w:szCs w:val="16"/>
          <w:color w:val="auto"/>
        </w:rPr>
        <w:t>. While amortization expense is not recorded on goodwill, goodwill is subject to impairment reviews. An impairment assessment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conducted as of October 1, or more frequently whenever events or changes in circumstances indicate that the asset might be impaired.</w:t>
      </w:r>
    </w:p>
    <w:p>
      <w:pPr>
        <w:spacing w:after="0" w:line="1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5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subject to various patent challenges, product liability claims, government investigations and other legal proceedings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ordinary course of business.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are generally included in Selling, general and administrative expenses in the Consolidated Statements of Operations (or as Discontinued operations, net of tax in the case of vaginal mesh matters).</w:t>
      </w:r>
    </w:p>
    <w:p>
      <w:pPr>
        <w:spacing w:after="0" w:line="8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Due to the fact that legal proceedings and other contingencies are inherently unpredictable, our estimates of the probability and amount of any such liabilities involve significant judgment regarding future events.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records receivables from its insurance carriers only when the realization of the potential claim for recovery is considered probable.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b w:val="1"/>
          <w:bCs w:val="1"/>
          <w:i w:val="1"/>
          <w:iCs w:val="1"/>
          <w:color w:val="auto"/>
        </w:rPr>
        <w:t>Contingent Consideration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of the Company’s acquisitions involve the potential for future payment of consideration that is contingent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generally recorded as adjustments to the cost of the acquired assets. Contingent consideration liabilities related to a business combination are initially recorded at fair value on the acquisition date using unobservable inputs.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Company remeasures its contingent consideration liabilities to their current estimated fair values, with changes recorded in earnings. Changes to any of the inputs used in determining fair value may result in fair value adjustments that differ significantly from the actual remeasurement adjustments recognized.</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Share Repurchases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accounts for the repurchase of ordinary shares, if any, at par value. Under applicable Irish law,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repurchased are retired and not displayed separately as treasury stock. Upon retirement of the ordinary shares, the Company records the difference between the weighted average cost of such ordinary shares and the par value of the ordinary shares as an adjustment to Accumulated deficit in the Consolidated Balance Sheets.</w:t>
      </w:r>
    </w:p>
    <w:p>
      <w:pPr>
        <w:spacing w:after="0" w:line="7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are expensed as incurred and included in Selling, general and administrative expenses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Advertising costs amounted to $130.4 million, $136.8 million and $76.0 million for the years ended December 31, 2022, 2021 and 2020, respectively.</w:t>
      </w:r>
    </w:p>
    <w:p>
      <w:pPr>
        <w:spacing w:after="0" w:line="76"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b w:val="1"/>
          <w:bCs w:val="1"/>
          <w:i w:val="1"/>
          <w:iCs w:val="1"/>
          <w:color w:val="auto"/>
        </w:rPr>
        <w:t>Cost of Revenues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revenues includes all costs directly related to bringing both purchased and manufactured products to their final selling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Amounts include purchasing and receiving costs, direct and indirect costs to manufacture products including direct materials, direct labor and direct overhead expenses necessary to acquire and convert purchased materials and supplies into finished goods, royalties paid or owed by Endo on certain in-licensed products, inspection costs, depreciation of certain property, plant and equipment, amortization of intangible assets, lease costs, warehousing costs, freight charges, costs to operate our equipment and other shipping and handling costs, among others.</w:t>
      </w:r>
    </w:p>
    <w:p>
      <w:pPr>
        <w:spacing w:after="0" w:line="6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Restructuring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charges related to nonretirement postemployment benefits that fall under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Topic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712, Compensation—Nonretirement Postemployment Benefits </w:t>
      </w:r>
      <w:r>
        <w:rPr>
          <w:rFonts w:ascii="Arial" w:cs="Arial" w:eastAsia="Arial" w:hAnsi="Arial"/>
          <w:sz w:val="18"/>
          <w:szCs w:val="18"/>
          <w:color w:val="auto"/>
        </w:rPr>
        <w:t>are recognized when the severance liability is determined to be probable of being paid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reasonably estimable. One-time benefits related to restructurings, if any, are recognized in accordance with </w:t>
      </w:r>
      <w:r>
        <w:rPr>
          <w:rFonts w:ascii="Arial" w:cs="Arial" w:eastAsia="Arial" w:hAnsi="Arial"/>
          <w:sz w:val="18"/>
          <w:szCs w:val="18"/>
          <w:i w:val="1"/>
          <w:iCs w:val="1"/>
          <w:color w:val="auto"/>
        </w:rPr>
        <w:t>Accounting Standards Codification Topic 420,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Exit or Disposal Cost Obligations </w:t>
      </w:r>
      <w:r>
        <w:rPr>
          <w:rFonts w:ascii="Arial" w:cs="Arial" w:eastAsia="Arial" w:hAnsi="Arial"/>
          <w:sz w:val="18"/>
          <w:szCs w:val="18"/>
          <w:color w:val="auto"/>
        </w:rPr>
        <w:t>when the programs are approved, the affected employees are identified, the terms of the arrangement are established, it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changes to the plan are unlikely to occur and the arrangements are communicated to employees. Other restructuring costs are generally expensed as incurred.</w:t>
      </w:r>
    </w:p>
    <w:p>
      <w:pPr>
        <w:spacing w:after="0" w:line="84"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time to time, the Company grants share-based compensation awards to certain employees and non-employee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Generally, the grant-date fair value of each award is recognized as expense over the requisite service period. However, expense recognition differs in the case of certain PSUs where the ultimate payout is performance-based. For these awards, at each reporting period, the Company generally estimates the ultimate payout and adjusts the cumulative expense based on its estimate and the percent of the requisite service period that has elapsed. Share-based compensation expense is reduced for estimated future forfeitures. These estimates are revised in future periods if actual forfeitures differ from the estimates. Changes in forfeiture estimates impact compensation expense in the period in which the change in estimate occurs. New ordinary shares are generally issued upon the exercise of stock options or vesting of stock awards by employees and non-employee directors. Refer to Note 19. Share-based Compensation for additional discussion.</w:t>
      </w:r>
    </w:p>
    <w:p>
      <w:pPr>
        <w:spacing w:after="0" w:line="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Foreign Currency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operates in various jurisdictions both inside and outside of the U.S. While the Company’s reporting currency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dollar, the Company has concluded that certain of its distinct and separable operations have functional currencies other than the U.S. dollar. Further, certain of the Company’s operations hold assets and liabilities and recognize income and expenses denominated in various local currencies, which may differ from their functional currencies.</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Assets and liabilities are first remeasured from local currency to functional currency, generally using end-of-period exchange rates. Foreign currency income and expenses are generally remeasured using average exchange rates in effect during the year. In the case of nonmonetary assets and liabilities such as inventories, prepaid expenses, property, plant and equipment, goodwill and other intangible assets, and related income statement amounts, such as depreciation expense, historical exchange rates are used for remeasurement. The net effect of remeasurement is included in Other income, net in the Consolidated Statements of Operations.</w:t>
      </w:r>
    </w:p>
    <w:p>
      <w:pPr>
        <w:spacing w:after="0" w:line="8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part of the Company’s consolidation process, assets and liabilities of entities with functional currencies other than the U.S. dollar are translated into U.S. dollars at end-of-period exchange rates. Income and expenses are translated using average exchange rates in effect during the year. The net effect of translation, as well as any foreign currency gains or losses on intercompany transactions considered to be of a long-term investment nature, are recognized as foreign currency translation, a component of Other comprehensive (loss) income. Upon the sale or liquidation of an investment in a foreign operation, the Company records a reclassification adjustment out of Other comprehensive (loss) income for the corresponding accumulated amount of foreign currency translation gain or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accounts for income taxes under the asset and liability method, which requires the recognition of deferred tax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a determination, the Company considers all available positive and negative evidence, including projected future taxable income, tax-planning strategies and results of recent operations. In the event that the Company were to determine that it would be able to realize its deferred tax assets in the future in excess of their net recorded amount, the Company would make an adjustment to the deferred tax asset valuation allowance, which would reduce the provision for income tax.</w:t>
      </w:r>
    </w:p>
    <w:p>
      <w:pPr>
        <w:spacing w:after="0" w:line="7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 records unrecognized income tax positions (UTPs) on the basis of a two-step process whereby the Company first determines whether it is more likely than not that the tax positions will be sustained based on the technical merits of the position and then measures those tax positions that meet the more-likely-than-not recognition threshold. The Company recognizes the largest amount of tax benefit that is greater than 50% likely to be realized upon ultimate settlement with the tax authority. The Company generally recognizes changes in UTPs, interest and penalties in the Income tax expense line in the Consolidated Statements of Operations. Refer to Note 21. Income Taxes for information about the classification of liabilities related to UTPs, including interest and penalties, in the Consolidated Balance Sheets.</w:t>
      </w:r>
    </w:p>
    <w:p>
      <w:pPr>
        <w:spacing w:after="0" w:line="70"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Comprehensive income or loss includes all changes in equity during a period except those that resulted from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or distributions to a company’s shareholders. Other comprehensive income or loss refers to revenues, expenses, gains and losses that are included in comprehensive income, but excluded from net income as these amounts are recorded directly as an adjustment to shareholders’ equity.</w:t>
      </w:r>
    </w:p>
    <w:p>
      <w:pPr>
        <w:spacing w:after="0" w:line="4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Government Assistance Transactions</w:t>
      </w:r>
      <w:r>
        <w:rPr>
          <w:rFonts w:ascii="Arial" w:cs="Arial" w:eastAsia="Arial" w:hAnsi="Arial"/>
          <w:sz w:val="18"/>
          <w:szCs w:val="18"/>
          <w:color w:val="auto"/>
        </w:rPr>
        <w:t>. Our PSP LLC subsidiary is party to the U.S. Government Agreement. Under the terms of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Agreement, our Rochester facility will establish new sterile fill-finish manufacturing assets capable of processing liquid or lyophilized products requiring Biosafety Level (BSL) 2 containment in order to establish and sustain BSL 2 sterile fill-finish production capacity to create and maintain industrial base capabilities for the national defense.</w:t>
      </w:r>
    </w:p>
    <w:p>
      <w:pPr>
        <w:spacing w:after="0" w:line="79"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 xml:space="preserve">The Company has concluded that reimbursements it receives pursuant to the U.S. Government Agreement, which are further described below, are not within the scope of </w:t>
      </w:r>
      <w:r>
        <w:rPr>
          <w:rFonts w:ascii="Arial" w:cs="Arial" w:eastAsia="Arial" w:hAnsi="Arial"/>
          <w:sz w:val="16"/>
          <w:szCs w:val="16"/>
          <w:i w:val="1"/>
          <w:iCs w:val="1"/>
          <w:color w:val="auto"/>
        </w:rPr>
        <w:t>Accounting Standards Codification Topic 606, Revenue from Contracts with Customers</w:t>
      </w:r>
      <w:r>
        <w:rPr>
          <w:rFonts w:ascii="Arial" w:cs="Arial" w:eastAsia="Arial" w:hAnsi="Arial"/>
          <w:sz w:val="16"/>
          <w:szCs w:val="16"/>
          <w:color w:val="auto"/>
        </w:rPr>
        <w:t xml:space="preserve"> (ASC 606) because the U.S. government does not meet the definition of a “customer” as defined by ASC 606. We are instead accounting for the U.S. Government Agreement under other guidance including, for elements of the contract for which there is no authoritative guidance under U.S. GAAP, by applying the relevant accounting principles contained in </w:t>
      </w:r>
      <w:r>
        <w:rPr>
          <w:rFonts w:ascii="Arial" w:cs="Arial" w:eastAsia="Arial" w:hAnsi="Arial"/>
          <w:sz w:val="16"/>
          <w:szCs w:val="16"/>
          <w:i w:val="1"/>
          <w:iCs w:val="1"/>
          <w:color w:val="auto"/>
        </w:rPr>
        <w:t>International Accounting Standards 20—Accounting for Government Grants and Disclosure of Government Assistance</w:t>
      </w:r>
      <w:r>
        <w:rPr>
          <w:rFonts w:ascii="Arial" w:cs="Arial" w:eastAsia="Arial" w:hAnsi="Arial"/>
          <w:sz w:val="16"/>
          <w:szCs w:val="16"/>
          <w:color w:val="auto"/>
        </w:rPr>
        <w:t xml:space="preserve"> by analogy.</w:t>
      </w:r>
    </w:p>
    <w:p>
      <w:pPr>
        <w:spacing w:after="0" w:line="53"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Under this model, reimbursements we receive from the U.S. government for qualifying capital expenditures meet the definition of grants related to assets as the primary purpose for the reimbursements is to fund the purchase and construction of capital assets to increase production capacity. We recognize these reimbursements as deferred income in the Consolidated Balance Sheets as either Accounts payable and accrued expenses (for any current portion) or Other liabilities (for any noncurrent portion) when there is reasonable assurance the conditions of the grant will be met and the grant will be received. Refer to Note 16. Commitments and Contingencies for additional discussion of this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AND ASSET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operating results of the Company’s Astora business, which the Board resolved to wind down in 2016, are reported as Discontinued operations, net of tax in the Consolidated Statements of Operations for all periods presented. The following table provides the operating results of Astora Discontinued operations, net of tax, for the years ended December 31, 2022, 2021 and 2020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5"/>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(49,594)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(67,847)</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(13,487)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(44,164)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(63,520)</w:t>
            </w:r>
          </w:p>
        </w:tc>
      </w:tr>
    </w:tbl>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cash flows from discontinued operating activities related to Astora included the impact of net losses of $13.5 million, $44.2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$63.5 million for the years ended December 31, 2022, 2021 and 2020, respectively, and the impact of cash activity related to vaginal mesh cases.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periods presented above, there were no material net cash flows related to Astora discontinued investing activities and there was no depreciation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Astora.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Assets and Liabilities of Endo’s Retail Generics Business</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7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Certain of these sites and certain corresponding assets and liabilities were sold in 2021 to subsidiaries of Strides Pharma Science Limited and certain other entities. The assets sold included certain of our manufacturing facilities and related fixed assets in Chestnut Ridge, New York and Irvine, California, as well as certain U.S. retail generics products and certain related product inventory. As a result of these sales, we became entitled to aggregate cash consideration of approximately $25.6 million, substantially all of which was received by December 31, 2021, as well as certain non-cash consideration of approximately $5.8 million. In connection with these sales, we recognized the following amounts in 2021: (i) a pre-tax disposal loss of $42.2 million to write down the carrying amount of the disposal group to fair value, less cost to sell, which we recorded in Asset impairment charges in the Consolidated Statements of Operations, and (ii) a pre-tax net reversal of $25.4 million of expense, primarily related to avoided severance costs for employees that transitioned to the purchasers in connection with these 2021 sales.</w:t>
      </w:r>
    </w:p>
    <w:p>
      <w:pPr>
        <w:spacing w:after="0" w:line="70" w:lineRule="exact"/>
        <w:rPr>
          <w:sz w:val="20"/>
          <w:szCs w:val="20"/>
          <w:color w:val="auto"/>
        </w:rPr>
      </w:pPr>
    </w:p>
    <w:p>
      <w:pPr>
        <w:ind w:right="340" w:firstLine="486"/>
        <w:spacing w:after="0" w:line="275" w:lineRule="auto"/>
        <w:rPr>
          <w:sz w:val="20"/>
          <w:szCs w:val="20"/>
          <w:color w:val="auto"/>
        </w:rPr>
      </w:pPr>
      <w:r>
        <w:rPr>
          <w:rFonts w:ascii="Arial" w:cs="Arial" w:eastAsia="Arial" w:hAnsi="Arial"/>
          <w:sz w:val="17"/>
          <w:szCs w:val="17"/>
          <w:color w:val="auto"/>
        </w:rPr>
        <w:t>In 2022, we entered into a definitive agreement to sell certain additional assets located in Chestnut Ridge, New York to Ram Ridge Partners BH LLC. The assets primarily consisted of property, plant and equipment. In October 2022, the Bankruptcy Court approved the sale of the assets. The sale closed during the fourth quarter of 2022. As a result of this sale, we became entitled to aggregate cash consideration of approximately $18.5 million, substantially all of which was received by December 31, 2022. In connection with this sale, we recognized a pre-tax disposal gain of approximately $8.4 million in 2022, which we recorded in Other income, net in the Consolidated Statements of Operations.</w:t>
      </w:r>
    </w:p>
    <w:p>
      <w:pPr>
        <w:spacing w:after="0" w:line="6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assets described in this section, which primarily related to the Company’s Generic Pharmaceuticals segment, did not meet the requirements for treatment as a discontinued operation. The amounts described in this section that were recognized in our Consolidated Statements of Operations are included in the quantitative disclosures of the 2020 Restructuring Initiative included in Note 5. Restructuring.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noted above, in November 2020, the Company announced the initiation of several strategic actions to further optimize the Company’s operations and increase overall efficiency. These actions were initiated with the expectation of, among other things, generating significant cost savings to be reinvested, among other things, to support the Company’s key strategic priority to expand and enhance its product portfolio. These actions included the following:</w:t>
      </w:r>
    </w:p>
    <w:p>
      <w:pPr>
        <w:spacing w:after="0" w:line="2" w:lineRule="exact"/>
        <w:rPr>
          <w:sz w:val="20"/>
          <w:szCs w:val="20"/>
          <w:color w:val="auto"/>
        </w:rPr>
      </w:pPr>
    </w:p>
    <w:p>
      <w:pPr>
        <w:ind w:left="900" w:right="480" w:hanging="244"/>
        <w:spacing w:after="0" w:line="250" w:lineRule="auto"/>
        <w:tabs>
          <w:tab w:leader="none" w:pos="8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Optimizing the Company’s retail generics business cost structure by exiting manufacturing and other sites in Irvine, California, Chestnut Ridge, New York and India.</w:t>
      </w:r>
    </w:p>
    <w:p>
      <w:pPr>
        <w:ind w:left="900" w:right="120" w:hanging="244"/>
        <w:spacing w:after="0" w:line="250" w:lineRule="auto"/>
        <w:tabs>
          <w:tab w:leader="none" w:pos="8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Improving operating flexibility and reducing general and administrative costs by transferring certain transaction processing activities to third-party global business process service providers.</w:t>
      </w:r>
    </w:p>
    <w:p>
      <w:pPr>
        <w:ind w:left="900" w:right="60" w:hanging="244"/>
        <w:spacing w:after="0" w:line="260" w:lineRule="auto"/>
        <w:tabs>
          <w:tab w:leader="none" w:pos="8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7" w:lineRule="exact"/>
        <w:rPr>
          <w:sz w:val="20"/>
          <w:szCs w:val="20"/>
          <w:color w:val="auto"/>
        </w:rPr>
      </w:pPr>
    </w:p>
    <w:p>
      <w:pPr>
        <w:ind w:right="340" w:firstLine="486"/>
        <w:spacing w:after="0" w:line="291" w:lineRule="auto"/>
        <w:rPr>
          <w:sz w:val="20"/>
          <w:szCs w:val="20"/>
          <w:color w:val="auto"/>
        </w:rPr>
      </w:pPr>
      <w:r>
        <w:rPr>
          <w:rFonts w:ascii="Arial" w:cs="Arial" w:eastAsia="Arial" w:hAnsi="Arial"/>
          <w:sz w:val="16"/>
          <w:szCs w:val="16"/>
          <w:color w:val="auto"/>
        </w:rPr>
        <w:t>As a result of the 2020 Restructuring Initiative, the Company’s global workforce was reduced by approximately 300 net full-time positions. The Company expects to realize annualized pre-tax cash savings (without giving effect to the costs described below) of approximately $85 million to</w:t>
      </w:r>
    </w:p>
    <w:p>
      <w:pPr>
        <w:ind w:right="220"/>
        <w:spacing w:after="0" w:line="255" w:lineRule="auto"/>
        <w:rPr>
          <w:sz w:val="20"/>
          <w:szCs w:val="20"/>
          <w:color w:val="auto"/>
        </w:rPr>
      </w:pPr>
      <w:r>
        <w:rPr>
          <w:rFonts w:ascii="Arial" w:cs="Arial" w:eastAsia="Arial" w:hAnsi="Arial"/>
          <w:sz w:val="18"/>
          <w:szCs w:val="18"/>
          <w:color w:val="auto"/>
        </w:rPr>
        <w:t>$95 million by the first half of 2023, primarily related to reductions in Cost of revenues of approximately $65 million to $70 million and other expenses, including Selling, general and administrative and Research and development expenses, of approximately $20 million to $25 million. Future costs associated with the 2020 Restructuring Initiative are not expected to be material.</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pre-tax net amounts related to the 2020 Restructuring Initiative are included in the Company’s Consolidated Statements of Operations during the years ended December 31, 2022, 2021 and 2020 (in thousands):</w:t>
      </w: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related to:</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00" w:type="dxa"/>
            <w:vAlign w:val="bottom"/>
          </w:tcPr>
          <w:p>
            <w:pPr>
              <w:ind w:left="120"/>
              <w:spacing w:after="0"/>
              <w:rPr>
                <w:sz w:val="20"/>
                <w:szCs w:val="20"/>
                <w:color w:val="auto"/>
              </w:rPr>
            </w:pPr>
            <w:r>
              <w:rPr>
                <w:rFonts w:ascii="Arial" w:cs="Arial" w:eastAsia="Arial" w:hAnsi="Arial"/>
                <w:sz w:val="18"/>
                <w:szCs w:val="18"/>
                <w:color w:val="auto"/>
              </w:rPr>
              <w:t>Accelerated depreciation</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22,459</w:t>
            </w:r>
          </w:p>
        </w:tc>
      </w:tr>
      <w:tr>
        <w:trPr>
          <w:trHeight w:val="230"/>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29"/>
        </w:trPr>
        <w:tc>
          <w:tcPr>
            <w:tcW w:w="6900" w:type="dxa"/>
            <w:vAlign w:val="bottom"/>
          </w:tcPr>
          <w:p>
            <w:pPr>
              <w:ind w:left="120"/>
              <w:spacing w:after="0"/>
              <w:rPr>
                <w:sz w:val="20"/>
                <w:szCs w:val="20"/>
                <w:color w:val="auto"/>
              </w:rPr>
            </w:pPr>
            <w:r>
              <w:rPr>
                <w:rFonts w:ascii="Arial" w:cs="Arial" w:eastAsia="Arial" w:hAnsi="Arial"/>
                <w:sz w:val="18"/>
                <w:szCs w:val="18"/>
                <w:color w:val="auto"/>
              </w:rPr>
              <w:t>Inventory adjustments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r>
      <w:tr>
        <w:trPr>
          <w:trHeight w:val="229"/>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separation, continuity and other benefit-related costs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60,025</w:t>
            </w:r>
          </w:p>
        </w:tc>
      </w:tr>
      <w:tr>
        <w:trPr>
          <w:trHeight w:val="230"/>
        </w:trPr>
        <w:tc>
          <w:tcPr>
            <w:tcW w:w="6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Certain other restructuring costs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48"/>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These pre-tax net amounts were primarily attributable to our Generic Pharmaceuticals segment, which incurred $5.4 million, $49.9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$79.0 million of pre-tax net charges during the years ended December 31, 2022, 2021 and 2020, respectively. The remaining amounts related to our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segments and certain corporate unallocated costs.</w:t>
      </w:r>
    </w:p>
    <w:p>
      <w:pPr>
        <w:spacing w:after="0" w:line="10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of December 31, 2022, cumulative amounts incurred to date include charges related to accelerated depreciation of approximately $51.0 million, asset impairments related to certain identifiable intangible assets, operating lease assets and disposal groups totaling approximately $49.5 million, inventory adjustments of approximately $11.6 million, employee separation, continuity and other benefit-related costs, net of approximately $53.9 million and certain other restructuring costs of approximately $3.5 million. Of these amounts, approximately $134.3 million was attributable to the Generic Pharmaceuticals segment, with the remaining amounts relating to our other segments and certain corporate unallocated costs.</w:t>
      </w:r>
    </w:p>
    <w:p>
      <w:pPr>
        <w:spacing w:after="0" w:line="68"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pre-tax net amounts related to the 2020 Restructuring Initiative are included in the Company’s Consolidated Statements of Operations during the years ended December 31, 2022, 2021 and 2020 (in thousands):</w:t>
      </w: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included in: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0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53,297</w:t>
            </w:r>
          </w:p>
        </w:tc>
      </w:tr>
      <w:tr>
        <w:trPr>
          <w:trHeight w:val="230"/>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27,857</w:t>
            </w:r>
          </w:p>
        </w:tc>
      </w:tr>
      <w:tr>
        <w:trPr>
          <w:trHeight w:val="230"/>
        </w:trPr>
        <w:tc>
          <w:tcPr>
            <w:tcW w:w="69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3,104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5,091</w:t>
            </w:r>
          </w:p>
        </w:tc>
      </w:tr>
      <w:tr>
        <w:trPr>
          <w:trHeight w:val="230"/>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 charges</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30"/>
        </w:trPr>
        <w:tc>
          <w:tcPr>
            <w:tcW w:w="69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In addition to the pre-tax net amounts summarized above, as part of the 2020 Restructuring Initiative, we recognized a pre-tax disposal gain of approximately $8.4 million during the fourth quarter of 2022 as a result of the Chestnut Ridge, New York sale transaction, which is further described in Note 4. Discontinued Operations and Asset Sales. The assets sold primarily related to our Generic Pharmaceuticals segment.</w:t>
      </w:r>
    </w:p>
    <w:p>
      <w:pPr>
        <w:spacing w:after="0" w:line="57" w:lineRule="exact"/>
        <w:rPr>
          <w:sz w:val="20"/>
          <w:szCs w:val="20"/>
          <w:color w:val="auto"/>
        </w:rPr>
      </w:pPr>
    </w:p>
    <w:p>
      <w:pPr>
        <w:ind w:right="720" w:firstLine="486"/>
        <w:spacing w:after="0" w:line="269" w:lineRule="auto"/>
        <w:rPr>
          <w:sz w:val="20"/>
          <w:szCs w:val="20"/>
          <w:color w:val="auto"/>
        </w:rPr>
      </w:pPr>
      <w:r>
        <w:rPr>
          <w:rFonts w:ascii="Arial" w:cs="Arial" w:eastAsia="Arial" w:hAnsi="Arial"/>
          <w:sz w:val="18"/>
          <w:szCs w:val="18"/>
          <w:color w:val="auto"/>
        </w:rPr>
        <w:t>Changes to the liability for the 2020 Restructuring Initiative during the years ended December 31, 2022, 2021 and 2020 were as follows (in thousands):</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5"/>
              </w:rPr>
              <w:t>Continuity and</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Related Costs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2019</w:t>
            </w:r>
          </w:p>
        </w:tc>
        <w:tc>
          <w:tcPr>
            <w:tcW w:w="26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Liability balance as of December 31, 2020</w:t>
            </w:r>
          </w:p>
        </w:tc>
        <w:tc>
          <w:tcPr>
            <w:tcW w:w="2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59,002</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(charge reversals) charges</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2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(44,145)</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2021</w:t>
            </w:r>
          </w:p>
        </w:tc>
        <w:tc>
          <w:tcPr>
            <w:tcW w:w="2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Liability balance as of December 31, 2022</w:t>
            </w:r>
          </w:p>
        </w:tc>
        <w:tc>
          <w:tcPr>
            <w:tcW w:w="26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280" w:type="dxa"/>
            <w:vAlign w:val="bottom"/>
          </w:tcPr>
          <w:p>
            <w:pPr>
              <w:spacing w:after="0"/>
              <w:rPr>
                <w:sz w:val="24"/>
                <w:szCs w:val="24"/>
                <w:color w:val="auto"/>
              </w:rPr>
            </w:pPr>
          </w:p>
        </w:tc>
        <w:tc>
          <w:tcPr>
            <w:tcW w:w="2820" w:type="dxa"/>
            <w:vAlign w:val="bottom"/>
            <w:gridSpan w:val="2"/>
          </w:tcPr>
          <w:p>
            <w:pPr>
              <w:jc w:val="right"/>
              <w:ind w:right="1210"/>
              <w:spacing w:after="0"/>
              <w:rPr>
                <w:sz w:val="20"/>
                <w:szCs w:val="20"/>
                <w:color w:val="auto"/>
              </w:rPr>
            </w:pPr>
            <w:r>
              <w:rPr>
                <w:rFonts w:ascii="Arial" w:cs="Arial" w:eastAsia="Arial" w:hAnsi="Arial"/>
                <w:sz w:val="18"/>
                <w:szCs w:val="18"/>
                <w:color w:val="auto"/>
              </w:rPr>
              <w:t>F-27</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Restructuring Initiative</w:t>
      </w:r>
    </w:p>
    <w:p>
      <w:pPr>
        <w:spacing w:after="0" w:line="121" w:lineRule="exact"/>
        <w:rPr>
          <w:sz w:val="20"/>
          <w:szCs w:val="20"/>
          <w:color w:val="auto"/>
        </w:rPr>
      </w:pPr>
    </w:p>
    <w:p>
      <w:pPr>
        <w:ind w:right="40" w:firstLine="486"/>
        <w:spacing w:after="0" w:line="260" w:lineRule="auto"/>
        <w:rPr>
          <w:sz w:val="20"/>
          <w:szCs w:val="20"/>
          <w:color w:val="auto"/>
        </w:rPr>
      </w:pPr>
      <w:r>
        <w:rPr>
          <w:rFonts w:ascii="Arial" w:cs="Arial" w:eastAsia="Arial" w:hAnsi="Arial"/>
          <w:sz w:val="17"/>
          <w:szCs w:val="17"/>
          <w:color w:val="auto"/>
        </w:rPr>
        <w:t>In April 2022, the Company communicated the initiation of actions to streamline and simplify certain functions, including its commercial organization, to increase its overall organizational effectiveness and better align with current and future needs. In December 2022, the Company announced it would be taking certain additional actions to cease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In December 2022, the Bankruptcy Court approved an order authorizing the Company to cease the production and commercialization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granting related relief.</w:t>
      </w:r>
    </w:p>
    <w:p>
      <w:pPr>
        <w:spacing w:after="0" w:line="1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a result of the 2022 Restructuring Initiative, the Company’s global workforce is ultimately expected to be reduced by up to approximately 190 net full-time positions. The Company expects to realize annualized pre-tax cash savings (without giving effect to the costs described below) of approximately $105 million to $125 million by the end of 2023, primarily related to reductions in Selling, general and administrative expenses and Cost of revenues. Future costs associated with the 2022 Restructuring Initiative are not expected to be material.</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pre-tax net amounts related to the 2022 Restructuring Initiative are included in the Company’s Consolidated Statements of Operations during the year ended December 31, 2022 (in thousands):</w:t>
      </w:r>
    </w:p>
    <w:tbl>
      <w:tblPr>
        <w:tblLayout w:type="fixed"/>
        <w:tblInd w:w="2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5"/>
        </w:trPr>
        <w:tc>
          <w:tcPr>
            <w:tcW w:w="9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related to:</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984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180,248</w:t>
            </w:r>
          </w:p>
        </w:tc>
      </w:tr>
      <w:tr>
        <w:trPr>
          <w:trHeight w:val="230"/>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34,870</w:t>
            </w:r>
          </w:p>
        </w:tc>
      </w:tr>
      <w:tr>
        <w:trPr>
          <w:trHeight w:val="229"/>
        </w:trPr>
        <w:tc>
          <w:tcPr>
            <w:tcW w:w="9840" w:type="dxa"/>
            <w:vAlign w:val="bottom"/>
          </w:tcPr>
          <w:p>
            <w:pPr>
              <w:ind w:left="120"/>
              <w:spacing w:after="0"/>
              <w:rPr>
                <w:sz w:val="20"/>
                <w:szCs w:val="20"/>
                <w:color w:val="auto"/>
              </w:rPr>
            </w:pPr>
            <w:r>
              <w:rPr>
                <w:rFonts w:ascii="Arial" w:cs="Arial" w:eastAsia="Arial" w:hAnsi="Arial"/>
                <w:sz w:val="18"/>
                <w:szCs w:val="18"/>
                <w:color w:val="auto"/>
              </w:rPr>
              <w:t>Employee separation, continuity and other benefit-related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28,345</w:t>
            </w:r>
          </w:p>
        </w:tc>
      </w:tr>
      <w:tr>
        <w:trPr>
          <w:trHeight w:val="229"/>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other restructuring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r>
      <w:tr>
        <w:trPr>
          <w:trHeight w:val="223"/>
        </w:trPr>
        <w:tc>
          <w:tcPr>
            <w:tcW w:w="984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252,119</w:t>
            </w:r>
          </w:p>
        </w:tc>
      </w:tr>
      <w:tr>
        <w:trPr>
          <w:trHeight w:val="21"/>
        </w:trPr>
        <w:tc>
          <w:tcPr>
            <w:tcW w:w="9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80" w:firstLine="486"/>
        <w:spacing w:after="0" w:line="263" w:lineRule="auto"/>
        <w:rPr>
          <w:sz w:val="20"/>
          <w:szCs w:val="20"/>
          <w:color w:val="auto"/>
        </w:rPr>
      </w:pPr>
      <w:r>
        <w:rPr>
          <w:rFonts w:ascii="Arial" w:cs="Arial" w:eastAsia="Arial" w:hAnsi="Arial"/>
          <w:sz w:val="18"/>
          <w:szCs w:val="18"/>
          <w:color w:val="auto"/>
        </w:rPr>
        <w:t>These pre-tax net amounts were primarily attributable to our Branded Pharmaceuticals segment, which incurred $238.6 million of pre-tax net charges during the year ended December 31, 2022. The remaining amounts related to our Generic Pharmaceuticals segment and certain corporate unallocated costs.</w:t>
      </w:r>
    </w:p>
    <w:p>
      <w:pPr>
        <w:spacing w:after="0" w:line="76"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pre-tax net amounts related to the 2022 Restructuring Initiative are included in the Company’s Consolidated Statements of Operations during the year ended December 31, 2022 (in thousands):</w:t>
      </w:r>
    </w:p>
    <w:tbl>
      <w:tblPr>
        <w:tblLayout w:type="fixed"/>
        <w:tblInd w:w="2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5"/>
        </w:trPr>
        <w:tc>
          <w:tcPr>
            <w:tcW w:w="9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included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984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49,078</w:t>
            </w:r>
          </w:p>
        </w:tc>
      </w:tr>
      <w:tr>
        <w:trPr>
          <w:trHeight w:val="230"/>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w:t>
            </w:r>
          </w:p>
        </w:tc>
      </w:tr>
      <w:tr>
        <w:trPr>
          <w:trHeight w:val="229"/>
        </w:trPr>
        <w:tc>
          <w:tcPr>
            <w:tcW w:w="98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4,101</w:t>
            </w:r>
          </w:p>
        </w:tc>
      </w:tr>
      <w:tr>
        <w:trPr>
          <w:trHeight w:val="230"/>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180,248</w:t>
            </w:r>
          </w:p>
        </w:tc>
      </w:tr>
      <w:tr>
        <w:trPr>
          <w:trHeight w:val="223"/>
        </w:trPr>
        <w:tc>
          <w:tcPr>
            <w:tcW w:w="984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252,119</w:t>
            </w:r>
          </w:p>
        </w:tc>
      </w:tr>
      <w:tr>
        <w:trPr>
          <w:trHeight w:val="20"/>
        </w:trPr>
        <w:tc>
          <w:tcPr>
            <w:tcW w:w="9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to the liability for the 2022 Restructuring Initiative during the year ended December 31, 2022 were as follows (in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Separation,</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Continuity and</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Other Benefit-</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Related Costs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Liability balance as of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liability at December 31, 2022 is classified as current and is included in Accounts payable and accrued expenses in the Consolidated Balance Sheets.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RESULTS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evaluate segment performance based on Segment adjusted income from continuing operations before income tax, which we define as Loss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ind w:right="24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in the areas of urology, orthopedics, endocrinology and bariatrics, among others.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AVEED</w:t>
      </w:r>
      <w:r>
        <w:rPr>
          <w:rFonts w:ascii="Arial" w:cs="Arial" w:eastAsia="Arial" w:hAnsi="Arial"/>
          <w:sz w:val="23"/>
          <w:szCs w:val="23"/>
          <w:color w:val="auto"/>
          <w:vertAlign w:val="superscript"/>
        </w:rPr>
        <w:t>®</w:t>
      </w:r>
      <w:r>
        <w:rPr>
          <w:rFonts w:ascii="Arial" w:cs="Arial" w:eastAsia="Arial" w:hAnsi="Arial"/>
          <w:sz w:val="18"/>
          <w:szCs w:val="18"/>
          <w:color w:val="auto"/>
        </w:rPr>
        <w:t>,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EDEX</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jc w:val="both"/>
        <w:ind w:right="120" w:firstLine="486"/>
        <w:spacing w:after="0" w:line="201"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Merck’s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Our International Pharmaceuticals segment includes a variety of specialty pharmaceutical products, including OTC products, sold outside the U.S., primarily in Canada through our operating company Paladin.</w:t>
      </w:r>
    </w:p>
    <w:p>
      <w:pPr>
        <w:spacing w:after="0" w:line="62" w:lineRule="exact"/>
        <w:rPr>
          <w:sz w:val="20"/>
          <w:szCs w:val="20"/>
          <w:color w:val="auto"/>
        </w:rPr>
      </w:pPr>
    </w:p>
    <w:p>
      <w:pPr>
        <w:ind w:right="260" w:firstLine="486"/>
        <w:spacing w:after="0" w:line="269" w:lineRule="auto"/>
        <w:rPr>
          <w:sz w:val="20"/>
          <w:szCs w:val="20"/>
          <w:color w:val="auto"/>
        </w:rPr>
      </w:pPr>
      <w:r>
        <w:rPr>
          <w:rFonts w:ascii="Arial" w:cs="Arial" w:eastAsia="Arial" w:hAnsi="Arial"/>
          <w:sz w:val="18"/>
          <w:szCs w:val="18"/>
          <w:color w:val="auto"/>
        </w:rPr>
        <w:t>The following represents selected information for the Company’s reportable segments for the years ended December 31, 2022, 2021 and 2020 (in thousands):</w:t>
      </w: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5"/>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851,142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893,617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781,780</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1,238,847</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783,110</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2,318,875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2,993,206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2,903,074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income from continuing operations before income tax:</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366,554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384,186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377,526</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950,145</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87,178</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1,455,871</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accordance with U.S. GAAP, to our Total segment adjusted income from continuing operations before income tax for the years ended December 31,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(26,518)</w:t>
            </w:r>
          </w:p>
        </w:tc>
      </w:t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532,939</w:t>
            </w:r>
          </w:p>
        </w:tc>
      </w:tr>
      <w:tr>
        <w:trPr>
          <w:trHeight w:val="229"/>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157,723</w:t>
            </w:r>
          </w:p>
        </w:tc>
      </w:tr>
      <w:tr>
        <w:trPr>
          <w:trHeight w:val="229"/>
        </w:trPr>
        <w:tc>
          <w:tcPr>
            <w:tcW w:w="69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427,543</w:t>
            </w:r>
          </w:p>
        </w:tc>
      </w:tr>
      <w:tr>
        <w:trPr>
          <w:trHeight w:val="23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charges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33,329</w:t>
            </w:r>
          </w:p>
        </w:tc>
      </w:tr>
      <w:tr>
        <w:trPr>
          <w:trHeight w:val="175"/>
        </w:trPr>
        <w:tc>
          <w:tcPr>
            <w:tcW w:w="6900" w:type="dxa"/>
            <w:vAlign w:val="bottom"/>
          </w:tcPr>
          <w:p>
            <w:pPr>
              <w:ind w:left="40"/>
              <w:spacing w:after="0" w:line="176" w:lineRule="exact"/>
              <w:rPr>
                <w:sz w:val="20"/>
                <w:szCs w:val="20"/>
                <w:color w:val="auto"/>
              </w:rPr>
            </w:pPr>
            <w:r>
              <w:rPr>
                <w:rFonts w:ascii="Arial" w:cs="Arial" w:eastAsia="Arial" w:hAnsi="Arial"/>
                <w:sz w:val="18"/>
                <w:szCs w:val="18"/>
                <w:color w:val="auto"/>
                <w:w w:val="94"/>
              </w:rPr>
              <w:t>Amounts related to continuity and separation benefits, cost reductions and strategic review</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initiatives (2)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198,381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126,282</w:t>
            </w:r>
          </w:p>
        </w:tc>
      </w:tr>
      <w:tr>
        <w:trPr>
          <w:trHeight w:val="229"/>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67,819</w:t>
            </w:r>
          </w:p>
        </w:tc>
      </w:tr>
      <w:tr>
        <w:trPr>
          <w:trHeight w:val="229"/>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120,344</w:t>
            </w:r>
          </w:p>
        </w:tc>
      </w:tr>
      <w:tr>
        <w:trPr>
          <w:trHeight w:val="229"/>
        </w:trPr>
        <w:tc>
          <w:tcPr>
            <w:tcW w:w="690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16,549</w:t>
            </w:r>
          </w:p>
        </w:tc>
      </w:tr>
      <w:tr>
        <w:trPr>
          <w:trHeight w:val="23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40"/>
              <w:spacing w:after="0"/>
              <w:rPr>
                <w:sz w:val="20"/>
                <w:szCs w:val="20"/>
                <w:color w:val="auto"/>
              </w:rPr>
            </w:pPr>
            <w:r>
              <w:rPr>
                <w:rFonts w:ascii="Arial" w:cs="Arial" w:eastAsia="Arial" w:hAnsi="Arial"/>
                <w:sz w:val="18"/>
                <w:szCs w:val="18"/>
                <w:color w:val="auto"/>
                <w:w w:val="96"/>
              </w:rPr>
              <w:t>Foreign currency impact related to the remeasurement of intercompany debt instruments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29"/>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Reorganization items, net (7)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 (8)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16,991</w:t>
            </w:r>
          </w:p>
        </w:tc>
      </w:tr>
      <w:tr>
        <w:trPr>
          <w:trHeight w:val="248"/>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1,455,871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9" w:lineRule="exact"/>
        <w:rPr>
          <w:rFonts w:ascii="Arial" w:cs="Arial" w:eastAsia="Arial" w:hAnsi="Arial"/>
          <w:sz w:val="14"/>
          <w:szCs w:val="14"/>
          <w:color w:val="auto"/>
        </w:rPr>
      </w:pPr>
    </w:p>
    <w:p>
      <w:pPr>
        <w:ind w:left="580" w:right="40" w:hanging="329"/>
        <w:spacing w:after="0" w:line="278" w:lineRule="auto"/>
        <w:tabs>
          <w:tab w:leader="none" w:pos="572" w:val="left"/>
        </w:tabs>
        <w:numPr>
          <w:ilvl w:val="0"/>
          <w:numId w:val="60"/>
        </w:numPr>
        <w:rPr>
          <w:rFonts w:ascii="Arial" w:cs="Arial" w:eastAsia="Arial" w:hAnsi="Arial"/>
          <w:sz w:val="13"/>
          <w:szCs w:val="13"/>
          <w:color w:val="auto"/>
        </w:rPr>
      </w:pPr>
      <w:r>
        <w:rPr>
          <w:rFonts w:ascii="Arial" w:cs="Arial" w:eastAsia="Arial" w:hAnsi="Arial"/>
          <w:sz w:val="13"/>
          <w:szCs w:val="13"/>
          <w:color w:val="auto"/>
        </w:rPr>
        <w:t>Amounts in 2022 include net employee separation, continuity and other benefit-related charges of $85.6 million, accelerated depreciation charges of $3.8 million, inventory charges related to restructurings of $36.4 million and other net charges, including those related to strategic review initiatives, of $72.7 million. Amounts in 2021 include net employee separation, continuity and other benefit-related charges of $8.8 million, accelerated depreciation charges of $24.7 million and other net charges, including those related to strategic review initiatives, of $57.4 million. Amounts in 2020 include net employee separation, continuity and other benefit-related charges of $86.9 million, accelerated depreciation charges of $22.5 million and other net charges, including those related to strategic review initiatives, of $16.9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2" w:lineRule="exact"/>
        <w:rPr>
          <w:rFonts w:ascii="Arial" w:cs="Arial" w:eastAsia="Arial" w:hAnsi="Arial"/>
          <w:sz w:val="13"/>
          <w:szCs w:val="13"/>
          <w:color w:val="auto"/>
        </w:rPr>
      </w:pPr>
    </w:p>
    <w:p>
      <w:pPr>
        <w:ind w:left="580" w:right="140" w:hanging="329"/>
        <w:spacing w:after="0" w:line="255" w:lineRule="auto"/>
        <w:tabs>
          <w:tab w:leader="none" w:pos="57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Our material legal proceedings and other contingent matters are described in more detail in Note 16. Commitments and Contingencies.</w:t>
      </w:r>
    </w:p>
    <w:p>
      <w:pPr>
        <w:ind w:left="560" w:hanging="309"/>
        <w:spacing w:after="0"/>
        <w:tabs>
          <w:tab w:leader="none" w:pos="5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relate to opioid-related legal expenses. The amount in 2022 reflects the recovery of certain previously-incurred opioid-related legal expenses.</w:t>
      </w:r>
    </w:p>
    <w:p>
      <w:pPr>
        <w:spacing w:after="0" w:line="9" w:lineRule="exact"/>
        <w:rPr>
          <w:rFonts w:ascii="Arial" w:cs="Arial" w:eastAsia="Arial" w:hAnsi="Arial"/>
          <w:sz w:val="14"/>
          <w:szCs w:val="14"/>
          <w:color w:val="auto"/>
        </w:rPr>
      </w:pPr>
    </w:p>
    <w:p>
      <w:pPr>
        <w:ind w:left="580" w:right="60" w:hanging="329"/>
        <w:spacing w:after="0" w:line="261" w:lineRule="auto"/>
        <w:tabs>
          <w:tab w:leader="none" w:pos="57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property, plant and equipment, operating lease right-of-use assets and certain disposal group assets. For additional information, refer to Note 4. Discontinued Operations and Asset Sales, Note 5. Restructuring, Note 7. Fair Value Measurements, Note 9. Leases, Note 10. Property, Plant and Equipment and Note 11. Goodwill and Other Intangibles.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6" w:lineRule="exact"/>
        <w:rPr>
          <w:rFonts w:ascii="Arial" w:cs="Arial" w:eastAsia="Arial" w:hAnsi="Arial"/>
          <w:sz w:val="14"/>
          <w:szCs w:val="14"/>
          <w:color w:val="auto"/>
        </w:rPr>
      </w:pPr>
    </w:p>
    <w:p>
      <w:pPr>
        <w:ind w:left="580" w:right="340" w:hanging="329"/>
        <w:spacing w:after="0" w:line="257" w:lineRule="auto"/>
        <w:tabs>
          <w:tab w:leader="none" w:pos="57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ind w:left="580" w:right="40" w:hanging="329"/>
        <w:spacing w:after="0" w:line="262" w:lineRule="auto"/>
        <w:tabs>
          <w:tab w:leader="none" w:pos="57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in 2021 include gains of $15.5 million associated with the termination of certain contracts, partially offset by $3.9 million of third-party fees incurred in connection with the March 2021 Refinancing Transactions, which were accounted for as debt modification costs as further discussed in Note 15. Debt. Amounts in 2020 include $31.1 million of third-party fees incurred in connection with the June 2020 Refinancing Transactions (as defined below), which were accounted for as debt modification costs as further discussed in Note 15. Debt. Other amounts in this row relate to gains and losses on sales of businesses and other assets and certain other items.</w:t>
      </w:r>
    </w:p>
    <w:p>
      <w:pPr>
        <w:spacing w:after="0" w:line="91"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During the years ended December 31, 2022, 2021 and 2020,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00" w:type="dxa"/>
            <w:vAlign w:val="bottom"/>
          </w:tcPr>
          <w:p>
            <w:pPr>
              <w:ind w:left="12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XIAFLEX®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316,234</w:t>
            </w: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SUPPRELIN® LA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88,182</w:t>
            </w: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92,662</w:t>
            </w:r>
          </w:p>
        </w:tc>
      </w:tr>
      <w:tr>
        <w:trPr>
          <w:trHeight w:val="223"/>
        </w:trPr>
        <w:tc>
          <w:tcPr>
            <w:tcW w:w="6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497,078</w:t>
            </w:r>
          </w:p>
        </w:tc>
      </w:tr>
      <w:tr>
        <w:trPr>
          <w:trHeight w:val="210"/>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PERCOCET®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103,788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110,112</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TESTOPEL®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139,356</w:t>
            </w:r>
          </w:p>
        </w:tc>
      </w:tr>
      <w:tr>
        <w:trPr>
          <w:trHeight w:val="223"/>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284,702</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893,617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781,780</w:t>
            </w: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VASOSTRICT®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253,696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901,735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785,646</w:t>
            </w: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ADRENALIN®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152,074</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301,127</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1,238,847</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783,110</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2,318,875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2,993,206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2,903,074</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9"/>
          <w:szCs w:val="9"/>
          <w:color w:val="auto"/>
        </w:rPr>
        <w:t>®</w:t>
      </w:r>
      <w:r>
        <w:rPr>
          <w:rFonts w:ascii="Arial" w:cs="Arial" w:eastAsia="Arial" w:hAnsi="Arial"/>
          <w:sz w:val="14"/>
          <w:szCs w:val="14"/>
          <w:color w:val="auto"/>
        </w:rPr>
        <w:t>, NASCOBAL</w:t>
      </w:r>
      <w:r>
        <w:rPr>
          <w:rFonts w:ascii="Arial" w:cs="Arial" w:eastAsia="Arial" w:hAnsi="Arial"/>
          <w:sz w:val="9"/>
          <w:szCs w:val="9"/>
          <w:color w:val="auto"/>
        </w:rPr>
        <w:t>®</w:t>
      </w:r>
      <w:r>
        <w:rPr>
          <w:rFonts w:ascii="Arial" w:cs="Arial" w:eastAsia="Arial" w:hAnsi="Arial"/>
          <w:sz w:val="14"/>
          <w:szCs w:val="14"/>
          <w:color w:val="auto"/>
        </w:rPr>
        <w:t xml:space="preserve"> Nasal Spray and QWO</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580" w:right="180" w:hanging="329"/>
        <w:spacing w:after="0" w:line="261" w:lineRule="auto"/>
        <w:tabs>
          <w:tab w:leader="none" w:pos="5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2022 and/or any product having revenues in excess of $25 million during any completed quarterly period in 2022 or 2021.</w:t>
      </w:r>
    </w:p>
    <w:p>
      <w:pPr>
        <w:ind w:left="560" w:hanging="309"/>
        <w:spacing w:after="0" w:line="193" w:lineRule="auto"/>
        <w:tabs>
          <w:tab w:leader="none" w:pos="5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APLISOL</w:t>
      </w:r>
      <w:r>
        <w:rPr>
          <w:rFonts w:ascii="Arial" w:cs="Arial" w:eastAsia="Arial" w:hAnsi="Arial"/>
          <w:sz w:val="18"/>
          <w:szCs w:val="18"/>
          <w:color w:val="auto"/>
          <w:vertAlign w:val="superscript"/>
        </w:rPr>
        <w:t>®</w:t>
      </w:r>
      <w:r>
        <w:rPr>
          <w:rFonts w:ascii="Arial" w:cs="Arial" w:eastAsia="Arial" w:hAnsi="Arial"/>
          <w:sz w:val="14"/>
          <w:szCs w:val="14"/>
          <w:color w:val="auto"/>
        </w:rPr>
        <w:t>, ertapenem for injection and others.</w:t>
      </w:r>
    </w:p>
    <w:p>
      <w:pPr>
        <w:jc w:val="both"/>
        <w:ind w:left="580" w:right="340" w:hanging="329"/>
        <w:spacing w:after="0" w:line="259" w:lineRule="auto"/>
        <w:tabs>
          <w:tab w:leader="none" w:pos="5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During 2022, varenicline tablets (Endo’s generic version of Pfizer Inc.’s Chantix</w:t>
      </w:r>
      <w:r>
        <w:rPr>
          <w:rFonts w:ascii="Arial" w:cs="Arial" w:eastAsia="Arial" w:hAnsi="Arial"/>
          <w:sz w:val="9"/>
          <w:szCs w:val="9"/>
          <w:color w:val="auto"/>
        </w:rPr>
        <w:t>®</w:t>
      </w:r>
      <w:r>
        <w:rPr>
          <w:rFonts w:ascii="Arial" w:cs="Arial" w:eastAsia="Arial" w:hAnsi="Arial"/>
          <w:sz w:val="14"/>
          <w:szCs w:val="14"/>
          <w:color w:val="auto"/>
        </w:rPr>
        <w:t>), which launched in September 2021, made up 13% of consolidated total revenues.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720" w:hanging="329"/>
        <w:spacing w:after="0" w:line="263" w:lineRule="auto"/>
        <w:tabs>
          <w:tab w:leader="none" w:pos="57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represents depreciation expense for our reportable segments for the years ended December 31, 2022, 2021 and 2020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5"/>
        </w:trPr>
        <w:tc>
          <w:tcPr>
            <w:tcW w:w="38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17,400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52,614</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unallocated</w:t>
            </w:r>
          </w:p>
        </w:tc>
        <w:tc>
          <w:tcPr>
            <w:tcW w:w="3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 depreciation expense</w:t>
            </w:r>
          </w:p>
        </w:tc>
        <w:tc>
          <w:tcPr>
            <w:tcW w:w="3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91,264</w:t>
            </w:r>
          </w:p>
        </w:tc>
      </w:tr>
      <w:tr>
        <w:trPr>
          <w:trHeight w:val="20"/>
        </w:trPr>
        <w:tc>
          <w:tcPr>
            <w:tcW w:w="3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36"/>
        </w:trPr>
        <w:tc>
          <w:tcPr>
            <w:tcW w:w="3820" w:type="dxa"/>
            <w:vAlign w:val="bottom"/>
          </w:tcPr>
          <w:p>
            <w:pPr>
              <w:spacing w:after="0"/>
              <w:rPr>
                <w:sz w:val="24"/>
                <w:szCs w:val="24"/>
                <w:color w:val="auto"/>
              </w:rPr>
            </w:pPr>
          </w:p>
        </w:tc>
        <w:tc>
          <w:tcPr>
            <w:tcW w:w="3440" w:type="dxa"/>
            <w:vAlign w:val="bottom"/>
            <w:gridSpan w:val="2"/>
          </w:tcPr>
          <w:p>
            <w:pPr>
              <w:jc w:val="right"/>
              <w:ind w:right="1370"/>
              <w:spacing w:after="0"/>
              <w:rPr>
                <w:sz w:val="20"/>
                <w:szCs w:val="20"/>
                <w:color w:val="auto"/>
              </w:rPr>
            </w:pPr>
            <w:r>
              <w:rPr>
                <w:rFonts w:ascii="Arial" w:cs="Arial" w:eastAsia="Arial" w:hAnsi="Arial"/>
                <w:sz w:val="18"/>
                <w:szCs w:val="18"/>
                <w:color w:val="auto"/>
              </w:rPr>
              <w:t>F-31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The financial instruments recorded in our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117" w:lineRule="exact"/>
        <w:rPr>
          <w:sz w:val="20"/>
          <w:szCs w:val="20"/>
          <w:color w:val="auto"/>
        </w:rPr>
      </w:pPr>
    </w:p>
    <w:p>
      <w:pPr>
        <w:ind w:right="160" w:firstLine="486"/>
        <w:spacing w:after="0" w:line="269"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December 31, 2022 and December 31, 2021 (in thousands):</w:t>
      </w: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Items</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equivalents—current (1)</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124,114</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equivalents—noncurrent (2)</w:t>
            </w: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restricted cash and cash equivalents</w:t>
            </w:r>
          </w:p>
        </w:tc>
        <w:tc>
          <w:tcPr>
            <w:tcW w:w="3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at December 31, 2022 and December 31, 2021 include: (i) restricted cash and cash equivalents associated with litigation-related matters, including $50.7 million and</w:t>
      </w:r>
    </w:p>
    <w:p>
      <w:pPr>
        <w:spacing w:after="0" w:line="20" w:lineRule="exact"/>
        <w:rPr>
          <w:rFonts w:ascii="Arial" w:cs="Arial" w:eastAsia="Arial" w:hAnsi="Arial"/>
          <w:sz w:val="13"/>
          <w:szCs w:val="13"/>
          <w:color w:val="auto"/>
        </w:rPr>
      </w:pPr>
    </w:p>
    <w:p>
      <w:pPr>
        <w:jc w:val="both"/>
        <w:ind w:left="580" w:right="120"/>
        <w:spacing w:after="0" w:line="281" w:lineRule="auto"/>
        <w:rPr>
          <w:rFonts w:ascii="Arial" w:cs="Arial" w:eastAsia="Arial" w:hAnsi="Arial"/>
          <w:sz w:val="13"/>
          <w:szCs w:val="13"/>
          <w:color w:val="auto"/>
        </w:rPr>
      </w:pPr>
      <w:r>
        <w:rPr>
          <w:rFonts w:ascii="Arial" w:cs="Arial" w:eastAsia="Arial" w:hAnsi="Arial"/>
          <w:sz w:val="13"/>
          <w:szCs w:val="13"/>
          <w:color w:val="auto"/>
        </w:rPr>
        <w:t>$78.4 million, respectively, held in Qualified Settlement Funds (QSFs) for mesh- and/or opioid-related matters, and (ii) approximately $86.0 million and $45.0 million, respectively, of restricted cash and cash equivalents related to certain insurance-related matters. See Note 16. Commitments and Contingencies for further information about litigation-related matters.</w:t>
      </w:r>
    </w:p>
    <w:p>
      <w:pPr>
        <w:ind w:left="560" w:hanging="309"/>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 at December 31, 2022 relates to the TLC Agreement. See Note 12. License, Collaboration and Asset Acquisition Agreements for further information about this amount.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December 31, 2022 and December 31, 2021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2022 using:</w:t>
            </w:r>
          </w:p>
        </w:tc>
        <w:tc>
          <w:tcPr>
            <w:tcW w:w="1020" w:type="dxa"/>
            <w:vAlign w:val="bottom"/>
          </w:tcPr>
          <w:p>
            <w:pPr>
              <w:spacing w:after="0"/>
              <w:rPr>
                <w:sz w:val="16"/>
                <w:szCs w:val="16"/>
                <w:color w:val="auto"/>
              </w:rPr>
            </w:pPr>
          </w:p>
        </w:tc>
      </w:tr>
      <w:tr>
        <w:trPr>
          <w:trHeight w:val="26"/>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16"/>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Money market funds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12,226</w:t>
            </w: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16,571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16,571</w:t>
            </w:r>
          </w:p>
        </w:tc>
      </w:tr>
      <w:tr>
        <w:trPr>
          <w:trHeight w:val="284"/>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2021 using:</w:t>
            </w:r>
          </w:p>
        </w:tc>
        <w:tc>
          <w:tcPr>
            <w:tcW w:w="1020" w:type="dxa"/>
            <w:vAlign w:val="bottom"/>
          </w:tcPr>
          <w:p>
            <w:pPr>
              <w:spacing w:after="0"/>
              <w:rPr>
                <w:sz w:val="24"/>
                <w:szCs w:val="24"/>
                <w:color w:val="auto"/>
              </w:rPr>
            </w:pPr>
          </w:p>
        </w:tc>
      </w:tr>
      <w:tr>
        <w:trPr>
          <w:trHeight w:val="26"/>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Money market funds (1)</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134,847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134,847</w:t>
            </w: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20,076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20,076</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240" w:hanging="329"/>
        <w:spacing w:after="0" w:line="254" w:lineRule="auto"/>
        <w:tabs>
          <w:tab w:leader="none" w:pos="5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At December 31, 2022 and December 31, 2021, money market funds include $12.2 million and $16.2 million, respectively, in QSFs. Amounts in QSFs are considered restricted cash equivalents. See Note 16. Commitments and Contingencies for further discussion of our litigation. At December 31, 2022 and December 31, 2021, the differences between the amortized cost and the fair value of our money market funds were not material, individually or in the aggregate.</w:t>
      </w:r>
    </w:p>
    <w:p>
      <w:pPr>
        <w:spacing w:after="0" w:line="1" w:lineRule="exact"/>
        <w:rPr>
          <w:rFonts w:ascii="Arial" w:cs="Arial" w:eastAsia="Arial" w:hAnsi="Arial"/>
          <w:sz w:val="14"/>
          <w:szCs w:val="14"/>
          <w:color w:val="auto"/>
        </w:rPr>
      </w:pPr>
    </w:p>
    <w:p>
      <w:pPr>
        <w:ind w:left="580" w:right="160" w:hanging="329"/>
        <w:spacing w:after="0" w:line="268" w:lineRule="auto"/>
        <w:tabs>
          <w:tab w:leader="none" w:pos="5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At December 31, 2022, the balance of the Company’s liability for acquisition-related contingent consideration, which is governed by executory contracts and recorded at the expected amount of the total allowed claim, is classified within Liabilities subject to compromise in the Consolidated Balance Sheets. At December 31, 2021, this amount is classified in the Consolidated Balance Sheets as follows: $5.7 million is classified as a current liability and included within Accounts payable and accrued expenses and $14.3 million is classified as a noncurrent liability and included within Other liabilities.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Measurements Using Significant Unobservable Inputs</w:t>
      </w:r>
    </w:p>
    <w:p>
      <w:pPr>
        <w:spacing w:after="0" w:line="117" w:lineRule="exact"/>
        <w:rPr>
          <w:sz w:val="20"/>
          <w:szCs w:val="20"/>
          <w:color w:val="auto"/>
        </w:rPr>
      </w:pPr>
    </w:p>
    <w:p>
      <w:pPr>
        <w:ind w:firstLine="486"/>
        <w:spacing w:after="0" w:line="284"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years ended December 31, 2022 and 2021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5"/>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(7,449)</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 (1)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180" w:hanging="329"/>
        <w:spacing w:after="0" w:line="283" w:lineRule="auto"/>
        <w:tabs>
          <w:tab w:leader="none" w:pos="57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At December 31, 2022, the balance of the Company’s liability for acquisition-related contingent consideration, which is governed by executory contracts and recorded at the expected amount of the total allowed claim, is classified within Liabilities subject to compromise in the Consolidated Balance Sheets.</w:t>
      </w:r>
    </w:p>
    <w:p>
      <w:pPr>
        <w:spacing w:after="0" w:line="63"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At December 31, 2022, the fair value measurements of the contingent consideration obligations were determined using risk-adjusted discount rates ranging from 10.0% to 15.0% (weighted average rate of approximately 10.7%, weighted based on relative fair value). Changes in fair value recorded in earnings related to acquisition-related contingent consideration are included in our Consolidated Statements of Operations as Acquisition-related and integration items, 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2022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20" w:right="144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6"/>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8"/>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80" w:hanging="329"/>
        <w:spacing w:after="0" w:line="275" w:lineRule="auto"/>
        <w:tabs>
          <w:tab w:leader="none" w:pos="57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At December 31, 2022, the balance of the Company’s liability for acquisition-related contingent consideration, which is governed by executory contracts and recorded at the expected amount of the total allowed claim, is classified within Liabilities subject to compromise in the Consolidated Balance Sheets.</w:t>
      </w:r>
    </w:p>
    <w:p>
      <w:pPr>
        <w:spacing w:after="0" w:line="8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2021 by acquisition (in thousands):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40" w:right="138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60"/>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Amounts Settled and</w:t>
            </w:r>
          </w:p>
        </w:tc>
        <w:tc>
          <w:tcPr>
            <w:tcW w:w="120" w:type="dxa"/>
            <w:vAlign w:val="bottom"/>
          </w:tcPr>
          <w:p>
            <w:pPr>
              <w:spacing w:after="0"/>
              <w:rPr>
                <w:sz w:val="14"/>
                <w:szCs w:val="14"/>
                <w:color w:val="auto"/>
              </w:rPr>
            </w:pPr>
          </w:p>
        </w:tc>
        <w:tc>
          <w:tcPr>
            <w:tcW w:w="12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29"/>
        </w:trPr>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20,076</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-633730</wp:posOffset>
            </wp:positionV>
            <wp:extent cx="711517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-334010</wp:posOffset>
            </wp:positionV>
            <wp:extent cx="711517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4700" w:space="720"/>
            <w:col w:w="5820"/>
          </w:cols>
          <w:pgMar w:left="320" w:top="118" w:right="339" w:bottom="1440" w:gutter="0" w:footer="0" w:header="0"/>
          <w:type w:val="continuous"/>
        </w:sectPr>
      </w:pPr>
    </w:p>
    <w:p>
      <w:pPr>
        <w:ind w:right="22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years ended December 31, 2022 and 2021 were as follows (in thousands):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excluding goodwill (2)(3)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property, plant and equipment</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Fair Value Measurements during the Year Ended December 31, 2022</w:t>
            </w:r>
          </w:p>
        </w:tc>
        <w:tc>
          <w:tcPr>
            <w:tcW w:w="14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 using:</w:t>
            </w:r>
          </w:p>
        </w:tc>
        <w:tc>
          <w:tcPr>
            <w:tcW w:w="14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4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60" w:type="dxa"/>
            <w:vAlign w:val="bottom"/>
          </w:tcPr>
          <w:p>
            <w:pPr>
              <w:jc w:val="center"/>
              <w:ind w:left="68"/>
              <w:spacing w:after="0" w:line="125"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0"/>
        </w:trPr>
        <w:tc>
          <w:tcPr>
            <w:tcW w:w="1420" w:type="dxa"/>
            <w:vAlign w:val="bottom"/>
          </w:tcPr>
          <w:p>
            <w:pPr>
              <w:ind w:left="240"/>
              <w:spacing w:after="0"/>
              <w:rPr>
                <w:sz w:val="20"/>
                <w:szCs w:val="20"/>
                <w:color w:val="auto"/>
              </w:rPr>
            </w:pPr>
            <w:r>
              <w:rPr>
                <w:rFonts w:ascii="Arial" w:cs="Arial" w:eastAsia="Arial" w:hAnsi="Arial"/>
                <w:sz w:val="14"/>
                <w:szCs w:val="14"/>
                <w:b w:val="1"/>
                <w:bCs w:val="1"/>
                <w:color w:val="auto"/>
              </w:rPr>
              <w:t>Level 1 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 Inputs</w:t>
            </w: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Level 3 Inputs</w:t>
            </w:r>
          </w:p>
        </w:tc>
        <w:tc>
          <w:tcPr>
            <w:tcW w:w="146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7620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67,082</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(9,045)</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(297,746)</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Fair Value Measurements during the Year Ended December 31,</w:t>
            </w: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Total Expense for the</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2021 (1) using:</w:t>
            </w: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255"/>
              <w:spacing w:after="0" w:line="125"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13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-666115</wp:posOffset>
            </wp:positionV>
            <wp:extent cx="71323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tbl>
      <w:tblPr>
        <w:tblLayout w:type="fixed"/>
        <w:tblInd w:w="40" w:type="dxa"/>
        <w:tblCellMar>
          <w:top w:w="0" w:type="dxa"/>
          <w:left w:w="0" w:type="dxa"/>
          <w:bottom w:w="0" w:type="dxa"/>
          <w:right w:w="0" w:type="dxa"/>
        </w:tblCellMar>
      </w:tblPr>
      <w:tr>
        <w:trPr>
          <w:trHeight w:val="23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(2)(3)</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Certain property, plant and equipment</w:t>
            </w:r>
          </w:p>
        </w:tc>
        <w:tc>
          <w:tcPr>
            <w:tcW w:w="60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48"/>
        </w:trPr>
        <w:tc>
          <w:tcPr>
            <w:tcW w:w="5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57"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340" w:hanging="329"/>
        <w:spacing w:after="0" w:line="257"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2022, these fair value measurements were determined using risk-adjusted discount rates ranging from 9.5% to 12.0% (weighted average rate of approximately 11.8%, weighted based on relative fair value). For 2021, these fair value measurements were determined using risk-adjusted discount rates ranging from 10.0% to 12.0% (weighted average rate of approximately 11.1%, weighted based on relative fair value).</w:t>
      </w:r>
    </w:p>
    <w:p>
      <w:pPr>
        <w:spacing w:after="0" w:line="1" w:lineRule="exact"/>
        <w:rPr>
          <w:rFonts w:ascii="Arial" w:cs="Arial" w:eastAsia="Arial" w:hAnsi="Arial"/>
          <w:sz w:val="14"/>
          <w:szCs w:val="14"/>
          <w:color w:val="auto"/>
        </w:rPr>
      </w:pPr>
    </w:p>
    <w:p>
      <w:pPr>
        <w:ind w:left="580" w:right="60" w:hanging="329"/>
        <w:spacing w:after="0" w:line="275" w:lineRule="auto"/>
        <w:tabs>
          <w:tab w:leader="none" w:pos="5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Company also performed fair value measurements in connection with its goodwill impairment tests. Refer to Note 11. Goodwill and Other Intangibles for additional information on goodwill and other intangible asset impairment tests, including information about the valuation methodologies used.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at December 31, 2022 and December 31, 2021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90,453</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82,728</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110,371</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274,499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283,552</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allowances.</w:t>
      </w:r>
    </w:p>
    <w:p>
      <w:pPr>
        <w:spacing w:after="0" w:line="11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Inventory in excess of the amount expected to be sold within one year is classified as noncurrent inventory and is not included in the table above. At December 31, 2022 and December 31, 2021, $23.0 million and $10.7 million, respectively, of noncurrent inventory was included in Other assets in the Consolidated Balance Sheets. As of December 31, 2022 and December 31, 2021, the Company’s Consolidated Balance Sheets included approximately $5.8 million and $12.2 million, respectively, of capitalized pre-launch inventories related to products that were not yet available to be sold.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have entered into contracts with third parties to lease a variety of assets, including certain real estate, machinery, equipment, automobiles and other assets.</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6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Renewal and/or early termination options are common in our lease arrangements, particularly with respect to our real estate leases. Our right-of-use assets and lease liabilities generally exclude periods covered by renewal options and include periods covered by early termination options (based on our conclusion that it is not reasonably certain that we will exercise such options).</w:t>
      </w:r>
    </w:p>
    <w:p>
      <w:pPr>
        <w:spacing w:after="0" w:line="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Our most significant lease is for our Malvern, Pennsylvania location. The initial term of the lease is through 2024 and includes three renewal options, each for an additional 60-month period. These renewal options are not considered reasonably certain of exercise and are therefore excluded from the right-of-use asset and lease liability.</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76"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December 31, 2022 and December 31, 2021 (in thousands):</w:t>
      </w:r>
    </w:p>
    <w:tbl>
      <w:tblPr>
        <w:tblLayout w:type="fixed"/>
        <w:tblInd w:w="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Line Items</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5"/>
        </w:trPr>
        <w:tc>
          <w:tcPr>
            <w:tcW w:w="384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28,070</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34,832</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38,365</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10,992</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44,719</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6,841</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25,215</w:t>
            </w:r>
          </w:p>
        </w:tc>
      </w:tr>
      <w:tr>
        <w:trPr>
          <w:trHeight w:val="20"/>
        </w:trPr>
        <w:tc>
          <w:tcPr>
            <w:tcW w:w="3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40" w:hanging="329"/>
        <w:spacing w:after="0" w:line="283" w:lineRule="auto"/>
        <w:tabs>
          <w:tab w:leader="none" w:pos="572"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at December 31, 2022 exclude operating lease liabilities of $28.4 million and finance lease liabilities of $17.1 million that are classified as Liabilities subject to compromise in the Consolidated Balance Sheets.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firstLine="486"/>
        <w:spacing w:after="0" w:line="269"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years ended December 31, 2022, 2021 and 2020 (in thousands):</w:t>
      </w: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Line Items</w:t>
            </w: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6"/>
        </w:trPr>
        <w:tc>
          <w:tcPr>
            <w:tcW w:w="4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Finance lease right-of-use asset impairment charges</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w w:val="90"/>
              </w:rPr>
              <w:t>Operating lease right-of-use asset impairment charges</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 w:hanging="329"/>
        <w:spacing w:after="0" w:line="275" w:lineRule="auto"/>
        <w:tabs>
          <w:tab w:leader="none" w:pos="572"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are included in the Consolidated Statements of Operations based on the function that the underlying leased asset supports. The following table presents the components of such aggregate amounts for the years ended December 31, 2022, 2021 and 2020 (in thousands):</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26"/>
        </w:trPr>
        <w:tc>
          <w:tcPr>
            <w:tcW w:w="5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6,189</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11,316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11,610</w:t>
            </w:r>
          </w:p>
        </w:tc>
      </w:tr>
      <w:tr>
        <w:trPr>
          <w:trHeight w:val="182"/>
        </w:trPr>
        <w:tc>
          <w:tcPr>
            <w:tcW w:w="5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18,305</w:t>
            </w:r>
          </w:p>
        </w:tc>
        <w:tc>
          <w:tcPr>
            <w:tcW w:w="10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21,013</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18,108</w:t>
            </w:r>
          </w:p>
        </w:tc>
      </w:tr>
      <w:tr>
        <w:trPr>
          <w:trHeight w:val="20"/>
        </w:trPr>
        <w:tc>
          <w:tcPr>
            <w:tcW w:w="5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0"/>
        </w:trPr>
        <w:tc>
          <w:tcPr>
            <w:tcW w:w="59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580" w:right="200" w:hanging="329"/>
        <w:spacing w:after="0" w:line="293" w:lineRule="auto"/>
        <w:tabs>
          <w:tab w:leader="none" w:pos="572"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5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December 31, 2022 for each of the five years subsequent to December 31, 2022 and thereafter, as well as a reconciliation of such undiscounted cash flows to our lease liabilities at December 31, 2022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Finance Leases</w:t>
            </w:r>
          </w:p>
        </w:tc>
      </w:tr>
      <w:tr>
        <w:trPr>
          <w:trHeight w:val="26"/>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8,038</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27,910</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r>
      <w:tr>
        <w:trPr>
          <w:trHeight w:val="155"/>
        </w:trPr>
        <w:tc>
          <w:tcPr>
            <w:tcW w:w="8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Present value of future lease payments (lease liabilities, including amounts classified as Liabilities subject to</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compromise)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18,470</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classified as Liabilities subject to compromise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17,078</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excluding amounts classified as Liabilities subject to compromise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provides the weighted average remaining lease term and weighted average discount rates for our leases as of December 31, 2022 and December 31,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2022</w:t>
            </w:r>
          </w:p>
        </w:tc>
        <w:tc>
          <w:tcPr>
            <w:tcW w:w="150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weighted based on lease liability balances: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4.9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5.1 years</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years</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w w:val="93"/>
              </w:rPr>
              <w:t>Weighted average discount rate (percentages), weighted based on the remaining balance of lease payments: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50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742"/>
        </w:trPr>
        <w:tc>
          <w:tcPr>
            <w:tcW w:w="8140" w:type="dxa"/>
            <w:vAlign w:val="bottom"/>
          </w:tcPr>
          <w:p>
            <w:pPr>
              <w:ind w:left="5460"/>
              <w:spacing w:after="0"/>
              <w:rPr>
                <w:sz w:val="20"/>
                <w:szCs w:val="20"/>
                <w:color w:val="auto"/>
              </w:rPr>
            </w:pPr>
            <w:r>
              <w:rPr>
                <w:rFonts w:ascii="Arial" w:cs="Arial" w:eastAsia="Arial" w:hAnsi="Arial"/>
                <w:sz w:val="18"/>
                <w:szCs w:val="18"/>
                <w:color w:val="auto"/>
              </w:rPr>
              <w:t>F-36</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8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69"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6"/>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14,598</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4,884</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Operating leases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640" w:hanging="329"/>
        <w:spacing w:after="0" w:line="275" w:lineRule="auto"/>
        <w:tabs>
          <w:tab w:leader="none" w:pos="57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 in 2022 primarily relates to a new lease agreement. The amount in 2021 primarily relates to an increase in lease liabilities and right-of-use assets related to a lease modification.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plant and equipment, net consists of the following at December 31, 2022 and December 31,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8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241,930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206,971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118,959</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under construction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120,483</w:t>
            </w:r>
          </w:p>
        </w:tc>
      </w:tr>
      <w:tr>
        <w:trPr>
          <w:trHeight w:val="22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gross</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747,591</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(350,879)</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Depreciation expense was $54.3 million, $84.2 million and $91.3 million for the years ended December 31, 2022, 2021 and 2020, respectively. During the years ended December 31, 2022, 2021 and 2020, the Company recorded property, plant and equipment impairment charges totaling $9.0 million, $2.0 million and $1.2 million, respectively. These charges are included in the Asset impairment charges line item in our Consolidated Statements of Operations and primarily reflect the write-off of certain property, plant and equipment.</w:t>
      </w:r>
    </w:p>
    <w:p>
      <w:pPr>
        <w:spacing w:after="0" w:line="79"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At December 31, 2022 and December 31, 2021, $205.2 million and $162.1 million of the Company’s Property, plant and equipment, net, representing net book amounts, were located in India. At December 31, 2022 and December 31, 2021, there were no other material tangible long-lived assets located outside of the U.S., individually or in the aggregate.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amounts of our goodwill for the years ended December 31, 2022 and December 31, 2021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4"/>
                <w:szCs w:val="14"/>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Pharmaceuticals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(363,000)</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3,197,011</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(1,845,000)</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December 31, 2022 and December 31, 2021 are net of the following accumulated impairments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4,911,822</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2,208,000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513,211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6,719,678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amounts of other intangible assets for the year ended December 31, 2022 are set forth in the table below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Effect of Currency</w:t>
            </w: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8"/>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(weighted average life of 14 years)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88"/>
        </w:trPr>
        <w:tc>
          <w:tcPr>
            <w:tcW w:w="4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rPr>
              <w:t>Developed technology (weighted average life of 12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(288,701)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5,920,021</w:t>
            </w:r>
          </w:p>
        </w:tc>
        <w:tc>
          <w:tcPr>
            <w:tcW w:w="0" w:type="dxa"/>
            <w:vAlign w:val="bottom"/>
          </w:tcPr>
          <w:p>
            <w:pPr>
              <w:spacing w:after="0"/>
              <w:rPr>
                <w:sz w:val="1"/>
                <w:szCs w:val="1"/>
                <w:color w:val="auto"/>
              </w:rPr>
            </w:pPr>
          </w:p>
        </w:tc>
      </w:tr>
      <w:tr>
        <w:trPr>
          <w:trHeight w:val="168"/>
        </w:trPr>
        <w:tc>
          <w:tcPr>
            <w:tcW w:w="4040" w:type="dxa"/>
            <w:vAlign w:val="bottom"/>
          </w:tcPr>
          <w:p>
            <w:pPr>
              <w:ind w:left="140"/>
              <w:spacing w:after="0" w:line="168" w:lineRule="exact"/>
              <w:rPr>
                <w:sz w:val="20"/>
                <w:szCs w:val="20"/>
                <w:color w:val="auto"/>
              </w:rPr>
            </w:pPr>
            <w:r>
              <w:rPr>
                <w:rFonts w:ascii="Arial" w:cs="Arial" w:eastAsia="Arial" w:hAnsi="Arial"/>
                <w:sz w:val="18"/>
                <w:szCs w:val="18"/>
                <w:color w:val="auto"/>
                <w:w w:val="96"/>
              </w:rPr>
              <w:t>Total other intangibles (weighted average life of 12</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6,674,655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3"/>
              </w:rPr>
              <w:t>(288,701)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6,368,537</w:t>
            </w:r>
          </w:p>
        </w:tc>
        <w:tc>
          <w:tcPr>
            <w:tcW w:w="0" w:type="dxa"/>
            <w:vAlign w:val="bottom"/>
          </w:tcPr>
          <w:p>
            <w:pPr>
              <w:spacing w:after="0"/>
              <w:rPr>
                <w:sz w:val="1"/>
                <w:szCs w:val="1"/>
                <w:color w:val="auto"/>
              </w:rPr>
            </w:pPr>
          </w:p>
        </w:tc>
      </w:tr>
      <w:tr>
        <w:trPr>
          <w:trHeight w:val="173"/>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200" w:type="dxa"/>
            <w:vAlign w:val="bottom"/>
          </w:tcPr>
          <w:p>
            <w:pPr>
              <w:spacing w:after="0"/>
              <w:rPr>
                <w:sz w:val="15"/>
                <w:szCs w:val="15"/>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5"/>
                <w:szCs w:val="15"/>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Effect of Currency</w:t>
            </w:r>
          </w:p>
        </w:tc>
        <w:tc>
          <w:tcPr>
            <w:tcW w:w="18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8"/>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(424,508)</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(4,204,685)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(4,311,832)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(337,311)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(4,635,602)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1,732,935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820" w:firstLine="486"/>
        <w:spacing w:after="0" w:line="299" w:lineRule="auto"/>
        <w:rPr>
          <w:sz w:val="20"/>
          <w:szCs w:val="20"/>
          <w:color w:val="auto"/>
        </w:rPr>
      </w:pPr>
      <w:r>
        <w:rPr>
          <w:rFonts w:ascii="Arial" w:cs="Arial" w:eastAsia="Arial" w:hAnsi="Arial"/>
          <w:sz w:val="16"/>
          <w:szCs w:val="16"/>
          <w:color w:val="auto"/>
        </w:rPr>
        <w:t>Amortization expense for the years ended December 31, 2022, 2021 and 2020 totaled $337.3 million, $372.9 million and $427.5 million, respectively. Amortization expense is included in Cost of revenues in the Consolidated Statements of Operations. For intangible assets subject to amortization, estimated amortization expense for the five fiscal years subsequent to December 31, 2022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2023</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255,869</w:t>
            </w:r>
          </w:p>
        </w:tc>
      </w:tr>
      <w:tr>
        <w:trPr>
          <w:trHeight w:val="230"/>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2024</w:t>
            </w:r>
          </w:p>
        </w:tc>
        <w:tc>
          <w:tcPr>
            <w:tcW w:w="5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245,751</w:t>
            </w:r>
          </w:p>
        </w:tc>
      </w:tr>
      <w:tr>
        <w:trPr>
          <w:trHeight w:val="23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2025</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232,668</w:t>
            </w:r>
          </w:p>
        </w:tc>
      </w:tr>
      <w:tr>
        <w:trPr>
          <w:trHeight w:val="229"/>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2026</w:t>
            </w:r>
          </w:p>
        </w:tc>
        <w:tc>
          <w:tcPr>
            <w:tcW w:w="5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209,532</w:t>
            </w:r>
          </w:p>
        </w:tc>
      </w:tr>
      <w:tr>
        <w:trPr>
          <w:trHeight w:val="23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2027</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6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These assumptions are based on significant inputs and judgments not observable in the market, and thus represent Level 3 measurements within the fair value hierarchy. The discount rates used in the determination of fair value reflect our judgments regarding the risks and uncertainties inherent in the estimated future cash flows and may differ over time depending on the risk profile of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Consolidated Statements of Operations.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Goodwill Impairment Tests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performed its annual goodwill impairment tests as of October 1, 2022, 2021 and 2020. For the purposes of these annual tests, the Company had two reporting units with goodwill: Branded Pharmaceuticals and Sterile Injectables. The discount rates used for the Branded Pharmaceuticals reporting units in these annual tests were 15.0%, 14.5% and 15.0%, respectively, and the discount rates used for the Sterile Injectables reporting units in these annual tests were 19.5%, 11.0% and 10.0%, respectively.</w:t>
      </w:r>
    </w:p>
    <w:p>
      <w:pPr>
        <w:spacing w:after="0" w:line="79" w:lineRule="exact"/>
        <w:rPr>
          <w:sz w:val="20"/>
          <w:szCs w:val="20"/>
          <w:color w:val="auto"/>
        </w:rPr>
      </w:pPr>
    </w:p>
    <w:p>
      <w:pPr>
        <w:ind w:right="120" w:firstLine="486"/>
        <w:spacing w:after="0"/>
        <w:rPr>
          <w:sz w:val="20"/>
          <w:szCs w:val="20"/>
          <w:color w:val="auto"/>
        </w:rPr>
      </w:pPr>
      <w:r>
        <w:rPr>
          <w:rFonts w:ascii="Arial" w:cs="Arial" w:eastAsia="Arial" w:hAnsi="Arial"/>
          <w:sz w:val="18"/>
          <w:szCs w:val="18"/>
          <w:color w:val="auto"/>
        </w:rPr>
        <w:t>As a result of our annual tests performed as of October 1, 2021, the Company determined that the carrying amount of the Sterile Injectables reporting unit exceeded its estimated fair value; therefore, the Company recorded a pre-tax non-cash goodwill impairment charge of $363.0 million during the fourth quarter of 2021. The Sterile Injectables impairment was primarily a result of changes in assumptions related to competition, including assumptions related to competing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which were subsequently introduced beginning with Eagle’s at-risk launch in January 2022.</w:t>
      </w:r>
    </w:p>
    <w:p>
      <w:pPr>
        <w:spacing w:after="0" w:line="96" w:lineRule="exact"/>
        <w:rPr>
          <w:sz w:val="20"/>
          <w:szCs w:val="20"/>
          <w:color w:val="auto"/>
        </w:rPr>
      </w:pPr>
    </w:p>
    <w:p>
      <w:pPr>
        <w:ind w:left="340" w:right="1160" w:firstLine="162"/>
        <w:spacing w:after="0" w:line="375" w:lineRule="auto"/>
        <w:rPr>
          <w:sz w:val="20"/>
          <w:szCs w:val="20"/>
          <w:color w:val="auto"/>
        </w:rPr>
      </w:pPr>
      <w:r>
        <w:rPr>
          <w:rFonts w:ascii="Arial" w:cs="Arial" w:eastAsia="Arial" w:hAnsi="Arial"/>
          <w:sz w:val="18"/>
          <w:szCs w:val="18"/>
          <w:color w:val="auto"/>
        </w:rPr>
        <w:t xml:space="preserve">We did not record any other goodwill impairment charges as a result of our October 1, 2022, 2021 and 2020 annual impairment tests. </w:t>
      </w:r>
      <w:r>
        <w:rPr>
          <w:rFonts w:ascii="Arial" w:cs="Arial" w:eastAsia="Arial" w:hAnsi="Arial"/>
          <w:sz w:val="18"/>
          <w:szCs w:val="18"/>
          <w:i w:val="1"/>
          <w:iCs w:val="1"/>
          <w:color w:val="auto"/>
        </w:rPr>
        <w:t>First-Quarter 2020 Interim Goodwill Impairment Test</w:t>
      </w:r>
    </w:p>
    <w:p>
      <w:pPr>
        <w:spacing w:after="0" w:line="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Second-Quarter 2022 Interim Goodwill Impairment Tests</w:t>
      </w:r>
    </w:p>
    <w:p>
      <w:pPr>
        <w:spacing w:after="0" w:line="11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had been unable to reach a broad-based resolution of outstanding claims and (ii) speculation surrounding the possibility of a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70"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had not materially changed since our annual goodwill impairment tests performed on October 1, 2021. However, when analyzing our aggregated estimated internal valuation of our reporting units as of June 30, 2022 compared to our market capitalization and the aggregate estimated fair value of our debt, we also considered the increased level of investor and analyst uncertainty described above, coupled with our belief that investors and analysts were unlikely to modify their projections or valuation models unless or until we could demonstrate significant progression on the resolution of outstanding litigation matters and/or demonstrate that the risks of potential future strategic alternatives, including the possibility of a future bankruptcy filing, were no longer applicable. After performing this analysis, we made certain adjustments to incorporate these factors into the valuations of our reporting units, primarily through adjustments to the discount rate resulting from an increase in the company-specific risk premium (CSRP),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Third-Quarter 2022 Interim Goodwill Impairment Tests</w:t>
      </w:r>
    </w:p>
    <w:p>
      <w:pPr>
        <w:spacing w:after="0" w:line="117"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As further described in Note 2. Bankruptcy Proceedings, during the third quarter of 2022, in connection with the Sale, we received the Stalking Horse Bid, subject to higher or otherwise better bids from other parties. The value of the bid, as well as our market capitalization and the aggregate estimated fair value of our debt, was considered when determining whether it was more likely than not that the carrying amounts of one or more of our reporting units exceeded their respective fair values.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75 basis points in July 2022 and by an additional 75 basis points in September 2022. Taken together, we determined that these factors represented triggering events that required the performance of interim goodwill impairments tests for both our Sterile Injectables and Branded Pharmaceuticals reporting units as of September 30, 2022.</w:t>
      </w:r>
    </w:p>
    <w:p>
      <w:pPr>
        <w:spacing w:after="0" w:line="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When performing these goodwill impairment tests, we estimated the fair values of our reporting units taking into consideration management’s continued commitment to Endo’s strategic plans and the corresponding projected cash flows. However, when analyzing our aggregated estimated internal valuation of our reporting units as of September 30, 2022 compared to our market capitalization and the aggregate estimated fair value of our debt, as well as the par value and fair value of the Stalking Horse Bid, we made adjustments to reflect certain risks and uncertainties, including those related to the Chapter 11 Cases and the Sale, into the valuations of our reporting units, primarily through adjustments to the discount rate resulting from an increase in the CSRP, and determined that: (i) the estimated fair value of our Sterile Injectables reporting unit was less than its carrying amount, resulting in a pre-tax non-cash goodwill impairment charge of $97.0 million, and (ii) the estimated fair value of our Branded Pharmaceuticals reporting unit exceeded the carrying amount by more than 10%. The discount rates used in the September 30, 2022 goodwill tests were 15.0% and 19.5% for the Branded Pharmaceuticals and Sterile Injectables reporting units,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Fourth-Quarter 2022 Interim Goodwill Impairment Test</w:t>
      </w:r>
    </w:p>
    <w:p>
      <w:pPr>
        <w:spacing w:after="0" w:line="117" w:lineRule="exact"/>
        <w:rPr>
          <w:sz w:val="20"/>
          <w:szCs w:val="20"/>
          <w:color w:val="auto"/>
        </w:rPr>
      </w:pPr>
    </w:p>
    <w:p>
      <w:pPr>
        <w:ind w:right="60" w:firstLine="486"/>
        <w:spacing w:after="0" w:line="262" w:lineRule="auto"/>
        <w:rPr>
          <w:sz w:val="20"/>
          <w:szCs w:val="20"/>
          <w:color w:val="auto"/>
        </w:rPr>
      </w:pPr>
      <w:r>
        <w:rPr>
          <w:rFonts w:ascii="Arial" w:cs="Arial" w:eastAsia="Arial" w:hAnsi="Arial"/>
          <w:sz w:val="17"/>
          <w:szCs w:val="17"/>
          <w:color w:val="auto"/>
        </w:rPr>
        <w:t>Beginning in late fourth-quarter 2022 and concluding in February 2023, the Company completed its annual enterprise-wide long-term strategic planning process, which resulted in updates to its projected future cash flows. Among other items, these updates primarily reflected the anticipated impacts on the Company’s projected future cash flows resulting from: (i) the discontinuation of QWO</w:t>
      </w:r>
      <w:r>
        <w:rPr>
          <w:rFonts w:ascii="Arial" w:cs="Arial" w:eastAsia="Arial" w:hAnsi="Arial"/>
          <w:sz w:val="22"/>
          <w:szCs w:val="22"/>
          <w:color w:val="auto"/>
          <w:vertAlign w:val="superscript"/>
        </w:rPr>
        <w:t>®</w:t>
      </w:r>
      <w:r>
        <w:rPr>
          <w:rFonts w:ascii="Arial" w:cs="Arial" w:eastAsia="Arial" w:hAnsi="Arial"/>
          <w:sz w:val="17"/>
          <w:szCs w:val="17"/>
          <w:color w:val="auto"/>
        </w:rPr>
        <w:t>; (ii) the disruption to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that occurred in the second half of 2022; (iii) routine updates to our assumptions regarding anticipated competitive events for currently marketed products, as well as probabilities of success, launch timing and the anticipated competitive landscape surrounding new product launches, including with respect to TLC599 and certain product candidates in our Sterile Injectables reporting unit pipeline; (iv) expected changes in the Company’s future manufacturing expense profile, including delays related to construction, FDA inspections and product transfers to our Sterile Injectables facility in Indore, India; and (v) changes in the Company’s future operating expense profile. Due to the extent of the changes to the projected future cash flows, coupled with the fact that we had recorded impairments for our Sterile Injectables reporting unit during the second and third quarters of 2022, we concluded that it was more likely than not that the carrying amount of our Sterile Injectables reporting unit may exceed its fair value. As a result, an interim impairment test was performed as of December 31, 2022. The updates to the projected future cash flows did not result in an interim goodwill impairment test for our Branded Pharmaceuticals reporting unit due to the significant headroom in this reporting unit.</w:t>
      </w:r>
    </w:p>
    <w:p>
      <w:pPr>
        <w:spacing w:after="0" w:line="77"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When performing the goodwill impairment test, we estimated the fair value of our Sterile Injectables reporting unit taking into consideration management’s updated forecasts of projected cash flows, as further discussed above. The updated forecast of projected future cash flows was reduced in comparison to the prior 2022 tests. However, in reducing the cash flows, we believe the level of risk and uncertainty of the cash flows also decreased resulting in a corresponding decrease in the CSRP and, in turn, the discount rate used in the determination of fair value of our Sterile Injectables reporting unit. The discount rate used in the December 31, 2022 goodwill impairment test was 14.5%. We believe this discount rate and the other inputs and assumptions used to estimate fair value were consistent with those that a market participant would have used in light of the degree of risk associated with the updated estimated future cash flows. Consistent with the goodwill impairment tests performed earlier in 2022, we compared our aggregated estimated internal valuation of our reporting units as of December 31, 2022 to our market capitalization and the aggregate estimated fair value of our debt, as well as the par value and fair value of the Stalking Horse Bid. As a result of the December 31, 2022 test, we determined that there was no impairment of goodwill.</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Intangible Asset Impairments</w:t>
      </w:r>
    </w:p>
    <w:p>
      <w:pPr>
        <w:spacing w:after="0" w:line="11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With respect to other intangible assets, we recorded asset impairment charges of $288.7 million, $7.8 million and $79.9 million during the years ended December 31, 2022, 2021 and 2020, respectively. These pre-tax non-cash asset impairment charges related primarily to certain developed technology intangible assets that were tested for impairment following changes in market conditions and certain other factors impacting recoverability. The amount recorded in 2022 included charges related to the 2022 Restructuring Initiative, as further discussed in Note 5. Restructuring.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LICENSE, COLLABORATION AND ASSET ACQUISITION AGREEMENTS</w:t>
      </w:r>
    </w:p>
    <w:p>
      <w:pPr>
        <w:spacing w:after="0" w:line="12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have entered into certain license, collaboration and asset acquisition agreements with third parties. Generally, these agreements require us to share in the costs of developing, manufacturing, commercializing and/or selling product candidates and/or products with third parties, who in turn grant us marketing rights for such product candidates and/or products. Under these agreements we are generally required to: (i) make upfront payments and/or other payments upon successful completion of regulatory, sales and/or other milestones and/or (ii) pay royalties on sales and/or other costs arising from these agreements. We have also, from time to time, entered into agreements to directly acquire certain assets from third 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BioSpecifics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October 19, 2020, the Company entered into an Agreement and Plan of Merger (the Merger Agreement) with Beta Acquisition Corp., a Delaware corporation and wholly-owned indirect subsidiary of the Company (Merger Sub) and BioSpecifics. Pursuant to the Merger Agreement, and on the terms and subject to the conditions thereof, Merger Sub commenced a tender offer (the Offer) on November 2, 2020 to acquire all of BioSpecifics’ issued and outstanding shares of common stock (BioSpecifics Shares) at a purchase price of $88.50 per BioSpecifics Share, net to the holder thereof in cash, subject to reduction for any applicable withholding taxes and without interest.</w:t>
      </w:r>
    </w:p>
    <w:p>
      <w:pPr>
        <w:spacing w:after="0" w:line="8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Through the expiration of the Offer on December 1, 2020, approximately 6,159,975 BioSpecifics Shares were validly tendered and not validly withdrawn in accordance with the terms of the Offer. With all conditions to the Offer satisfied, on December 2, 2020, Merger Sub accepted for purchase all of the BioSpecifics Shares that were validly tendered and not validly withdrawn in accordance with the terms of the Offer.</w:t>
      </w:r>
    </w:p>
    <w:p>
      <w:pPr>
        <w:spacing w:after="0" w:line="57" w:lineRule="exact"/>
        <w:rPr>
          <w:sz w:val="20"/>
          <w:szCs w:val="20"/>
          <w:color w:val="auto"/>
        </w:rPr>
      </w:pPr>
    </w:p>
    <w:p>
      <w:pPr>
        <w:ind w:right="360" w:firstLine="486"/>
        <w:spacing w:after="0" w:line="311" w:lineRule="auto"/>
        <w:rPr>
          <w:sz w:val="20"/>
          <w:szCs w:val="20"/>
          <w:color w:val="auto"/>
        </w:rPr>
      </w:pPr>
      <w:r>
        <w:rPr>
          <w:rFonts w:ascii="Arial" w:cs="Arial" w:eastAsia="Arial" w:hAnsi="Arial"/>
          <w:sz w:val="16"/>
          <w:szCs w:val="16"/>
          <w:color w:val="auto"/>
        </w:rPr>
        <w:t>Following consummation of the Offer, on December 2, 2020, Merger Sub merged with and into BioSpecifics (the Merger) in accordance with Section 251(h) of the Delaware General Corporation Law without a vote on the adoption of the Merger Agreement by BioSpecifics’ stockholders, with BioSpecifics continuing as the surviving corporation in the Merger and thereby becoming a wholly-owned, indirect subsidiary of the Company.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result of the Merger, the BioSpecifics Shares ceased to be traded on the Nasdaq, effective as of market open on December 2, 2020.</w:t>
      </w:r>
    </w:p>
    <w:p>
      <w:pPr>
        <w:spacing w:after="0" w:line="12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operating results of BioSpecifics are included in the accompanying Consolidated Statements of Operations from December 2, 2020 and the assets and liabilities of BioSpecifics are included in the Consolidated Balance Sheets as of December 31, 2022 and 2021.</w:t>
      </w:r>
    </w:p>
    <w:p>
      <w:pPr>
        <w:spacing w:after="0" w:line="62" w:lineRule="exact"/>
        <w:rPr>
          <w:sz w:val="20"/>
          <w:szCs w:val="20"/>
          <w:color w:val="auto"/>
        </w:rPr>
      </w:pPr>
    </w:p>
    <w:p>
      <w:pPr>
        <w:ind w:firstLine="486"/>
        <w:spacing w:after="0" w:line="245" w:lineRule="auto"/>
        <w:rPr>
          <w:sz w:val="20"/>
          <w:szCs w:val="20"/>
          <w:color w:val="auto"/>
        </w:rPr>
      </w:pPr>
      <w:r>
        <w:rPr>
          <w:rFonts w:ascii="Arial" w:cs="Arial" w:eastAsia="Arial" w:hAnsi="Arial"/>
          <w:sz w:val="17"/>
          <w:szCs w:val="17"/>
          <w:color w:val="auto"/>
        </w:rPr>
        <w:t>Prior to the Merger, BioSpecifics was a biopharmaceutical company involved in the development of injectable CCH that generated revenue primarily from a license agreement with us.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Specifically, we were required to, among other things, pay BioSpecifics, on a country-by-country and product-by-product basis, a specified percentage, within a range of 5% to 15% of net sales, of certain specified products. This royalty applied to net sales by us and/or any of our sublicensees. In addition, we were required to pay BioSpecifics an amount equal to a specified mark-up on certain cost of goods related to supply of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mark-up was capped at a specified percentage within the range of 5% to 15% of the cost of goods of XIAFLEX</w:t>
      </w:r>
      <w:r>
        <w:rPr>
          <w:rFonts w:ascii="Arial" w:cs="Arial" w:eastAsia="Arial" w:hAnsi="Arial"/>
          <w:sz w:val="22"/>
          <w:szCs w:val="22"/>
          <w:color w:val="auto"/>
          <w:vertAlign w:val="superscript"/>
        </w:rPr>
        <w:t>®</w:t>
      </w:r>
      <w:r>
        <w:rPr>
          <w:rFonts w:ascii="Arial" w:cs="Arial" w:eastAsia="Arial" w:hAnsi="Arial"/>
          <w:sz w:val="17"/>
          <w:szCs w:val="17"/>
          <w:color w:val="auto"/>
        </w:rPr>
        <w:t>). Our December 2020 acquisition of BioSpecifics eliminated this third-party relationship, which had the effect of reducing royalty payments recognized in Cost of revenues. The BioSpecifics acquisition also eliminated certain milestones and royalties we may otherwise have been required to pay for potential future indications of products or product candidates containing CCH, including those associated with our plantar fibromatosis development program.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The acquired set of BioSpecifics assets and activities did not meet the definition of a business based on our assessment that the acquired set of activities lacks substantive processes that significantly contribute to the conversion of inputs into outputs. As a result, we accounted for the transaction as an asset acquisition. The consideration transferred in the asset acquisition was measured at cost, including transaction costs, assets transferred by the Company and royalty obligations discharged by the seller. The following table represents the costs accumulated to acquire BioSpecifics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 2020</w:t>
            </w:r>
          </w:p>
        </w:tc>
      </w:tr>
      <w:tr>
        <w:trPr>
          <w:trHeight w:val="26"/>
        </w:trPr>
        <w:tc>
          <w:tcPr>
            <w:tcW w:w="9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purchase price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650,029</w:t>
            </w:r>
          </w:p>
        </w:tc>
      </w:tr>
      <w:tr>
        <w:trPr>
          <w:trHeight w:val="230"/>
        </w:trPr>
        <w:tc>
          <w:tcPr>
            <w:tcW w:w="9880" w:type="dxa"/>
            <w:vAlign w:val="bottom"/>
          </w:tcPr>
          <w:p>
            <w:pPr>
              <w:ind w:left="40"/>
              <w:spacing w:after="0"/>
              <w:rPr>
                <w:sz w:val="20"/>
                <w:szCs w:val="20"/>
                <w:color w:val="auto"/>
              </w:rPr>
            </w:pPr>
            <w:r>
              <w:rPr>
                <w:rFonts w:ascii="Arial" w:cs="Arial" w:eastAsia="Arial" w:hAnsi="Arial"/>
                <w:sz w:val="18"/>
                <w:szCs w:val="18"/>
                <w:color w:val="auto"/>
              </w:rPr>
              <w:t>Vested employee options and benefits (2)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10,280</w:t>
            </w:r>
          </w:p>
        </w:tc>
      </w:tr>
      <w:tr>
        <w:trPr>
          <w:trHeight w:val="229"/>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r>
      <w:tr>
        <w:trPr>
          <w:trHeight w:val="230"/>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royalty obligations discharged (3)</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w:t>
            </w:r>
          </w:p>
        </w:tc>
      </w:tr>
      <w:tr>
        <w:trPr>
          <w:trHeight w:val="248"/>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655,668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60" w:hanging="309"/>
        <w:spacing w:after="0"/>
        <w:tabs>
          <w:tab w:leader="none" w:pos="5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cash consideration paid for 6,159,975 shares tendered and 1,184,980 remaining shares not tendered, but automatically cancelled and funded in an escrow account.</w:t>
      </w:r>
    </w:p>
    <w:p>
      <w:pPr>
        <w:spacing w:after="0" w:line="26" w:lineRule="exact"/>
        <w:rPr>
          <w:rFonts w:ascii="Arial" w:cs="Arial" w:eastAsia="Arial" w:hAnsi="Arial"/>
          <w:sz w:val="13"/>
          <w:szCs w:val="13"/>
          <w:color w:val="auto"/>
        </w:rPr>
      </w:pPr>
    </w:p>
    <w:p>
      <w:pPr>
        <w:ind w:left="580" w:right="220" w:hanging="329"/>
        <w:spacing w:after="0" w:line="261" w:lineRule="auto"/>
        <w:tabs>
          <w:tab w:leader="none" w:pos="572"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accordance with BioSpecifics’ stock plan and employment arrangements, certain unvested options and employee bonus compensation immediately vested and accelerated, with no future service requirement, upon change in control. We have accounted for the accelerated vestings as a component of consideration transferred.</w:t>
      </w:r>
    </w:p>
    <w:p>
      <w:pPr>
        <w:ind w:left="560" w:hanging="309"/>
        <w:spacing w:after="0"/>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total reduction to the base purchase price for the pre-acquisition accrued and unpaid royalty liability discharged on the date of closing.</w:t>
      </w:r>
    </w:p>
    <w:p>
      <w:pPr>
        <w:spacing w:after="0" w:line="10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summarizes the allocation of consideration transferred on a relative fair value basis to identifiable tangible and intangible assets and other information about the assets and liabilities acquired at the BioSpecifics acquisition date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2, 2020</w:t>
            </w:r>
          </w:p>
        </w:tc>
      </w:tr>
      <w:tr>
        <w:trPr>
          <w:trHeight w:val="26"/>
        </w:trPr>
        <w:tc>
          <w:tcPr>
            <w:tcW w:w="9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21,073</w:t>
            </w:r>
          </w:p>
        </w:tc>
      </w:tr>
      <w:tr>
        <w:trPr>
          <w:trHeight w:val="229"/>
        </w:trPr>
        <w:tc>
          <w:tcPr>
            <w:tcW w:w="9880" w:type="dxa"/>
            <w:vAlign w:val="bottom"/>
          </w:tcPr>
          <w:p>
            <w:pPr>
              <w:ind w:left="40"/>
              <w:spacing w:after="0"/>
              <w:rPr>
                <w:sz w:val="20"/>
                <w:szCs w:val="20"/>
                <w:color w:val="auto"/>
              </w:rPr>
            </w:pPr>
            <w:r>
              <w:rPr>
                <w:rFonts w:ascii="Arial" w:cs="Arial" w:eastAsia="Arial" w:hAnsi="Arial"/>
                <w:sz w:val="18"/>
                <w:szCs w:val="18"/>
                <w:color w:val="auto"/>
              </w:rPr>
              <w:t>Investments (1)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89,050</w:t>
            </w:r>
          </w:p>
        </w:tc>
      </w:tr>
      <w:tr>
        <w:trPr>
          <w:trHeight w:val="23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assets—developed technology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673,796</w:t>
            </w:r>
          </w:p>
        </w:tc>
      </w:tr>
      <w:tr>
        <w:trPr>
          <w:trHeight w:val="229"/>
        </w:trPr>
        <w:tc>
          <w:tcPr>
            <w:tcW w:w="9880" w:type="dxa"/>
            <w:vAlign w:val="bottom"/>
          </w:tcPr>
          <w:p>
            <w:pPr>
              <w:ind w:left="40"/>
              <w:spacing w:after="0"/>
              <w:rPr>
                <w:sz w:val="20"/>
                <w:szCs w:val="20"/>
                <w:color w:val="auto"/>
              </w:rPr>
            </w:pPr>
            <w:r>
              <w:rPr>
                <w:rFonts w:ascii="Arial" w:cs="Arial" w:eastAsia="Arial" w:hAnsi="Arial"/>
                <w:sz w:val="18"/>
                <w:szCs w:val="18"/>
                <w:color w:val="auto"/>
              </w:rPr>
              <w:t>Intangible assets—in-process 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28,602</w:t>
            </w:r>
          </w:p>
        </w:tc>
      </w:tr>
      <w:tr>
        <w:trPr>
          <w:trHeight w:val="23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acquired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(156,441)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assumed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Net identifiable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655,668</w:t>
            </w:r>
          </w:p>
        </w:tc>
      </w:tr>
      <w:tr>
        <w:trPr>
          <w:trHeight w:val="20"/>
        </w:trPr>
        <w:tc>
          <w:tcPr>
            <w:tcW w:w="9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0" w:hanging="329"/>
        <w:spacing w:after="0" w:line="275" w:lineRule="auto"/>
        <w:tabs>
          <w:tab w:leader="none" w:pos="572"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Investments acquired primarily consisted of debt securities acquired from BioSpecifics on December 2, 2020. Investments acquired were fully liquidated prior to December 31, 2020. No material gains or losses were recognized upon liquidation.</w:t>
      </w:r>
    </w:p>
    <w:p>
      <w:pPr>
        <w:spacing w:after="0" w:line="82" w:lineRule="exact"/>
        <w:rPr>
          <w:sz w:val="20"/>
          <w:szCs w:val="20"/>
          <w:color w:val="auto"/>
        </w:rPr>
      </w:pPr>
    </w:p>
    <w:p>
      <w:pPr>
        <w:ind w:right="20" w:firstLine="486"/>
        <w:spacing w:after="0" w:line="259" w:lineRule="auto"/>
        <w:rPr>
          <w:sz w:val="20"/>
          <w:szCs w:val="20"/>
          <w:color w:val="auto"/>
        </w:rPr>
      </w:pPr>
      <w:r>
        <w:rPr>
          <w:rFonts w:ascii="Arial" w:cs="Arial" w:eastAsia="Arial" w:hAnsi="Arial"/>
          <w:sz w:val="17"/>
          <w:szCs w:val="17"/>
          <w:color w:val="auto"/>
        </w:rPr>
        <w:t>The in-process research and development assets noted in the table above were expensed on the acquisition date and are included in Acquired in-process research and development in the Consolidated Statements of Operations. The Company concluded that the consideration allocable to developed technology acquired represented incremental costs associated with the Company’s existing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intangible assets (the Existing Intangible Assets). The Existing Intangible Assets were acquired by the Company as part of its acquisition of Auxilium Pharmaceuticals, Inc. (Auxilium), accounted for as a business combination at fair value during 2015. Auxilium had a pre-existing development and license agreement with BioSpecifics. The following table summarizes changes to the gross carrying amount, accumulated amortization and net book amount of the Existing Intangible Assets and the new intangible assets resulting from the BioSpecifics acquisition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Net Book Amount</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balances immediately prior to BioSpecifics acquisition</w:t>
            </w:r>
          </w:p>
        </w:tc>
        <w:tc>
          <w:tcPr>
            <w:tcW w:w="17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855,477</w:t>
            </w:r>
          </w:p>
        </w:tc>
        <w:tc>
          <w:tcPr>
            <w:tcW w:w="0" w:type="dxa"/>
            <w:vAlign w:val="bottom"/>
          </w:tcPr>
          <w:p>
            <w:pPr>
              <w:spacing w:after="0"/>
              <w:rPr>
                <w:sz w:val="1"/>
                <w:szCs w:val="1"/>
                <w:color w:val="auto"/>
              </w:rPr>
            </w:pPr>
          </w:p>
        </w:tc>
      </w:tr>
      <w:tr>
        <w:trPr>
          <w:trHeight w:val="229"/>
        </w:trPr>
        <w:tc>
          <w:tcPr>
            <w:tcW w:w="5240" w:type="dxa"/>
            <w:vAlign w:val="bottom"/>
          </w:tcPr>
          <w:p>
            <w:pPr>
              <w:ind w:left="40"/>
              <w:spacing w:after="0"/>
              <w:rPr>
                <w:sz w:val="20"/>
                <w:szCs w:val="20"/>
                <w:color w:val="auto"/>
              </w:rPr>
            </w:pPr>
            <w:r>
              <w:rPr>
                <w:rFonts w:ascii="Arial" w:cs="Arial" w:eastAsia="Arial" w:hAnsi="Arial"/>
                <w:sz w:val="18"/>
                <w:szCs w:val="18"/>
                <w:color w:val="auto"/>
                <w:w w:val="96"/>
              </w:rPr>
              <w:t>Additional costs incurred in connection with BioSpecifics acquisition</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673,796</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balances immediately following BioSpecifics acquisition</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1,529,273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240" w:type="dxa"/>
            <w:vAlign w:val="bottom"/>
          </w:tcPr>
          <w:p>
            <w:pPr>
              <w:spacing w:after="0"/>
              <w:rPr>
                <w:sz w:val="24"/>
                <w:szCs w:val="24"/>
                <w:color w:val="auto"/>
              </w:rPr>
            </w:pPr>
          </w:p>
        </w:tc>
        <w:tc>
          <w:tcPr>
            <w:tcW w:w="1840" w:type="dxa"/>
            <w:vAlign w:val="bottom"/>
            <w:gridSpan w:val="2"/>
          </w:tcPr>
          <w:p>
            <w:pPr>
              <w:jc w:val="right"/>
              <w:ind w:right="1190"/>
              <w:spacing w:after="0"/>
              <w:rPr>
                <w:sz w:val="20"/>
                <w:szCs w:val="20"/>
                <w:color w:val="auto"/>
              </w:rPr>
            </w:pPr>
            <w:r>
              <w:rPr>
                <w:rFonts w:ascii="Arial" w:cs="Arial" w:eastAsia="Arial" w:hAnsi="Arial"/>
                <w:sz w:val="18"/>
                <w:szCs w:val="18"/>
                <w:color w:val="auto"/>
              </w:rPr>
              <w:t>F-42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35" w:lineRule="auto"/>
        <w:rPr>
          <w:sz w:val="20"/>
          <w:szCs w:val="20"/>
          <w:color w:val="auto"/>
        </w:rPr>
      </w:pPr>
      <w:r>
        <w:rPr>
          <w:rFonts w:ascii="Arial" w:cs="Arial" w:eastAsia="Arial" w:hAnsi="Arial"/>
          <w:sz w:val="17"/>
          <w:szCs w:val="17"/>
          <w:color w:val="auto"/>
        </w:rPr>
        <w:t>Prior to the BioSpecifics acquisition, the Company had been amortizing the Existing Intangible Assets over their respective useful lives, which were the periods over which the assets were expected to contribute directly or indirectly to the future cash flows of the Company. The BioSpecifics acquisition significantly impacted the timing and amount of estimated future cash flows from sales of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therefore, the Company considered the acquisition to be a triggering event to remeasure the expected useful lives of the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intangible assets. Immediately following the BioSpecifics acquisition, the Company determined that the weighted average useful life for the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intangible assets was approximately 13.6 years from the closing date of the BioSpecifics acquisition and, accordingly, the Company began to amortize the corresponding intangible assets prospectively on a straight-line basis over their then-anticipated useful lives, which approximated the periods of economic benefits expected to be realized from future cash flows from sales of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The Company’s accounting for these intangible assets has since been affected by certain subsequent developments, including the Company’s plans announced in December 2022 that it would be ceasing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Refer to Note 5. Restructuring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Nevakar Agreements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May 2022, we announced that our EVL subsidiary had entered into an agreement to acquire six development-stage RTU injectable product candidates from Nevakar Injectables, Inc., a subsidiary of Nevakar, Inc., for an upfront cash payment of $35.0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Consolidated Statements of Operations.</w:t>
      </w:r>
    </w:p>
    <w:p>
      <w:pPr>
        <w:spacing w:after="0" w:line="80"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5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August 2022, within the ongoing bankruptcy proceedings, EVL filed an adversary proceeding (the Nevakar Litigation) against Nevakar, Inc. and Nevakar Injectables Inc. (collectively, Nevakar) to enforce: (i) a 2018 development, license and commercialization agreement (the 2018 Nevakar Agreement) and (ii) the 2022 Nevakar Agreement. In September 2022, Nevakar filed counterclaims against EVL. In December 2022, EVL and Nevakar reached a settlement with respect to the Nevakar Litigation (the Nevakar Settlement) subject to Bankruptcy Court approval. The Nevakar Settlement provided for the amendment of the 2018 Nevakar Agreement to revoke EVL’s license of two products covered by the 2018 Nevakar Agreement, modify EVL’s license to the remaining three products covered by the 2018 Nevakar Agreement to reduce the royalty owed to Nevakar, terminate any obligations of EVL to make payments to Nevakar upon achievement of contingent milestones and eliminate Nevakar’s ability to terminate the remaining licenses for EVL’s breach or material breach. The Nevakar Settlement also provided that EVL and Nevakar would agree to a mutual release of certain claims under both the 2018 Nevakar Agreement and the 2022 Nevakar Agreement. The Nevakar Settlement was approved by the Bankruptcy Court in January 2023. The Nevakar Settlement had no effect on our Consolidated Financial Statements in 2022; we are currently evaluating how the Nevakar Settlement will be accounted for in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TLC Agreement</w:t>
      </w:r>
    </w:p>
    <w:p>
      <w:pPr>
        <w:spacing w:after="0" w:line="121"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 June 2022, we announced that our EVL subsidiary had entered into an agreement with TLC to commercialize TLC599 (the TLC Agreement). We are accounting for the agreement as an asset acquisition. TLC599 is an injectable compound in Phase 3 development for the treatment of osteoarthritis knee pain.</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Under the terms of the TLC Agreement, TLC is primarily responsible for the development of the product and we are primarily responsible for obtaining regulatory approval and for commercialization of the product in the U.S. Upon receipt of regulatory approval, if obtained, we will have exclusive rights to manufacture, market, sell and distribute the product in the U.S.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second quarter of 2022, we made an upfront payment of $30.0 million to TLC and recorded a corresponding charge to Acquired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process research and development in the Consolidated Statements of Operations. TLC is also eligible to receive: (i) payments of up to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$110.0 million based on the achievement of certain development, regulatory and manufacturing milestones related to the initial indication for the treatment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osteoarthritis knee pain; (ii) payments of up to an additional $30.0 million based on the achievement of certain development and regulatory milestones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certain potential future indications; (iii) payments of up to an additional $500.0 million based on the achievement of certain commercial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milestones; and (iv) tiered royalties based on net sales of TLC599 in the U.S. Unless terminated earlier or extended, the term of the TLC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extends until the 20-year anniversary of the first commercial sale of TLC599.</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Pursuant to the terms of the TLC Agreement, we have deposited approximately $85.0 million of cash into a bank account which may be used to fund certain future obligations under the TLC Agreement or returned to us upon satisfaction of certain conditions. As further described in Note 7. Fair Value Measurements, this amount is considered restricted cash as of December 31, 2022 and is included in our Consolidated Balance Sheets at December 31, 2022 as Other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September 2022, we were informed by TLC of the top-line results from TLC’s Phase 3 clinical study to evaluate the efficacy and safety of TLC599 in patients with pain from osteoarthritis of the knee. While study participants treated with TLC599 showed improvement on the primary endpoint (change from baseline to week 12 on the WOMAC pain scale) consistent with the level of improvement reported in the previously conducted TLC599 Phase 2 clinical study, the difference compared to those receiving placebo was not statistically significant. Based on these data, we are evaluating options for TLC599 with TLC.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CONTRACT ASSETS AND LIABILITIES</w:t>
      </w:r>
    </w:p>
    <w:p>
      <w:pPr>
        <w:spacing w:after="0" w:line="12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December 31, 2022,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500" w:firstLine="486"/>
        <w:spacing w:after="0" w:line="263" w:lineRule="auto"/>
        <w:rPr>
          <w:sz w:val="20"/>
          <w:szCs w:val="20"/>
          <w:color w:val="auto"/>
        </w:rPr>
      </w:pPr>
      <w:r>
        <w:rPr>
          <w:rFonts w:ascii="Arial" w:cs="Arial" w:eastAsia="Arial" w:hAnsi="Arial"/>
          <w:sz w:val="18"/>
          <w:szCs w:val="18"/>
          <w:color w:val="auto"/>
        </w:rPr>
        <w:t>Certain of our other income-generating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6"/>
        </w:trPr>
        <w:tc>
          <w:tcPr>
            <w:tcW w:w="5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(1)</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Contract liabilities (2)</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00" w:hanging="329"/>
        <w:spacing w:after="0" w:line="279" w:lineRule="auto"/>
        <w:tabs>
          <w:tab w:leader="none" w:pos="572" w:val="left"/>
        </w:tabs>
        <w:numPr>
          <w:ilvl w:val="0"/>
          <w:numId w:val="75"/>
        </w:numPr>
        <w:rPr>
          <w:rFonts w:ascii="Arial" w:cs="Arial" w:eastAsia="Arial" w:hAnsi="Arial"/>
          <w:sz w:val="13"/>
          <w:szCs w:val="13"/>
          <w:color w:val="auto"/>
        </w:rPr>
      </w:pPr>
      <w:r>
        <w:rPr>
          <w:rFonts w:ascii="Arial" w:cs="Arial" w:eastAsia="Arial" w:hAnsi="Arial"/>
          <w:sz w:val="13"/>
          <w:szCs w:val="13"/>
          <w:color w:val="auto"/>
        </w:rPr>
        <w:t>At December 31, 2022 and December 31, 2021, approximately $1.5 million and $2.8 million, respectively, of these contract asset amounts are classified as current and are included in Prepaid expenses and other current assets in the Company’s Consolidated Balance Sheets. The remaining amounts are classified as noncurrent and are included in Other assets. The net decrease in contract assets during the year ended December 31, 2022 primarily relates to: (i) reclassifications of certain amounts to receivables as a result of rights to consideration becoming unconditional and (ii) net changes in estimates with respect to amounts of consideration expected to be received from sales of certain intellectual property rights.</w:t>
      </w:r>
    </w:p>
    <w:p>
      <w:pPr>
        <w:spacing w:after="0" w:line="1" w:lineRule="exact"/>
        <w:rPr>
          <w:rFonts w:ascii="Arial" w:cs="Arial" w:eastAsia="Arial" w:hAnsi="Arial"/>
          <w:sz w:val="13"/>
          <w:szCs w:val="13"/>
          <w:color w:val="auto"/>
        </w:rPr>
      </w:pPr>
    </w:p>
    <w:p>
      <w:pPr>
        <w:jc w:val="both"/>
        <w:ind w:left="580" w:hanging="329"/>
        <w:spacing w:after="0" w:line="291" w:lineRule="auto"/>
        <w:tabs>
          <w:tab w:leader="none" w:pos="572" w:val="left"/>
        </w:tabs>
        <w:numPr>
          <w:ilvl w:val="0"/>
          <w:numId w:val="75"/>
        </w:numPr>
        <w:rPr>
          <w:rFonts w:ascii="Arial" w:cs="Arial" w:eastAsia="Arial" w:hAnsi="Arial"/>
          <w:sz w:val="13"/>
          <w:szCs w:val="13"/>
          <w:color w:val="auto"/>
        </w:rPr>
      </w:pPr>
      <w:r>
        <w:rPr>
          <w:rFonts w:ascii="Arial" w:cs="Arial" w:eastAsia="Arial" w:hAnsi="Arial"/>
          <w:sz w:val="13"/>
          <w:szCs w:val="13"/>
          <w:color w:val="auto"/>
        </w:rPr>
        <w:t>At December 31, 2022 and December 31, 2021, approximately $0.6 million and $0.6 million, respectively, of these contract liability amounts are classified as current and are included in Accounts payable and accrued expenses in the Company’s Consolidated Balance Sheets. The remaining amounts are classified as noncurrent and are included in Other liabilities. During the year ended December 31, 2022, approximately $0.6 million of revenue was recognized that was included in the contract liability balance at December 31, 2021.</w:t>
      </w:r>
    </w:p>
    <w:p>
      <w:pPr>
        <w:spacing w:after="0" w:line="75"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During the year ended December 31, 2022, we recognized revenue of $11.9 million relating to performance obligations satisfied, or partially satisfied, in prior periods. Such revenue generally relates to changes in estimates with respect to our variable consideration.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included the following at December 31, 2022 and December 31, 2021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183,116</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deductions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106,735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114,563</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836,898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include a wide variety of accrued expenses, the most significant of which relate to accrued legal and other professional fees.</w:t>
      </w:r>
    </w:p>
    <w:p>
      <w:pPr>
        <w:spacing w:after="0" w:line="11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amounts in the table above do not include amounts classified as Liabilities subject to compromise in our Consolidated Balance Sheets. Refer to Note 2. Bankruptcy Proceedings for additional information about Liabilities subject to compromise.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DEBT</w:t>
      </w:r>
    </w:p>
    <w:p>
      <w:pPr>
        <w:spacing w:after="0" w:line="121" w:lineRule="exact"/>
        <w:rPr>
          <w:sz w:val="20"/>
          <w:szCs w:val="20"/>
          <w:color w:val="auto"/>
        </w:rPr>
      </w:pPr>
    </w:p>
    <w:p>
      <w:pPr>
        <w:ind w:right="70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total indebtedness at December 31, 2022 and December 31, 2021 (dollars in thousands):</w:t>
      </w: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Effective Interest</w:t>
            </w:r>
          </w:p>
        </w:tc>
        <w:tc>
          <w:tcPr>
            <w:tcW w:w="120" w:type="dxa"/>
            <w:vAlign w:val="bottom"/>
          </w:tcPr>
          <w:p>
            <w:pPr>
              <w:spacing w:after="0"/>
              <w:rPr>
                <w:sz w:val="11"/>
                <w:szCs w:val="11"/>
                <w:color w:val="auto"/>
              </w:rPr>
            </w:pPr>
          </w:p>
        </w:tc>
        <w:tc>
          <w:tcPr>
            <w:tcW w:w="1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tcPr>
          <w:p>
            <w:pPr>
              <w:jc w:val="right"/>
              <w:ind w:right="32"/>
              <w:spacing w:after="0" w:line="133" w:lineRule="exact"/>
              <w:rPr>
                <w:sz w:val="20"/>
                <w:szCs w:val="20"/>
                <w:color w:val="auto"/>
              </w:rPr>
            </w:pPr>
            <w:r>
              <w:rPr>
                <w:rFonts w:ascii="Arial" w:cs="Arial" w:eastAsia="Arial" w:hAnsi="Arial"/>
                <w:sz w:val="14"/>
                <w:szCs w:val="14"/>
                <w:b w:val="1"/>
                <w:bCs w:val="1"/>
                <w:color w:val="auto"/>
                <w:w w:val="94"/>
              </w:rPr>
              <w:t>Carrying Amount</w:t>
            </w:r>
          </w:p>
        </w:tc>
        <w:tc>
          <w:tcPr>
            <w:tcW w:w="100" w:type="dxa"/>
            <w:vAlign w:val="bottom"/>
          </w:tcPr>
          <w:p>
            <w:pPr>
              <w:spacing w:after="0"/>
              <w:rPr>
                <w:sz w:val="11"/>
                <w:szCs w:val="11"/>
                <w:color w:val="auto"/>
              </w:rPr>
            </w:pPr>
          </w:p>
        </w:tc>
        <w:tc>
          <w:tcPr>
            <w:tcW w:w="1340" w:type="dxa"/>
            <w:vAlign w:val="bottom"/>
            <w:gridSpan w:val="3"/>
          </w:tcPr>
          <w:p>
            <w:pPr>
              <w:jc w:val="right"/>
              <w:ind w:right="150"/>
              <w:spacing w:after="0" w:line="133" w:lineRule="exact"/>
              <w:rPr>
                <w:sz w:val="20"/>
                <w:szCs w:val="20"/>
                <w:color w:val="auto"/>
              </w:rPr>
            </w:pPr>
            <w:r>
              <w:rPr>
                <w:rFonts w:ascii="Arial" w:cs="Arial" w:eastAsia="Arial" w:hAnsi="Arial"/>
                <w:sz w:val="14"/>
                <w:szCs w:val="14"/>
                <w:b w:val="1"/>
                <w:bCs w:val="1"/>
                <w:color w:val="auto"/>
                <w:w w:val="95"/>
              </w:rPr>
              <w:t>Effective Interest</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4"/>
              </w:rPr>
              <w:t>Carrying Amount</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Rate (1)</w:t>
            </w:r>
          </w:p>
        </w:tc>
        <w:tc>
          <w:tcPr>
            <w:tcW w:w="12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34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Rate</w:t>
            </w: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7.25% Senior Notes due 2022</w:t>
            </w: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5.75% Senior Notes due 2022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12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56,203</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5.875% Senior Secured Notes due 2024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297,928</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12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21,413</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1,997,777</w:t>
            </w:r>
          </w:p>
        </w:tc>
        <w:tc>
          <w:tcPr>
            <w:tcW w:w="0" w:type="dxa"/>
            <w:vAlign w:val="bottom"/>
          </w:tcPr>
          <w:p>
            <w:pPr>
              <w:spacing w:after="0"/>
              <w:rPr>
                <w:sz w:val="1"/>
                <w:szCs w:val="1"/>
                <w:color w:val="auto"/>
              </w:rPr>
            </w:pPr>
          </w:p>
        </w:tc>
      </w:tr>
      <w:tr>
        <w:trPr>
          <w:trHeight w:val="188"/>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w w:val="90"/>
              </w:rPr>
              <w:t>9.50%</w:t>
            </w:r>
          </w:p>
        </w:tc>
        <w:tc>
          <w:tcPr>
            <w:tcW w:w="2640" w:type="dxa"/>
            <w:vAlign w:val="bottom"/>
          </w:tcPr>
          <w:p>
            <w:pPr>
              <w:ind w:left="20"/>
              <w:spacing w:after="0" w:line="189" w:lineRule="exact"/>
              <w:rPr>
                <w:sz w:val="20"/>
                <w:szCs w:val="20"/>
                <w:color w:val="auto"/>
              </w:rPr>
            </w:pPr>
            <w:r>
              <w:rPr>
                <w:rFonts w:ascii="Arial" w:cs="Arial" w:eastAsia="Arial" w:hAnsi="Arial"/>
                <w:sz w:val="18"/>
                <w:szCs w:val="18"/>
                <w:color w:val="auto"/>
                <w:w w:val="92"/>
              </w:rPr>
              <w:t>Senior Secured Second Lien Notes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due 2027</w:t>
            </w:r>
          </w:p>
        </w:tc>
        <w:tc>
          <w:tcPr>
            <w:tcW w:w="1120" w:type="dxa"/>
            <w:vAlign w:val="bottom"/>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940,590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933,330</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1,252,667</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w w:val="96"/>
              </w:rPr>
              <w:t>6.125% Senior Secured Notes due 2029</w:t>
            </w:r>
          </w:p>
        </w:tc>
        <w:tc>
          <w:tcPr>
            <w:tcW w:w="1120" w:type="dxa"/>
            <w:vAlign w:val="bottom"/>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1,230,799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1,278,718</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1,947,633</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265,728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(3)</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7,834,717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8,249,322</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160" w:hanging="329"/>
        <w:spacing w:after="0" w:line="275" w:lineRule="auto"/>
        <w:tabs>
          <w:tab w:leader="none" w:pos="572" w:val="left"/>
        </w:tabs>
        <w:numPr>
          <w:ilvl w:val="0"/>
          <w:numId w:val="77"/>
        </w:numPr>
        <w:rPr>
          <w:rFonts w:ascii="Arial" w:cs="Arial" w:eastAsia="Arial" w:hAnsi="Arial"/>
          <w:sz w:val="13"/>
          <w:szCs w:val="13"/>
          <w:color w:val="auto"/>
        </w:rPr>
      </w:pPr>
      <w:r>
        <w:rPr>
          <w:rFonts w:ascii="Arial" w:cs="Arial" w:eastAsia="Arial" w:hAnsi="Arial"/>
          <w:sz w:val="13"/>
          <w:szCs w:val="13"/>
          <w:color w:val="auto"/>
        </w:rPr>
        <w:t>As noted below, beginning on the Petition Date, we ceased recognition of interest expense related to all of our debt instruments and began to incur “adequate protection payments” (further discussed below) related to our First Lien Debt Instruments (representing all of our debt instruments except for our senior unsecured notes and the 9.50% Senior Secured Second Lien Notes due 2027). The December 31, 2022 “effective interest rates” included in the table above represent the rates in effect on such date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w:t>
      </w:r>
    </w:p>
    <w:p>
      <w:pPr>
        <w:spacing w:after="0" w:line="3" w:lineRule="exact"/>
        <w:rPr>
          <w:rFonts w:ascii="Arial" w:cs="Arial" w:eastAsia="Arial" w:hAnsi="Arial"/>
          <w:sz w:val="13"/>
          <w:szCs w:val="13"/>
          <w:color w:val="auto"/>
        </w:rPr>
      </w:pPr>
    </w:p>
    <w:p>
      <w:pPr>
        <w:ind w:left="580" w:right="20" w:hanging="329"/>
        <w:spacing w:after="0" w:line="265" w:lineRule="auto"/>
        <w:tabs>
          <w:tab w:leader="none" w:pos="5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December 31,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Consolidated Statements of Operations) $89.2 million of previously-deferred and unamortized costs associated with these instruments. The December 31, 2022 carrying amounts of our First Lien Debt Instruments also reflect reductions for certain adequate protection payments made since the Petition Date, as further discussed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ind w:left="580" w:right="40" w:hanging="329"/>
        <w:spacing w:after="0" w:line="265" w:lineRule="auto"/>
        <w:tabs>
          <w:tab w:leader="none" w:pos="572"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of December 31, 2022, the entire carrying amount our debt, as well as any related remaining accrued and unpaid interest that existed as of the Petition Date, is included in the Liabilities subject to compromise line in the Consolidated Balance Sheets. As of December 31, 2021, $200.3 million of the carrying amount of our debt is classified as a current liability and is included in the Current portion of long-term debt line in the Consolidated Balance Sheets. The remaining carrying amount of our debt as of December 31, 2021 is included in the Long-term debt, less current portion, net line in the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Company and its subsidiaries, with certain customary exceptions, guarantee or serve as issuers or borrowers of the debt instruments representing substantially all of the Company’s indebtedness at December 31, 2022. The obligations under: (i) the 5.875% Senior Secured Notes due 2024; (ii) the</w:t>
      </w:r>
    </w:p>
    <w:p>
      <w:pPr>
        <w:ind w:right="140"/>
        <w:spacing w:after="0" w:line="268" w:lineRule="auto"/>
        <w:rPr>
          <w:sz w:val="20"/>
          <w:szCs w:val="20"/>
          <w:color w:val="auto"/>
        </w:rPr>
      </w:pPr>
      <w:r>
        <w:rPr>
          <w:rFonts w:ascii="Arial" w:cs="Arial" w:eastAsia="Arial" w:hAnsi="Arial"/>
          <w:sz w:val="17"/>
          <w:szCs w:val="17"/>
          <w:color w:val="auto"/>
        </w:rPr>
        <w:t xml:space="preserve">7.50% Senior Secured Notes due 2027; (iii) the 6.125% Senior Secured Notes due 2029; and (iv) the Credit Agreement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first priority lien (subject to certain permitted liens) on the collateral securing such instruments, which collateral represents substantially all of the assets of the issuers or borrowers and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73"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$4.9 billion and $8.0 billion at December 31, 2022 and December 31, 2021, respectively. Based on this valuation methodology, we determined these debt instruments represent Level 2 measurements within the fair value hierarchy.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The Company and certain of its subsidiaries are party to the Credit Agreement, which immediately following the March 2021 Refinancing Transactions provided for: (i) a $1,000.0 million senior secured revolving credit facility (the Revolving Credit Facility) and (ii) a $2,000.0 million senior secured term loan facility (the Term Loan Facility and, together with the Revolving Credit Facility, the Credit Facilities).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Current amounts outstanding as of December 31, 2022 under the Credit Facilities are set forth in the table above.</w:t>
      </w:r>
    </w:p>
    <w:p>
      <w:pPr>
        <w:spacing w:after="0" w:line="117"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Principal payments on the Term Loan Facility equal to 0.25% of the initial $2,000.0 million principal amount are generally payable quarterly, beginning on June 30, 2021 and extending until the Term Loan Facility’s maturity date in March 2028, at which time the remaining principal amount outstanding is payable. Based on the Company’s borrowings under the Revolving Credit Facility outstanding at December 31, 2022, $74.6 million generally matures in 2024, with the remainder generally maturing in 2026.</w:t>
      </w:r>
    </w:p>
    <w:p>
      <w:pPr>
        <w:spacing w:after="0" w:line="7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Borrowings under the Revolving Credit Facility bear interest, at the borrower’s election, at a rate per annum equal to: (i) an applicable margin between 1.50% and 3.00% depending on the Company’s Total Net Leverage Ratio plus the Adjusted LIBO Rate (as defined in the Credit Agreement) or (ii) an applicable margin between 0.50% and 2.00% depending on the Company’s Total Net Leverage Ratio plus the Alternate Base Rate (as defined in the Credit Agreement). In addition, borrowings under our Term Loan Facility bear interest, at the borrower’s election, at a rate per annum equal to: (i) 5.00% plus the Adjusted LIBO Rate, subject to a London Interbank Offered Rate (LIBOR) floor of 0.75%, or (ii) 4.00% plus the Alternate Base Rate, subject to an Alternate Base Rate floor of 1.75%. Interest on these instruments is generally payable at the end of each interest period but at least every three months.</w:t>
      </w:r>
    </w:p>
    <w:p>
      <w:pPr>
        <w:spacing w:after="0" w:line="5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foregoing summary, which does not purport to be complete, is based on the terms of the Credit Agreement. Refer to the “Covenants, Events of Default and Bankruptcy-Related Matters” section below for a discussion of the effects of the ongoing bankruptcy proceedings and the related event of default on the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Senior Secured Notes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various senior notes and senior secured notes outstanding as of December 31, 2022 generally mature between 2023 and 2029. Interest on these notes is generally payable semiannually in arrears. The indentures governing these notes generally allow for redemption prior to maturity, in whole or in part, subject to certain restrictions and limitations described therein. The foregoing summary, which does not purport to be complete, is based on the terms of the indentures governing our various senior notes and senior secured notes. Refer to the “Covenants, Events of Default and Bankruptcy-Related Matters” section below for a discussion of the effects of the ongoing bankruptcy proceedings and the related event of default on our various senior notes and senior secured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Events of Default and Bankruptcy-Related Matters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agreements relating to our outstanding indebtedness contain certain covenants and events of default.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Beginning during the second quarter of 2022, we elected to not make the following interest payments on or prior to their scheduled due dates: (i) approximately $38 million that was due on June 30, 2022 with respect to our outstanding 6.00% Senior Notes due 2028; (ii) approximately $2 million that was due on July 15, 2022 with respect to our outstanding 5.375% Senior Notes due 2023 and 6.00% Senior Notes due 2023; (iii) approximately $45 million that was due on July 31, 2022 with respect to our outstanding 9.50% Senior Secured Second Lien Notes due 2027; and (iv) approximately $1 million that was due on August 1, 2022 with respect to our outstanding 6.00% Senior Notes due 2025. Under each of the indentures governing these notes, we had a 30-day grace period from the respective due dates to make these interest payments before such non-payments constituted events of default with respect to such notes. We chose to enter these grace periods while continuing discussions with certain creditors in connection with our evaluation of strategic alternatives. Our decision to enter these grace periods was not driven by liquidity constraints. We made the interest payment of approximately $38 million that became due on June 30, 2022 with respect to our outstanding 6.00% Senior Notes due 2028 on July 28, 2022, which was prior to the end of the applicable grace period. We also made the interest payments totaling approximately $2 million that became due on July 15, 2022 with respect to our outstanding 5.375% Senior Notes due 2023 and 6.00% Senior Notes due 2023 on August 11, 2022, which was prior to the end of the applicable grace periods.</w:t>
      </w:r>
    </w:p>
    <w:p>
      <w:pPr>
        <w:spacing w:after="0" w:line="64"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a result of the Chapter 11 Cases, since the Petition Date, we have not made, and we are not currently making, any scheduled principal or interest payments on the Credit Facilities or our various senior notes and senior secured notes. We are however making certain adequate protection payments as further discussed below. Additionally, as a result of the Chapter 11 Cases, all remaining commitments under the Revolving Credit Facility have been terminated.</w:t>
      </w:r>
    </w:p>
    <w:p>
      <w:pPr>
        <w:spacing w:after="0" w:line="7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transactions contemplated by the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Consolidated Balance Sheets as of December 31, 2022 and we ceased the recognition of interest expense related to these instruments as of the Petition Date. During 2022, we did not recognize approximately $231 million of contractual interest expense that would have been recognized if not for the Chapter 11 Cases.</w:t>
      </w:r>
    </w:p>
    <w:p>
      <w:pPr>
        <w:spacing w:after="0" w:line="8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As part of the RSA that is further discussed in Note 2. Bankruptcy Proceedings,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w:t>
      </w:r>
    </w:p>
    <w:p>
      <w:pPr>
        <w:spacing w:after="0" w:line="57" w:lineRule="exact"/>
        <w:rPr>
          <w:sz w:val="20"/>
          <w:szCs w:val="20"/>
          <w:color w:val="auto"/>
        </w:rPr>
      </w:pPr>
    </w:p>
    <w:p>
      <w:pPr>
        <w:jc w:val="both"/>
        <w:ind w:right="40" w:firstLine="486"/>
        <w:spacing w:after="0" w:line="254" w:lineRule="auto"/>
        <w:rPr>
          <w:sz w:val="20"/>
          <w:szCs w:val="20"/>
          <w:color w:val="auto"/>
        </w:rPr>
      </w:pPr>
      <w:r>
        <w:rPr>
          <w:rFonts w:ascii="Arial" w:cs="Arial" w:eastAsia="Arial" w:hAnsi="Arial"/>
          <w:sz w:val="18"/>
          <w:szCs w:val="18"/>
          <w:color w:val="auto"/>
        </w:rPr>
        <w:t>Pursuant to the Cash Collateral Order, we are obligated to make certain adequate protection payments during our bankruptcy proceedings on each of our First Lien Debt Instruments. These adequate protection payments include the payment of amounts equal to any accrued and unpaid interest that existed as of the Petition Date by no later than eight business days after entry of the interim Cash Collateral Order, as well as the following payments, to be paid on the last business day of each calendar month, calculated based upon a rate of:</w:t>
      </w:r>
    </w:p>
    <w:p>
      <w:pPr>
        <w:spacing w:after="0" w:line="2" w:lineRule="exact"/>
        <w:rPr>
          <w:sz w:val="20"/>
          <w:szCs w:val="20"/>
          <w:color w:val="auto"/>
        </w:rPr>
      </w:pPr>
    </w:p>
    <w:p>
      <w:pPr>
        <w:ind w:left="900" w:right="380" w:hanging="244"/>
        <w:spacing w:after="0" w:line="250" w:lineRule="auto"/>
        <w:tabs>
          <w:tab w:leader="none" w:pos="8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the Revolving Credit Facility and the Term Loan Facility, 200 basis points plus: (i) if denominated in dollars, ABR plus the Applicable Rate (each as defined in the Credit Agreement), or (ii) if denominated in Canadian dollars, the Canadian Prime Rate plus the Applicable Rate (each as defined in the Credit Agreement); and</w:t>
      </w:r>
    </w:p>
    <w:p>
      <w:pPr>
        <w:spacing w:after="0" w:line="1" w:lineRule="exact"/>
        <w:rPr>
          <w:rFonts w:ascii="Arial" w:cs="Arial" w:eastAsia="Arial" w:hAnsi="Arial"/>
          <w:sz w:val="18"/>
          <w:szCs w:val="18"/>
          <w:color w:val="auto"/>
        </w:rPr>
      </w:pPr>
    </w:p>
    <w:p>
      <w:pPr>
        <w:ind w:left="900" w:right="280" w:hanging="244"/>
        <w:spacing w:after="0" w:line="260" w:lineRule="auto"/>
        <w:tabs>
          <w:tab w:leader="none" w:pos="8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the applicable senior secured notes, 100 basis points plus the applicable rate of interest set forth on the face of the applicable note.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1" w:lineRule="auto"/>
        <w:rPr>
          <w:sz w:val="20"/>
          <w:szCs w:val="20"/>
          <w:color w:val="auto"/>
        </w:rPr>
      </w:pPr>
      <w:r>
        <w:rPr>
          <w:rFonts w:ascii="Arial" w:cs="Arial" w:eastAsia="Arial" w:hAnsi="Arial"/>
          <w:sz w:val="17"/>
          <w:szCs w:val="17"/>
          <w:color w:val="auto"/>
        </w:rPr>
        <w:t>The rates in the foregoing bullet points, which are used to calculate any applicable adequate protection payments, are expressed as a percentage of the contractual principal amounts outstanding without consideration of any reductions related to adequate protection payments. On a cumulative basis through December 31, 2022, we made the following adequate protection payments pursuant to the Cash Collateral Order:</w:t>
      </w: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$11.5 million with respect to the Revolving Credit Facility;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$103.1 million with respect to the Term Loan Facility;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$198.5 million with respect to the applicable senior secured notes.</w:t>
      </w:r>
    </w:p>
    <w:p>
      <w:pPr>
        <w:spacing w:after="0" w:line="103"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As required by ASC 852, these adequate protection payments are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including the proposed Sale transaction, which in turn creates uncertainties surrounding the first lien debt holders’ ability to recover in full the amount of outstanding principal associated with those instruments. Some or all of the adequate protection payments may later be recharacterized as interest expense depending upon certain developments in the Chapter 11 Cases.</w:t>
      </w:r>
    </w:p>
    <w:p>
      <w:pPr>
        <w:spacing w:after="0" w:line="6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to the terms described above, the Cash Collateral Order, among other things, establishes a budget for the Debtors’ use of cash collateral, establishes certain informational rights for the Debtors’ secured creditors and provides for the waiver of certain Bankruptcy Code provisions. The foregoing description of the Cash Collateral Order does not purport to be complete and is qualified in its entirety by reference to the Cash Collateral Order entered by the Bankruptcy Court in the Chapter 11 Cases.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are certain disclosures relating to debt financing transactions that occurred during the years ended December 31, 2022,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2020 Refinancing</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June 2020, the Company executed certain transactions (the June 2020 Refinancing Transactions) that included, among other things, the exchanges by certain of the Company’s wholly-owned subsidiaries of certain series of senior notes for certain newly issued senior secured notes and senior notes and $47.2 million in cash paid by the Company. The June 2020 Refinancing Transactions</w:t>
      </w:r>
    </w:p>
    <w:p>
      <w:pPr>
        <w:spacing w:after="0" w:line="3"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were accounted for as debt modifications. Following the June 2020 Refinancing Transactions, previously deferred and unamortized amounts associated with the old notes exchanged began to be amortized over the respective terms of the new notes; this continued until the initiation of our bankruptcy proceedings during the third quarter of 2022, at which time the remaining unamortized costs were expensed as Reorganization items, net in the Consolidated Statements of Operations. In connection with the June 2020 Refinancing Transactions, we incurred fees to third parties of approximately $31.1 million, substantially all of which were charged to expense during the second quarter of 2020 and were included in Selling, general and administrative expenses in the Consolidated Statements of Operations.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August 2020 Tender Offer</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 August 2020, the Company repurchased and retired approximately $10 million in aggregate principal of 5.75% Senior Notes due 2022 pursuant to a tender offer.</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2021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2021, the Company executed certain transactions (the March 2021 Refinancing Transactions) that included:</w:t>
      </w:r>
    </w:p>
    <w:p>
      <w:pPr>
        <w:spacing w:after="0" w:line="23" w:lineRule="exact"/>
        <w:rPr>
          <w:sz w:val="20"/>
          <w:szCs w:val="20"/>
          <w:color w:val="auto"/>
        </w:rPr>
      </w:pPr>
    </w:p>
    <w:p>
      <w:pPr>
        <w:ind w:left="900" w:right="220" w:hanging="244"/>
        <w:spacing w:after="0" w:line="265" w:lineRule="auto"/>
        <w:tabs>
          <w:tab w:leader="none" w:pos="8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ind w:left="900" w:hanging="244"/>
        <w:spacing w:after="0" w:line="250" w:lineRule="auto"/>
        <w:tabs>
          <w:tab w:leader="none" w:pos="8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making certain other modifications to the credit agreement that was in effect immediately prior to the March 2021 Refinancing Transactions (the Prior Credit Agreement).</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is included in the Loss on extinguishment of debt line item in the Consolidated Statements of Operations. The Company also incurred an additional $56.7 million of new costs and fees, of which: (i) $29.2 million and $17.6 million were initially deferred to be amortized as interest expense over the terms of the Term Loan Facility and the newly issued 6.125% Senior Secured Notes due 2029, respectively; (ii) $6.0 million was considered debt extinguishment costs and was charged to expense in the first quarter of 2021 and is included in the Loss on extinguishment of debt line item in the Consolidated Statements of Operations; and (iii) $3.9 million was considered debt modification costs and was charged to expense in the first quarter of 2021 and is included in the Selling, general and administrative expense line item in the Consolidated Statements of Operations. The deferred amounts were being amortized as interest expense until the initiation of our bankruptcy proceedings during the third quarter of 2022, at which time the remaining unamortized costs were expensed as Reorganization items, net in the Consolidated Statements of Operations.</w:t>
      </w:r>
    </w:p>
    <w:p>
      <w:pPr>
        <w:spacing w:after="0" w:line="64"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October 2021 Revolving Credit Facility Repayment and January 2022 Senior Notes Repayments</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As noted above, the initiation of our bankruptcy proceedings constituted an event of default that accelerated our obligations under substantially all of our then-outstanding debt instruments. The following table presents, as of December 31, 2022, for each of the five fiscal years subsequent to December 31, 2022, the stated maturities on our long-term debt that would have been applicable if not for such acceleration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5"/>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82,563</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41,578</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2026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222,600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2,976,069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jc w:val="both"/>
        <w:ind w:left="580" w:right="240" w:hanging="329"/>
        <w:spacing w:after="0" w:line="259" w:lineRule="auto"/>
        <w:tabs>
          <w:tab w:leader="none" w:pos="57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terms of the Credit Agreement provide that certain amounts borrowed pursuant to the Credit Facilities could mature prior to their scheduled maturity date if certain of our senior notes are not refinanced or repaid prior to the date that is 91 days prior to the respective stated maturity dates thereof. The amounts in this maturities table do not reflect any potential early repayments or refinancings.</w:t>
      </w:r>
    </w:p>
    <w:p>
      <w:pPr>
        <w:ind w:left="580" w:right="200" w:hanging="329"/>
        <w:spacing w:after="0" w:line="283" w:lineRule="auto"/>
        <w:tabs>
          <w:tab w:leader="none" w:pos="572"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December 31, 2022, $74.6 million would have matured in 2024, with the remainder maturing in 2026.</w:t>
      </w:r>
    </w:p>
    <w:p>
      <w:pPr>
        <w:spacing w:after="0" w:line="63"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As discussed above, as a result of the Chapter 11 Cases, since the Petition Date, we have not made, and we are not currently making, any scheduled principal or interest payments on the Credit Facilities or our various senior notes and senior secured notes. Therefore, the timing and amount of any future principal and interest payments is uncertain. The table above excludes $10.0 million of principal outstanding on our Term Loan Facility that, pursuant to the terms of the Credit Agreement, matured on or before December 31, 2022 but has not yet been paid as a result of the Chapter 11 Cases.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Other Service Agreements</w:t>
      </w:r>
    </w:p>
    <w:p>
      <w:pPr>
        <w:spacing w:after="0" w:line="12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Our subsidiaries contract with various third-party manufacturers, suppliers and service providers to provide raw materials used in our subsidiaries’ products and semi-finished and finished goods, as well as certain packaging, labeling services, customer service support, warehouse and distribution services. If, for any reason, we are unable to obtain sufficient quantities of any of the finished goods or raw materials or components required for our products or services needed to conduct our business, it could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addition to the manufacturing and supply agreements described above, we have agreements with various companies for clinical development and certain other services. Although we have no reason to believe that the parties to these agreements will not meet their obligations, failure by any of these third parties to honor their contractual obligations may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Agreement</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The U.S. Government Agreement is part of the U.S. government’s efforts, authorized under the Defense Production Act, to address potential vulnerabilities in critical product supply chains and strengthen the advancement of domestic manufacturing capabilities critical to the national defense, including essential medicines production.</w:t>
      </w:r>
    </w:p>
    <w:p>
      <w:pPr>
        <w:spacing w:after="0" w:line="5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Under the terms of the U.S. Government Agreement, our Rochester facility will establish new sterile fill-finish manufacturing assets capable of processing liquid or lyophilized products requiring Biosafety Level (BSL) 2 containment in order to establish and sustain BSL 2 sterile fill-finish production capacity to create and maintain industrial base capabilities for the national defense. Certain qualifying costs are eligible for reimbursement by the U.S. government under a cost share arrangement, generally within 30 days of us submitting requests for reimbursement. The Company must generally incur the costs before subsequently seeking reimbursement of qualifying costs from the U.S. government. Amounts reimbursed are subject to audit and may be recaptured by the U.S. government in certain circumstances.</w:t>
      </w:r>
    </w:p>
    <w:p>
      <w:pPr>
        <w:spacing w:after="0" w:line="84"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Construction is currently in progress. During the year ended December 31, 2022, we incurred approximately $39.0 million of costs associated with the U.S. Government Agreement. Additional information about such costs is included below:</w:t>
      </w:r>
    </w:p>
    <w:p>
      <w:pPr>
        <w:spacing w:after="0" w:line="1" w:lineRule="exact"/>
        <w:rPr>
          <w:sz w:val="20"/>
          <w:szCs w:val="20"/>
          <w:color w:val="auto"/>
        </w:rPr>
      </w:pPr>
    </w:p>
    <w:p>
      <w:pPr>
        <w:jc w:val="both"/>
        <w:ind w:left="900" w:right="20" w:hanging="244"/>
        <w:spacing w:after="0" w:line="265" w:lineRule="auto"/>
        <w:tabs>
          <w:tab w:leader="none" w:pos="8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Approximately $34.9 million has been capitalized and recorded as Property, plant and equipment, net in our Consolidated Balance Sheets as of December 31, 2022. We have also recorded deferred income of approximately $26.5 million, representing the reimbursable portion of the costs incurred, which is included in Other liabilities in our Consolidated Balance Sheets as of December 31, 2022.</w:t>
      </w:r>
    </w:p>
    <w:p>
      <w:pPr>
        <w:ind w:left="900" w:right="60" w:hanging="244"/>
        <w:spacing w:after="0" w:line="255" w:lineRule="auto"/>
        <w:tabs>
          <w:tab w:leader="none" w:pos="8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Approximately $1.0 million has been charged to expense during the year ended December 31, 2022, with the majority of such expense included within Selling, general and administrative expenses and Cost of revenues in our Consolidated Statements of Operations. This amount is net of approximately $3.1 million, representing the reimbursable portion of costs incurred.</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included in our Consolidated Financial Statements as of and for the year ended December 31, 2021 were not material.</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currently estimate that between approximately one-quarter and one-third of our expected capital expenditures related to this agreement, as well as the corresponding reimbursements from the U.S. government, have occurred through December 31, 2022. We currently anticipate that facility readiness will occur in 2025, but there can be no assurance this will occur.</w:t>
      </w:r>
    </w:p>
    <w:p>
      <w:pPr>
        <w:spacing w:after="0" w:line="76" w:lineRule="exact"/>
        <w:rPr>
          <w:sz w:val="20"/>
          <w:szCs w:val="20"/>
          <w:color w:val="auto"/>
        </w:rPr>
      </w:pPr>
    </w:p>
    <w:p>
      <w:pPr>
        <w:ind w:right="220" w:firstLine="486"/>
        <w:spacing w:after="0" w:line="289" w:lineRule="auto"/>
        <w:rPr>
          <w:sz w:val="20"/>
          <w:szCs w:val="20"/>
          <w:color w:val="auto"/>
        </w:rPr>
      </w:pPr>
      <w:r>
        <w:rPr>
          <w:rFonts w:ascii="Arial" w:cs="Arial" w:eastAsia="Arial" w:hAnsi="Arial"/>
          <w:sz w:val="16"/>
          <w:szCs w:val="16"/>
          <w:color w:val="auto"/>
        </w:rPr>
        <w:t>The new sterile fill-finish manufacturing assets will be available to support our future commercial operations, subject to the U.S. government’s conditional priority access and certain preferred pricing obligations under the U.S. Government Agreement. The U.S. government will have conditional priority access to the facility for an initial period of ten years from the completion of the expansion project, which could be extended in the future after good faith negotiation and on commercially reasonable terms and conditions. Specifically, the U.S. government (or a third-party U.S. government supporting entity) will have priority access to utilize the new sterile fill-finish manufacturing assets for the production of a medical countermeasure if a determination is made in writing by the Secretary of HHS that the priority access is needed to respond to a disease, health condition or other threat to the public health that causes a public health emergency or a credible risk of such an emergency. The U.S. Government Agreement also contemplates the establishment of separate supply agreements to be negotiated in good faith on mutually-acceptable commercially reasonable terms. Refer to Note 3. Summary of Significant Accounting Policies for additional information about our accounting for the U.S. Government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certain proceedings described herein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As further discussed in Note 2. Bankruptcy Proceedings, on the Petition Date, the Debtors filed voluntary petitions for relief under the Bankruptcy Code.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Accordingly, we will record receivables with respect to amounts due under these policies only when the realization of the potential claim for recovery is considered probable.</w:t>
      </w:r>
    </w:p>
    <w:p>
      <w:pPr>
        <w:spacing w:after="0" w:line="73"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70"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of December 31, 2022, our accrual for loss contingencies totaled $820.8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December 31, 2022, our entire accrual for loss contingencies is classified as Liabilities subject to compromise in the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8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part of the Chapter 11 Cases, persons and entities believing that they have claims or causes of action against the Debtors, including litigants, may file proofs of claim evidencing such claims. While no bar date (deadline) for holders of claims to file proofs of claim has yet been set, the Debtors have filed a motion seeking Bankruptcy Court approval to establish such deadline. The motion has been adjourned to an undetermined date, and as a result, the proposed deadlines set forth in the motion are expected to be extended.</w:t>
      </w:r>
    </w:p>
    <w:p>
      <w:pPr>
        <w:spacing w:after="0" w:line="79"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At the Debtors’ request, the Bankruptcy Court has appointed a future claims representative (FCR) in the Chapter 11 Cases. As further described in the applicable bankruptcy court filings, the FCR represents the rights of individuals who may in the future assert one or more claims against the Debtors or a successor of the Debtors’ businesses for personal injury based on the Debtors’ opioid, transvaginal mesh or ranitidine products, but who could not assert such claims in the Chapter 11 Cases because, among other reasons, the claimant was unaware of the alleged injury, had a latent manifestation of the alleged injury or was otherwise unable to assert or incapable of asserting the claims based on the alleged injury.</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Since 2008, we and certain of our subsidiaries, including American Medical Systems Holdings, Inc. (AMS) (which subsequently converted to Astora Women’s Health Holdings, LLC and merged into Astora Women’s Health LLC (Astora)), have been named as defendants in multiple lawsuits in various state and federal courts in the U.S., and in the United Kingdom, Australia and other countries, alleging personal injury resulting from the use of transvaginal surgical mesh products designed to treat POP and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have been subject to a process that includes guidelines and procedures for administering the settlements and the release of funds. In certain cases, the MSAs have provided for the creation of QSFs into which settlement funds are deposited, established participation requirements and allowed for a reduction of the total settlement payment in the event participation thresholds are not met. In certain circumstances, participation requirements or other conditions for payment were not satisfied prior to the Petition Date.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64"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color w:val="auto"/>
        </w:rPr>
        <w:t>The following table presents the changes in the mesh-related QSFs and liability accrual balances during the year ended December 31, 2022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Mesh Qualified</w:t>
            </w:r>
          </w:p>
        </w:tc>
        <w:tc>
          <w:tcPr>
            <w:tcW w:w="160" w:type="dxa"/>
            <w:vAlign w:val="bottom"/>
          </w:tcPr>
          <w:p>
            <w:pPr>
              <w:spacing w:after="0"/>
              <w:rPr>
                <w:sz w:val="12"/>
                <w:szCs w:val="12"/>
                <w:color w:val="auto"/>
              </w:rPr>
            </w:pPr>
          </w:p>
        </w:tc>
        <w:tc>
          <w:tcPr>
            <w:tcW w:w="12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Mesh Liability</w:t>
            </w:r>
          </w:p>
        </w:tc>
      </w:tr>
      <w:tr>
        <w:trPr>
          <w:trHeight w:val="192"/>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Settlement Funds</w:t>
            </w:r>
          </w:p>
        </w:tc>
        <w:tc>
          <w:tcPr>
            <w:tcW w:w="16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Accrual</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258,137</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Cash received for reversionary interests, net of cash contributions to Qualified Settlement Funds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cash distributions to settle disputes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Balance as of December 31, 2022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222,972</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20" w:hanging="329"/>
        <w:spacing w:after="0" w:line="259" w:lineRule="auto"/>
        <w:tabs>
          <w:tab w:leader="none" w:pos="57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of December 31, 2022, this balance is classified as Liabilities subject to compromise in the Consolidated Balance Sheets.</w:t>
      </w:r>
    </w:p>
    <w:p>
      <w:pPr>
        <w:spacing w:after="0" w:line="10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Consolidated Statements of Operations.</w:t>
      </w:r>
    </w:p>
    <w:p>
      <w:pPr>
        <w:spacing w:after="0" w:line="6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of December 31, 2022, the Company has made total cumulative mesh liability payments of approximately $3.6 billion, $50.3 million of which remains in the QSFs as of December 31, 2022.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6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the Petition Date, mesh personal injury claims against AMS and Astora became subject to the automatic stay applicable under the Bankruptcy Code, and stays on mesh litigation have been obtained in the United Kingdom and Australia. In certain other countries where no stay is in place, and in the event the stays in place were to be lifted, we will continue to vigorously defend any unresolved claims and to explore other options as appropriate in our best interests.</w:t>
      </w:r>
    </w:p>
    <w:p>
      <w:pPr>
        <w:spacing w:after="0" w:line="79"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62"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EHSI, EPI, PPI, PPCI, Endo Generics Holdings, Inc. (EGHI), Vintage Pharmaceuticals, LLC, Generics Bidco I, LLC, DAVA Pharmaceuticals, LLC, PSP LLC and in Canada, Paladin and EVL, as well as various other manufacturers, distributors, pharmacies and/or others, asserting claims relating to the defendants’ alleged sales, marketing and/or distribution practices with respect to prescription opioid medications, including certain of our products. As of February 27, 2023,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on behalf of a proposed class of all local or municipal governments in Canada; an action filed in Saskatchewan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6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7"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Following the Petition Date, litigation activity against the Company and its subsidiaries ceased in nearly all pending cases as a result of the automatic stay and a November 2022 preliminary injunction order issued by the Bankruptcy Court. A similar cessation of litigation activity is in place in Canada.</w:t>
      </w:r>
    </w:p>
    <w:p>
      <w:pPr>
        <w:spacing w:after="0" w:line="5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June 2020, the New York State Department of Financial Services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3" w:lineRule="exact"/>
        <w:rPr>
          <w:sz w:val="20"/>
          <w:szCs w:val="20"/>
          <w:color w:val="auto"/>
        </w:rPr>
      </w:pPr>
    </w:p>
    <w:p>
      <w:pPr>
        <w:ind w:left="900" w:hanging="244"/>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September 2019, EPI, EHSI, PPI and PPCI executed a settlement agreement with two Ohio counties providing for payments totaling</w:t>
      </w:r>
    </w:p>
    <w:p>
      <w:pPr>
        <w:spacing w:after="0" w:line="20" w:lineRule="exact"/>
        <w:rPr>
          <w:rFonts w:ascii="Arial" w:cs="Arial" w:eastAsia="Arial" w:hAnsi="Arial"/>
          <w:sz w:val="17"/>
          <w:szCs w:val="17"/>
          <w:color w:val="auto"/>
        </w:rPr>
      </w:pPr>
    </w:p>
    <w:p>
      <w:pPr>
        <w:ind w:left="900"/>
        <w:spacing w:after="0" w:line="227" w:lineRule="auto"/>
        <w:rPr>
          <w:rFonts w:ascii="Arial" w:cs="Arial" w:eastAsia="Arial" w:hAnsi="Arial"/>
          <w:sz w:val="17"/>
          <w:szCs w:val="17"/>
          <w:color w:val="auto"/>
        </w:rPr>
      </w:pPr>
      <w:r>
        <w:rPr>
          <w:rFonts w:ascii="Arial" w:cs="Arial" w:eastAsia="Arial" w:hAnsi="Arial"/>
          <w:sz w:val="16"/>
          <w:szCs w:val="16"/>
          <w:color w:val="auto"/>
        </w:rPr>
        <w:t>$10 million and up to $1 million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0"/>
          <w:szCs w:val="20"/>
          <w:color w:val="auto"/>
          <w:vertAlign w:val="superscript"/>
        </w:rPr>
        <w:t>®</w:t>
      </w:r>
      <w:r>
        <w:rPr>
          <w:rFonts w:ascii="Arial" w:cs="Arial" w:eastAsia="Arial" w:hAnsi="Arial"/>
          <w:sz w:val="16"/>
          <w:szCs w:val="16"/>
          <w:color w:val="auto"/>
        </w:rPr>
        <w:t>. The settlement amount was paid during the third quarter of 2019.</w:t>
      </w:r>
    </w:p>
    <w:p>
      <w:pPr>
        <w:ind w:left="900" w:right="440" w:hanging="244"/>
        <w:spacing w:after="0" w:line="249" w:lineRule="auto"/>
        <w:tabs>
          <w:tab w:leader="none" w:pos="8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January 2020, EPI and PPI executed a settlement agreement with the state of Oklahoma providing for a payment of $8.75 million. The settlement amount was paid during the first quarter of 2020.</w:t>
      </w:r>
    </w:p>
    <w:p>
      <w:pPr>
        <w:ind w:left="900" w:right="80" w:hanging="244"/>
        <w:spacing w:after="0" w:line="281" w:lineRule="auto"/>
        <w:tabs>
          <w:tab w:leader="none" w:pos="8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spacing w:after="0" w:line="1" w:lineRule="exact"/>
        <w:rPr>
          <w:rFonts w:ascii="Arial" w:cs="Arial" w:eastAsia="Arial" w:hAnsi="Arial"/>
          <w:sz w:val="16"/>
          <w:szCs w:val="16"/>
          <w:color w:val="auto"/>
        </w:rPr>
      </w:pPr>
    </w:p>
    <w:p>
      <w:pPr>
        <w:ind w:left="900" w:right="140" w:hanging="244"/>
        <w:spacing w:after="0" w:line="265" w:lineRule="auto"/>
        <w:tabs>
          <w:tab w:leader="none" w:pos="895"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ind w:left="900" w:right="100" w:hanging="244"/>
        <w:spacing w:after="0" w:line="253" w:lineRule="auto"/>
        <w:tabs>
          <w:tab w:leader="none" w:pos="8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hanging="244"/>
        <w:spacing w:after="0" w:line="254"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spacing w:after="0" w:line="2" w:lineRule="exact"/>
        <w:rPr>
          <w:rFonts w:ascii="Arial" w:cs="Arial" w:eastAsia="Arial" w:hAnsi="Arial"/>
          <w:sz w:val="18"/>
          <w:szCs w:val="18"/>
          <w:color w:val="auto"/>
        </w:rPr>
      </w:pPr>
    </w:p>
    <w:p>
      <w:pPr>
        <w:jc w:val="both"/>
        <w:ind w:left="900" w:right="100" w:hanging="244"/>
        <w:spacing w:after="0" w:line="265" w:lineRule="auto"/>
        <w:tabs>
          <w:tab w:leader="none" w:pos="89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ind w:left="900" w:right="100" w:hanging="244"/>
        <w:spacing w:after="0" w:line="250"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jc w:val="both"/>
        <w:ind w:left="900" w:right="460" w:hanging="244"/>
        <w:spacing w:after="0" w:line="250"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hanging="244"/>
        <w:spacing w:after="0" w:line="265" w:lineRule="auto"/>
        <w:tabs>
          <w:tab w:leader="none" w:pos="89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ind w:left="900" w:right="80" w:hanging="244"/>
        <w:spacing w:after="0" w:line="250"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right="40" w:hanging="244"/>
        <w:spacing w:after="0" w:line="255"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82"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Certain of the settlement agreements described above provide for injunctive relief. The RSA also provides for certain voluntary injunctive terms that bind the Debtors during the course of the bankruptcy proceedings and would apply to any purchaser of our opioid business in conjunction with the bankruptcy proceedings. The Bankruptcy Court also approved certain injunctive terms in connection with its November 2022 preliminary injunction against the continued litigation of opioid actions brought by public plaintiffs.</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Stalking Horse Bid provides for the establishment by the Purchaser of voluntary opioid trusts for the benefit of certain public, tribal and private opioid claimants in exchange for certain releases to be provided to (among others) the Purchaser and Endo International plc, its subsidiaries and affiliated entities and persons. In particular, under the RSA, the trusts would distribute up to a total of $550 million over ten years to eligible claimants that opt into the trust agreements by specified participation deadlines. Under the proposed public claimant opioid trust, states which previously reached settlement agreements and received payments from us may elect to participate in the trust. In doing so, those states would agree to return the amounts previously received, net of the amounts allocated to them in the trust agreement and would receive in return a release from any claim for the return of settlement funds under the applicable section of the Bankruptcy Code. The Company would have no obligation or liability with respect to the voluntary trusts, which would be funded exclusively by the Purchaser. As previously noted, the Stalking Horse Bid is subject to higher or otherwise better bids from other parties and therefore there is no certainty regarding whether the proposed sale transaction to the Purchaser, and the funding of the voluntary opioid trusts by the Purchaser, will actually occur.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Although the proposed voluntary opioid trusts would be funded by the Purchaser, and not by the Company or any of its subsidiaries, we previously concluded that the proposed funding amount in the Stalking Horse Bid represented the best estimate of liability relating to the contingencies associated with various opioid claims against the Company and its subsidiaries. As such, during the third quarter of 2022, we recorded charges of approximately $419 million to adjust our aggregate opioid liability accrual to approximately $550 million based on the terms summarized above. As noted above, the Company and various key stakeholders have been engaged in mediation to attempt to resolve certain critical issues in the Chapter 11 Cases, including objections relating to the Sale. On March 3, 2023, the Debtors announced that, as a result of the mediation process, the Ad Hoc First Lien Group (and Stalking Horse Bidder) had reached certain resolutions in principle with both the unsecured creditors’ committee and opioid claimants’ committee appointed in the Chapter 11 Cases and certain ad hoc groups of debtholders. These resolutions, which remain subject to definitive documentation, are supported by the Debtors. The resolutions include, among other things, a $34 million increase to the funding amounts for the proposed voluntary private opioid trust. Accordingly, during the fourth quarter of 2022, we recorded additional charges of approximately $34 million to increase our aggregate opioid liability accrual to approximately $584 million. The Company believes this modified proposed funding amount represents the best estimate of liability relating to the contingencies associated with various opioid claims against the Company and its subsidiaries. The mediation remains ongoing and could result in additional terms or transactions in the future that may result in further adjustments to our estimated aggregate opioid liability accrual.</w:t>
      </w:r>
    </w:p>
    <w:p>
      <w:pPr>
        <w:spacing w:after="0" w:line="6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76"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Various state attorneys general have served subpoenas and/or CIDs on EHSI and/or EPI. Some of these state attorneys general subsequently filed lawsuits against the Company and/or its subsidiaries and/or have indicated their support for the opioid trusts described above. To the extent any state attorney general investigations are continuing, we are cooperating with them.</w:t>
      </w:r>
    </w:p>
    <w:p>
      <w:pPr>
        <w:spacing w:after="0" w:line="76" w:lineRule="exact"/>
        <w:rPr>
          <w:sz w:val="20"/>
          <w:szCs w:val="20"/>
          <w:color w:val="auto"/>
        </w:rPr>
      </w:pPr>
    </w:p>
    <w:p>
      <w:pPr>
        <w:ind w:right="20" w:firstLine="486"/>
        <w:spacing w:after="0" w:line="313"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right="200" w:firstLine="486"/>
        <w:spacing w:after="0" w:line="263" w:lineRule="auto"/>
        <w:rPr>
          <w:sz w:val="20"/>
          <w:szCs w:val="20"/>
          <w:color w:val="auto"/>
        </w:rPr>
      </w:pPr>
      <w:r>
        <w:rPr>
          <w:rFonts w:ascii="Arial" w:cs="Arial" w:eastAsia="Arial" w:hAnsi="Arial"/>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7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 xml:space="preserve">In June 2020, an MDL pending in the U.S. District Court for the Southern District of Florida, </w:t>
      </w:r>
      <w:r>
        <w:rPr>
          <w:rFonts w:ascii="Arial" w:cs="Arial" w:eastAsia="Arial" w:hAnsi="Arial"/>
          <w:sz w:val="17"/>
          <w:szCs w:val="17"/>
          <w:i w:val="1"/>
          <w:iCs w:val="1"/>
          <w:color w:val="auto"/>
        </w:rPr>
        <w:t>In re Zantac (Ranitidine) Products Liability Litigation</w:t>
      </w:r>
      <w:r>
        <w:rPr>
          <w:rFonts w:ascii="Arial" w:cs="Arial" w:eastAsia="Arial" w:hAnsi="Arial"/>
          <w:sz w:val="17"/>
          <w:szCs w:val="17"/>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third-party payers pursuing class action claims,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Certain MDL plaintiffs appealed the July 2021 dismissal order and/or the November 2021 judgment. In December 2022, the MDL court granted summary judgment in favor of the remaining branded manufacturer defendants, holding that plaintiffs had failed to provide sufficient evidence of causation.</w:t>
      </w:r>
    </w:p>
    <w:p>
      <w:pPr>
        <w:spacing w:after="0" w:line="7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July 2022, claimants who alleged certain types of injuries were “exited” from the MDL census registry. Some of these claimants subsequently filed lawsuits in various courts.</w:t>
      </w:r>
    </w:p>
    <w:p>
      <w:pPr>
        <w:spacing w:after="0" w:line="6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of the Petition Date, the claims against PPI became subject to the automatic stay. Thereafter, PPI was voluntarily dismissed from several pending matters, including the appeal from the MDL court’s dismissal of the third-party payer class action complaint.</w:t>
      </w:r>
    </w:p>
    <w:p>
      <w:pPr>
        <w:spacing w:after="0" w:line="6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58"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various complaints and amended complaints generally assert claims under federal and/or state antitrust law, state consumer protection statutes and/or state common law, and generally seek damages, treble damages, civil penalties, disgorgement, declaratory and injunctive relief, costs and attorneys’ fees. Some claims are based on alleged product-specific conspiracies; other claims allege broader, multiple-product conspiracies. Under their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5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in whole or in part, and discovery is ongoing.</w:t>
      </w:r>
    </w:p>
    <w:p>
      <w:pPr>
        <w:spacing w:after="0" w:line="62"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As of the Petition Date, the claims against the Company and its subsidiaries in the U.S. became subject to the automatic stay. A similar cessation of litigation activity is in place in Canada.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7"/>
          <w:szCs w:val="17"/>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(digoxin) oral tablets and generic doxycycline products, and on communications with competitors and others regarding those products. We are cooperating with the investigation.</w:t>
      </w:r>
    </w:p>
    <w:p>
      <w:pPr>
        <w:spacing w:after="0" w:line="80"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an FCA investigation concerning whether generic pharmaceutical manufacturers engaged in price-fixing and market allocation agreements, paid illegal remuneration and caused the submission of false claims. We are cooperating with the investigation.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right="20" w:firstLine="486"/>
        <w:spacing w:after="0" w:line="281"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65" w:lineRule="exact"/>
        <w:rPr>
          <w:sz w:val="20"/>
          <w:szCs w:val="20"/>
          <w:color w:val="auto"/>
        </w:rPr>
      </w:pPr>
    </w:p>
    <w:p>
      <w:pPr>
        <w:ind w:right="20" w:firstLine="486"/>
        <w:spacing w:after="0" w:line="265" w:lineRule="auto"/>
        <w:rPr>
          <w:sz w:val="20"/>
          <w:szCs w:val="20"/>
          <w:color w:val="auto"/>
        </w:rPr>
      </w:pPr>
      <w:r>
        <w:rPr>
          <w:rFonts w:ascii="Arial" w:cs="Arial" w:eastAsia="Arial" w:hAnsi="Arial"/>
          <w:sz w:val="16"/>
          <w:szCs w:val="16"/>
          <w:color w:val="auto"/>
        </w:rPr>
        <w:t>Beginning in February 2009, the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0"/>
          <w:szCs w:val="20"/>
          <w:color w:val="auto"/>
          <w:vertAlign w:val="superscript"/>
        </w:rPr>
        <w:t>®</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84" w:lineRule="exact"/>
        <w:rPr>
          <w:sz w:val="20"/>
          <w:szCs w:val="20"/>
          <w:color w:val="auto"/>
        </w:rPr>
      </w:pPr>
    </w:p>
    <w:p>
      <w:pPr>
        <w:ind w:right="120" w:firstLine="486"/>
        <w:spacing w:after="0" w:line="261" w:lineRule="auto"/>
        <w:rPr>
          <w:sz w:val="20"/>
          <w:szCs w:val="20"/>
          <w:color w:val="auto"/>
        </w:rPr>
      </w:pPr>
      <w:r>
        <w:rPr>
          <w:rFonts w:ascii="Arial" w:cs="Arial" w:eastAsia="Arial" w:hAnsi="Arial"/>
          <w:sz w:val="17"/>
          <w:szCs w:val="17"/>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 In January 2023, certain direct purchaser plaintiffs dismissed their claims against PPI, EPI and us with prejudice and, in February 2023, certain indirect purchaser plaintiffs agreed to do the same.</w:t>
      </w:r>
    </w:p>
    <w:p>
      <w:pPr>
        <w:spacing w:after="0" w:line="80" w:lineRule="exact"/>
        <w:rPr>
          <w:sz w:val="20"/>
          <w:szCs w:val="20"/>
          <w:color w:val="auto"/>
        </w:rPr>
      </w:pPr>
    </w:p>
    <w:p>
      <w:pPr>
        <w:ind w:right="10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Beginning in June 2020, multiple complaints were filed against Jazz Pharmaceuticals and other pharmaceutical companies, including PPI, alleging violations of state and/or federal antitrust laws in connection with the settlement of certain patent litigation concerning generic versions of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Aetna Inc. filed a similar case in May 2022 in California state court. The various complaints allege that Jazz entered into a series of “reverse-payment” settlements, including with PPI, to delay generic competition for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 In December 2022, the California state court overseeing the Aetna action granted the motion to quash for lack of personal jurisdiction and, in January 2023, Aetna filed an amended complaint that did not name PPI as a defendant.</w:t>
      </w:r>
    </w:p>
    <w:p>
      <w:pPr>
        <w:spacing w:after="0" w:line="8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not been stayed and is expected to conclude in April 2023.</w:t>
      </w:r>
    </w:p>
    <w:p>
      <w:pPr>
        <w:spacing w:after="0" w:line="80"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To the extent unresolved, and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June 2020, a putative class action entitled </w:t>
      </w:r>
      <w:r>
        <w:rPr>
          <w:rFonts w:ascii="Arial" w:cs="Arial" w:eastAsia="Arial" w:hAnsi="Arial"/>
          <w:sz w:val="17"/>
          <w:szCs w:val="17"/>
          <w:i w:val="1"/>
          <w:iCs w:val="1"/>
          <w:color w:val="auto"/>
        </w:rPr>
        <w:t>Benoit Albiges v. Endo International plc, Paul V. Campanelli, Blaise Coleman, and Mark T. Bradley</w:t>
      </w:r>
      <w:r>
        <w:rPr>
          <w:rFonts w:ascii="Arial" w:cs="Arial" w:eastAsia="Arial" w:hAnsi="Arial"/>
          <w:sz w:val="17"/>
          <w:szCs w:val="17"/>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DFS’s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The automatic stay does not apply to the individual defendants, and the plaintiffs’ time to appeal the ruling as to those defendants has run.</w:t>
      </w:r>
    </w:p>
    <w:p>
      <w:pPr>
        <w:spacing w:after="0" w:line="7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Similar matters may be brought by others. We are unable to predict the outcome of any such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Miscellaneous Government Investigations</w:t>
      </w:r>
    </w:p>
    <w:p>
      <w:pPr>
        <w:spacing w:after="0" w:line="117" w:lineRule="exact"/>
        <w:rPr>
          <w:sz w:val="20"/>
          <w:szCs w:val="20"/>
          <w:color w:val="auto"/>
        </w:rPr>
      </w:pPr>
    </w:p>
    <w:p>
      <w:pPr>
        <w:ind w:right="100" w:firstLine="486"/>
        <w:spacing w:after="0" w:line="281" w:lineRule="auto"/>
        <w:rPr>
          <w:sz w:val="20"/>
          <w:szCs w:val="20"/>
          <w:color w:val="auto"/>
        </w:rPr>
      </w:pPr>
      <w:r>
        <w:rPr>
          <w:rFonts w:ascii="Arial" w:cs="Arial" w:eastAsia="Arial" w:hAnsi="Arial"/>
          <w:sz w:val="17"/>
          <w:szCs w:val="17"/>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VANTAS</w:t>
      </w:r>
      <w:r>
        <w:rPr>
          <w:rFonts w:ascii="Arial" w:cs="Arial" w:eastAsia="Arial" w:hAnsi="Arial"/>
          <w:sz w:val="22"/>
          <w:szCs w:val="22"/>
          <w:color w:val="auto"/>
          <w:vertAlign w:val="superscript"/>
        </w:rPr>
        <w:t>®</w:t>
      </w:r>
      <w:r>
        <w:rPr>
          <w:rFonts w:ascii="Arial" w:cs="Arial" w:eastAsia="Arial" w:hAnsi="Arial"/>
          <w:sz w:val="17"/>
          <w:szCs w:val="17"/>
          <w:color w:val="auto"/>
        </w:rPr>
        <w:t>, for unapproved uses. We are cooperating with the investigation.</w:t>
      </w:r>
    </w:p>
    <w:p>
      <w:pPr>
        <w:spacing w:after="0" w:line="2"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 may be expanded or result in litigation.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Patent Matters</w:t>
      </w:r>
    </w:p>
    <w:p>
      <w:pPr>
        <w:spacing w:after="0" w:line="117"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Beginning in April 2018, PSP LLC and PPI received notice letters from Eagle and other companies advising of the filing by such companies of ANDAs/NDAs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IV solution (infusion)) 20 units/ml and/or 200 units/10 ml. Beginning in May 2018, PSP LLC, PPI and EPIC filed lawsuits against Eagle and other generic filers in the U.S. District Court for the District of Delaware or New Jersey. We reached settlements and voluntarily dismissed the suits against many of these filers. The remaining Delaware cases against Eagle and Amneal Pharmaceuticals LLC were consolidated and a trial was held in July 2021. In August 2021, the court issued an opinion holding that Eagle’s proposed generic product would not infringe PPI’s asserted patent claims. The court made no finding regarding the validity of the patents. We appealed the ruling. In August 2022, the Federal Circuit affirmed the District of Delaware’s decision: (i) that Eagle’s proposed generic product would not infringe PPI’s asserted patent claims and (ii) denying the issuance of a declaratory judgment that Eagle’s planned sale of generic product would infringe under 35 U.S.C. § 271(a) and (b).</w:t>
      </w:r>
    </w:p>
    <w:p>
      <w:pPr>
        <w:spacing w:after="0" w:line="86" w:lineRule="exact"/>
        <w:rPr>
          <w:sz w:val="20"/>
          <w:szCs w:val="20"/>
          <w:color w:val="auto"/>
        </w:rPr>
      </w:pPr>
    </w:p>
    <w:p>
      <w:pPr>
        <w:ind w:right="240" w:firstLine="486"/>
        <w:spacing w:after="0" w:line="241" w:lineRule="auto"/>
        <w:rPr>
          <w:sz w:val="20"/>
          <w:szCs w:val="20"/>
          <w:color w:val="auto"/>
        </w:rPr>
      </w:pPr>
      <w:r>
        <w:rPr>
          <w:rFonts w:ascii="Arial" w:cs="Arial" w:eastAsia="Arial" w:hAnsi="Arial"/>
          <w:sz w:val="18"/>
          <w:szCs w:val="18"/>
          <w:color w:val="auto"/>
        </w:rPr>
        <w:t>During the first quarter of 2022, multiple competitive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20 units/ml were launched, beginning with Eagle’s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This competition could have a material adverse effect on our business, financial condition, results of operations and cash flows.</w:t>
      </w:r>
    </w:p>
    <w:p>
      <w:pPr>
        <w:spacing w:after="0" w:line="96" w:lineRule="exact"/>
        <w:rPr>
          <w:sz w:val="20"/>
          <w:szCs w:val="20"/>
          <w:color w:val="auto"/>
        </w:rPr>
      </w:pPr>
    </w:p>
    <w:p>
      <w:pPr>
        <w:ind w:right="80" w:firstLine="486"/>
        <w:spacing w:after="0" w:line="234" w:lineRule="auto"/>
        <w:rPr>
          <w:sz w:val="20"/>
          <w:szCs w:val="20"/>
          <w:color w:val="auto"/>
        </w:rPr>
      </w:pPr>
      <w:r>
        <w:rPr>
          <w:rFonts w:ascii="Arial" w:cs="Arial" w:eastAsia="Arial" w:hAnsi="Arial"/>
          <w:sz w:val="18"/>
          <w:szCs w:val="18"/>
          <w:color w:val="auto"/>
        </w:rPr>
        <w:t>In March 2022, PSP LLC, PPI and EPIC received a notice letter from Cipla Limited (Cipla) advising of its filing of an ANDA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40 units/100 ml and 60 units/100 ml. In May 2022, PSP LLC and PPI filed a complaint against Cipla in the U.S. District Court for the District of New Jersey, which triggered a 30-month stay of FDA approval of Cipla’s ANDA; that stay expires in September 2024. In January 2023, PSP LLC, PPI and EPIC received another notice letter from Cipla advising of its ANDA filing for a generic version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20 units/100 ml. In February 2023, PSP LLC and PPI filed a complaint against Cipla concerning this ANDA in the U.S. District Court for the District of New Jersey. The 30-month stay on FDA approval of Cipla’s 20 units/100 ml ANDA expires in July 2025.</w:t>
      </w:r>
    </w:p>
    <w:p>
      <w:pPr>
        <w:spacing w:after="0" w:line="9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January 2023, PSP LLC, PPI and EPIC received a notice letter from Baxter Healthcare Corporation pursuant to 505(b)(3)(B)-(D) of the FFDCA of its NDA submitted under 21 U.S.C. §355(b)(2) seeking FDA approval for vasopressin injection products in 20 units/100 ml and 40 units/100 ml strengths.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COMPREHENSIVE (LOSS) INCOME</w:t>
      </w:r>
    </w:p>
    <w:p>
      <w:pPr>
        <w:spacing w:after="0" w:line="121" w:lineRule="exact"/>
        <w:rPr>
          <w:sz w:val="20"/>
          <w:szCs w:val="20"/>
          <w:color w:val="auto"/>
        </w:rPr>
      </w:pPr>
    </w:p>
    <w:p>
      <w:pPr>
        <w:ind w:right="320" w:firstLine="486"/>
        <w:spacing w:after="0" w:line="311" w:lineRule="auto"/>
        <w:rPr>
          <w:sz w:val="20"/>
          <w:szCs w:val="20"/>
          <w:color w:val="auto"/>
        </w:rPr>
      </w:pPr>
      <w:r>
        <w:rPr>
          <w:rFonts w:ascii="Arial" w:cs="Arial" w:eastAsia="Arial" w:hAnsi="Arial"/>
          <w:sz w:val="16"/>
          <w:szCs w:val="16"/>
          <w:color w:val="auto"/>
        </w:rPr>
        <w:t>During the years ended December 31, 2022, 2021 and 2020, there were no tax effects allocated to any component of Other comprehensive (loss) income and there were no reclassifications out of Accumulated other comprehensive loss. Substantially all of the Company’s Accumulated other comprehensive loss balances at December 31, 2022 and December 31, 2021 consist of Foreign currency translation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SHAREHOLDERS’ DEFICIT</w:t>
      </w:r>
    </w:p>
    <w:p>
      <w:pPr>
        <w:spacing w:after="0" w:line="121"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The Company has issued 4,000,000 euro deferred shares of $0.01 each at par. The euro deferred shares are held by nominees in order to satisfy an Irish legislative requirement to maintain a minimum level of issued share capital denominated in euro and to have at least seven registered shareholders. The euro deferred shares carry no voting rights and are not entitled to receive any dividend or distribution.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Pursuant to Article 11 of the Company’s Articles of Association, the Company has broad shareholder authority to conduct ordinary share repurchases by way of redemptions. The Company’s authority to repurchase ordinary shares is subject to legal limitations, including restrictions imposed by the Bankruptcy Code and related rules and guidelines during the pendency of the Chapter 11 Cases, and the existence of sufficient distributable reserves. For example, the Companies Act requires Irish companies to have distributable reserves equal to or greater than the amount of any proposed ordinary share repurchase amount. In addition, our existing debt instruments restrict or prevent us from conducting ordinary share repurchases. Agreements governing any future indebtedness, in addition to those governing our current indebtedness, may not permit us to conduct ordinary share repurchases. Unless we are able to generate sufficient distributable reserves or create distributable reserves by reducing our share premium account, we will not be able to repurchase our ordinary shares. As permitted by Irish Law and the Company’s Articles of Association, any ordinary shares redeemed shall be cancelled upon redemption.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Board has approved the 2015 Share Buyback Program that authorizes the Company to redeem, in the aggregate, $2.5 billion of its outstanding ordinary shares. To date, the Company has redeemed and cancelled approximately 4.4 million of its ordinary shares under the 2015 Share Buyback Program for $250.0 million, not including related fees.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June 2015, the Company’s shareholders approved the 2015 Stock Incentive Plan (the 2015 Plan), which has subsequently been amended, as approved by the Company’s shareholders, on multiple occasions. Under the 2015 Plan, stock options (including incentive stock options), stock appreciation rights, restricted stock awards, performance awards and other share- or cash-based awards may be issued at the discretion of the Compensation &amp; Human Capital Committee of the Board from time to time. No ordinary shares are to be granted under previously approved plans, including the Company’s 2000, 2004, 2007, 2010 and Assumed Stock Incentive Plans. Any awards previously granted and outstanding under these prior plans remain subject to the terms of those prior plans.</w:t>
      </w:r>
    </w:p>
    <w:p>
      <w:pPr>
        <w:spacing w:after="0" w:line="8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At December 31, 2022, approximately 11.4 million ordinary shares were reserved for future grants under the 2015 Plan. As of December 31, 2022, stock options, restricted stock awards, PSUs, RSUs, long-term cash incentive awards and certain other cash-based awards have been granted under the stock incentive plans.</w:t>
      </w:r>
    </w:p>
    <w:p>
      <w:pPr>
        <w:spacing w:after="0" w:line="76"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In February 2023, the Company filed post-effective amendments to its Form S-8 registration statements with respect to the 2015 Plan in order to deregister all remaining unissued securities.</w:t>
      </w:r>
    </w:p>
    <w:p>
      <w:pPr>
        <w:spacing w:after="0" w:line="62"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Generally, the grant-date fair value of each award is recognized as expense over the requisite service period. However, expense recognition differs in the case of certain PSUs where the ultimate payout is performance-based. For these awards, at each reporting period, the Company generally estimates the ultimate payout and adjusts the cumulative expense based on its estimate and the percent of the requisite service period that has elapsed.</w:t>
      </w:r>
    </w:p>
    <w:p>
      <w:pPr>
        <w:spacing w:after="0" w:line="4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Presented below are the components of total share-based compensation as recorded in our Consolidated Statements of Operations for the years ended December 31, 2022, 2021 and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5"/>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41,357</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December 31, 2022, the total remaining unrecognized compensation cost related to non-vested share-based compensation awards for which a grant date has been established as of December 31, 2022 amounted to $10.1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980" w:firstLine="486"/>
        <w:spacing w:after="0" w:line="277" w:lineRule="auto"/>
        <w:rPr>
          <w:sz w:val="20"/>
          <w:szCs w:val="20"/>
          <w:color w:val="auto"/>
        </w:rPr>
      </w:pPr>
      <w:r>
        <w:rPr>
          <w:rFonts w:ascii="Arial" w:cs="Arial" w:eastAsia="Arial" w:hAnsi="Arial"/>
          <w:sz w:val="18"/>
          <w:szCs w:val="18"/>
          <w:color w:val="auto"/>
        </w:rPr>
        <w:t>From time to time, the Company grants stock options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Although we have not granted employee stock options since 2018, previous grants have generally vested ratably, in equal amounts, over a three or four-year service period. As of December 31, 2022, stock options outstanding generally had expiration dates that extended ten years from the respective grant dates.</w:t>
      </w:r>
    </w:p>
    <w:p>
      <w:pPr>
        <w:spacing w:after="0" w:line="7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estimate the fair value of stock option grants at the date of grant using the Black-Scholes option-pricing model. This model utilizes assumptions related to volatility, the risk-free interest rate, the dividend yield (which is assumed to be zero as the Company has not paid cash dividends to date and does not currently expect to pay cash dividends) and the expected term of the option. Expected volatilities utilized in the model are based mainly on the historical volatility of the Company’s share price over a period commensurate with the expected life of the share option as well as other factors. The risk-free interest rate is derived from the U.S. Treasury yield curve in effect at the time of grant. We estimate the expected term of options granted based on our historical experience with our employees’ exercise of stock options and other factors.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for each of the years ended December 31, 2022, 2021 and 2020 is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7"/>
                <w:szCs w:val="17"/>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7,280,539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(16,953)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6,916,586</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6,383,914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Outstanding as of December 31, 2022 (2)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5,079,312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December 31, 2022 (2)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5,079,312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Exercisable as of December 31, 2022 (2)</w:t>
            </w:r>
          </w:p>
        </w:tc>
        <w:tc>
          <w:tcPr>
            <w:tcW w:w="1360" w:type="dxa"/>
            <w:vAlign w:val="bottom"/>
          </w:tcPr>
          <w:p>
            <w:pPr>
              <w:jc w:val="right"/>
              <w:spacing w:after="0"/>
              <w:rPr>
                <w:sz w:val="20"/>
                <w:szCs w:val="20"/>
                <w:color w:val="auto"/>
              </w:rPr>
            </w:pPr>
            <w:r>
              <w:rPr>
                <w:rFonts w:ascii="Arial" w:cs="Arial" w:eastAsia="Arial" w:hAnsi="Arial"/>
                <w:sz w:val="18"/>
                <w:szCs w:val="18"/>
                <w:color w:val="auto"/>
              </w:rPr>
              <w:t>5,079,312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340" w:hanging="329"/>
        <w:spacing w:after="0" w:line="277" w:lineRule="auto"/>
        <w:tabs>
          <w:tab w:leader="none" w:pos="572"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intrinsic value of a stock option is the excess, if any, of the closing price of the Company’s ordinary shares on the last trading day of the fiscal year over the exercise price. The aggregate intrinsic values presented in the table above represent sum of the intrinsic values of all corresponding stock options that are “in-the-money,” if any.</w:t>
      </w:r>
    </w:p>
    <w:p>
      <w:pPr>
        <w:ind w:left="580" w:right="280" w:hanging="329"/>
        <w:spacing w:after="0" w:line="283" w:lineRule="auto"/>
        <w:tabs>
          <w:tab w:leader="none" w:pos="572" w:val="left"/>
        </w:tabs>
        <w:numPr>
          <w:ilvl w:val="0"/>
          <w:numId w:val="87"/>
        </w:numPr>
        <w:rPr>
          <w:rFonts w:ascii="Arial" w:cs="Arial" w:eastAsia="Arial" w:hAnsi="Arial"/>
          <w:sz w:val="14"/>
          <w:szCs w:val="14"/>
          <w:color w:val="auto"/>
        </w:rPr>
      </w:pPr>
      <w:r>
        <w:rPr>
          <w:rFonts w:ascii="Arial" w:cs="Arial" w:eastAsia="Arial" w:hAnsi="Arial"/>
          <w:sz w:val="14"/>
          <w:szCs w:val="14"/>
          <w:color w:val="auto"/>
        </w:rPr>
        <w:t>On March 3, 2023, the Bankruptcy Court entered orders authorizing the Company to reject outstanding stock option agreements, restricted stock award agreements and performance award agreements.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range of exercise prices for the above stock options outstanding at December 31, 2022 is from $7.55 to $86.54.</w:t>
      </w:r>
    </w:p>
    <w:p>
      <w:pPr>
        <w:spacing w:after="0" w:line="11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total intrinsic value of options exercised during the year ended December 31, 2021 was $0.1 million. There were no material tax benefits from stock option exercises realized during any of the periods presented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Performance Share Units</w:t>
      </w:r>
    </w:p>
    <w:p>
      <w:pPr>
        <w:spacing w:after="0" w:line="121"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From time to time, the Company grants RSUs and PSUs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As of December 31, 2022: (i) unvested RSUs were subject to three-year vesting periods, with ratable vesting on the first, second and third anniversaries of the respective grant dates, and (ii) unvested PSUs were subject to three-year service periods, after which the awards would vest in full (conditioned upon the achievement of performance and/or market conditions established by the Compensation &amp; Human Capital Committee of the Board and certain continued employment conditions), with the actual number of shares awarded adjusted to between zero and 200% of the target award amount based upon the level of achievement of the performance criteria described below.</w:t>
      </w:r>
    </w:p>
    <w:p>
      <w:pPr>
        <w:spacing w:after="0" w:line="80"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No PSUs were awarded in 2022. PSUs awarded in 2021 and 2020 were based upon two discrete measures: relative total shareholder return (TSR) and an adjusted free cash flow performance metric (FCF), each accounting for 50% of the PSUs upon issuance, with TSR performance being measured against the three-year TSR of a custom index of companies and FCF performance being measured against a target covering a three-year performance period. TSR is considered a market condition under applicable authoritative guidance, while FCF is considered performance condition.</w:t>
      </w:r>
    </w:p>
    <w:p>
      <w:pPr>
        <w:spacing w:after="0" w:line="4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RSUs are valued based on the closing price of Endo’s ordinary shares on the date of grant. PSUs with TSR conditions are valued using a Monte-Carlo variant valuation model, while those with FCF conditions are valued taking into consideration the probability of achieving the specified performance goal. The Monte-Carlo variant valuation model used considers a variety of potential future share prices for Endo as well as our peer companies in a selected market index.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non-vested RSUs and PSUs for the years ended December 31, 2022, 2021 and 2020 is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3,761,648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(5,513,359)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4,483,385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(5,380,262)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280,373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(2,324,696)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2022 (2)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4,979,827</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348,588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as of December 31, 2022 (2)</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332,617</w:t>
            </w: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1360" w:type="dxa"/>
            <w:vAlign w:val="bottom"/>
          </w:tcPr>
          <w:p>
            <w:pPr>
              <w:jc w:val="right"/>
              <w:spacing w:after="0" w:line="204" w:lineRule="exact"/>
              <w:rPr>
                <w:sz w:val="20"/>
                <w:szCs w:val="20"/>
                <w:color w:val="auto"/>
              </w:rPr>
            </w:pPr>
            <w:r>
              <w:rPr>
                <w:rFonts w:ascii="Arial" w:cs="Arial" w:eastAsia="Arial" w:hAnsi="Arial"/>
                <w:sz w:val="18"/>
                <w:szCs w:val="18"/>
                <w:color w:val="auto"/>
              </w:rPr>
              <w:t>4,751,674</w:t>
            </w:r>
          </w:p>
        </w:tc>
        <w:tc>
          <w:tcPr>
            <w:tcW w:w="3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20" w:hanging="329"/>
        <w:spacing w:after="0" w:line="257" w:lineRule="auto"/>
        <w:tabs>
          <w:tab w:leader="none" w:pos="57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aggregate intrinsic values presented in the table above were calculated by multiplying the closing price of the Company’s ordinary shares on the last trading day of the fiscal year by the corresponding quantities above.</w:t>
      </w:r>
    </w:p>
    <w:p>
      <w:pPr>
        <w:jc w:val="both"/>
        <w:ind w:left="580" w:right="240" w:hanging="329"/>
        <w:spacing w:after="0" w:line="272" w:lineRule="auto"/>
        <w:tabs>
          <w:tab w:leader="none" w:pos="572"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 March 3, 2023, the Bankruptcy Court entered orders authorizing the Company to reject outstanding stock option agreements, restricted stock award agreements and performance award agreements. In connection with the rejection of these agreements, the Company currently expects to recognize any remaining unrecognized compensation cost associated with these agreements during the first quarter of 2023.</w:t>
      </w:r>
    </w:p>
    <w:p>
      <w:pPr>
        <w:spacing w:after="0" w:line="7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As of December 31, 2022, the weighted average remaining requisite service period of the units presented in the table above was 0.8 years and the corresponding total remaining unrecognized compensation cost amounted to $3.5 million in the case of RSUs and $6.6 million in the case of PSUs.</w:t>
      </w:r>
    </w:p>
    <w:p>
      <w:pPr>
        <w:spacing w:after="0" w:line="1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weighted average grant-date fair value of the units granted during the years ended December 31, 2022, 2021 and 2020 was $3.21, $7.39 and $5.54 per unit,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for the years ended December 31, 2022, 2021 and 2020 are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5"/>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Foreign currency (gain) loss, net (2)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from our investments in the equity of other companies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r>
      <w:tr>
        <w:trPr>
          <w:trHeight w:val="248"/>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380" w:hanging="329"/>
        <w:spacing w:after="0" w:line="255" w:lineRule="auto"/>
        <w:tabs>
          <w:tab w:leader="none" w:pos="572"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 and certain other assets including, in 2022 and 2021, assets associated with the sale transactions that are further discussed in Note 4. Discontinued Operations and Asset Sales.</w:t>
      </w:r>
    </w:p>
    <w:p>
      <w:pPr>
        <w:ind w:left="560" w:hanging="309"/>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14" w:lineRule="exact"/>
        <w:rPr>
          <w:rFonts w:ascii="Arial" w:cs="Arial" w:eastAsia="Arial" w:hAnsi="Arial"/>
          <w:sz w:val="14"/>
          <w:szCs w:val="14"/>
          <w:color w:val="auto"/>
        </w:rPr>
      </w:pPr>
    </w:p>
    <w:p>
      <w:pPr>
        <w:ind w:left="560" w:hanging="309"/>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in 2021 include gains of $15.5 million associated with the termination of certain contracts.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Continuing Operations before Income Tax</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operations are conducted through our various subsidiaries in numerous jurisdictions throughout the world. We have provided for income taxes based upon the tax laws and rates in the jurisdictions in which our operations are conducted.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components of our Loss from continuing operations before income tax by geography for the years ended December 31, 2022, 2021 and 2020 are as follows (in thousands):</w:t>
      </w:r>
    </w:p>
    <w:tbl>
      <w:tblPr>
        <w:tblLayout w:type="fixed"/>
        <w:tblInd w:w="4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6"/>
        </w:trPr>
        <w:tc>
          <w:tcPr>
            <w:tcW w:w="6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(375,262)</w:t>
            </w:r>
          </w:p>
        </w:tc>
      </w:tr>
      <w:tr>
        <w:trPr>
          <w:trHeight w:val="23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348,744</w:t>
            </w:r>
          </w:p>
        </w:tc>
      </w:tr>
      <w:tr>
        <w:trPr>
          <w:trHeight w:val="248"/>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loss from continuing operations before income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Income tax from continuing operations consists of the following for the years ended December 31, 2022, 2021 and 2020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(108,866)</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(110,424)</w:t>
            </w: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U.S. 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(11,773)</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(163,558)</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w:t>
      </w:r>
    </w:p>
    <w:p>
      <w:pPr>
        <w:spacing w:after="0" w:line="121" w:lineRule="exact"/>
        <w:rPr>
          <w:sz w:val="20"/>
          <w:szCs w:val="20"/>
          <w:color w:val="auto"/>
        </w:rPr>
      </w:pPr>
    </w:p>
    <w:p>
      <w:pPr>
        <w:ind w:right="600" w:firstLine="486"/>
        <w:spacing w:after="0" w:line="269" w:lineRule="auto"/>
        <w:rPr>
          <w:sz w:val="20"/>
          <w:szCs w:val="20"/>
          <w:color w:val="auto"/>
        </w:rPr>
      </w:pPr>
      <w:r>
        <w:rPr>
          <w:rFonts w:ascii="Arial" w:cs="Arial" w:eastAsia="Arial" w:hAnsi="Arial"/>
          <w:sz w:val="18"/>
          <w:szCs w:val="18"/>
          <w:color w:val="auto"/>
        </w:rPr>
        <w:t>A reconciliation of income tax from continuing operations at the U.S. federal statutory income tax rate to the total income tax provision from continuing operations for the years ended December 31, 2022, 2021 and 2020 is as follows (in thousands):</w:t>
      </w: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5"/>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U.S. federal income tax provision at the statutory rate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reform impact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Residual tax on non-U.S. net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Non-deductible goodwill impairment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(97,752)</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Base erosion minimum tax</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77,438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Executive compensation limitation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Financing activities (1)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(33,217)</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activities (2)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(44,964)</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140" w:hanging="329"/>
        <w:spacing w:after="0" w:line="256" w:lineRule="auto"/>
        <w:tabs>
          <w:tab w:leader="none" w:pos="57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 in 2022 primarily relates to non-deductible foreign currency adjustments on intercompany debt. The amount in 2021 primarily relates to a net tax benefit of approximately $1.2 billion related to non-taxable intercompany cancellation of indebtedness income, which was partially offset by a net tax expense of approximately $465 million related to non-deductible bad debt expense and a net tax expense of approximately $427 million related to non-deductible intercompany interest expense. The net tax benefit is fully offset by an increase to the valuation allowance.</w:t>
      </w:r>
    </w:p>
    <w:p>
      <w:pPr>
        <w:spacing w:after="0" w:line="1" w:lineRule="exact"/>
        <w:rPr>
          <w:rFonts w:ascii="Arial" w:cs="Arial" w:eastAsia="Arial" w:hAnsi="Arial"/>
          <w:sz w:val="14"/>
          <w:szCs w:val="14"/>
          <w:color w:val="auto"/>
        </w:rPr>
      </w:pPr>
    </w:p>
    <w:p>
      <w:pPr>
        <w:ind w:left="580" w:right="200" w:hanging="329"/>
        <w:spacing w:after="0" w:line="283" w:lineRule="auto"/>
        <w:tabs>
          <w:tab w:leader="none" w:pos="57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in 2022 and 2021 primarily relate to tax deductible losses associated with the investment in consolidated subsidiaries. The tax benefit is fully offset by an increase to the valuation allowance.</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change in income tax expense in 2022 compared to the 2021 income tax expense primarily relates to an increase in accrued interest on uncertain tax positions and changes in the geographic mix of pre-tax earnings. The change in income tax expense in 2021 compared to the 2020 income tax benefit primarily relates to the 2020 tax benefit for the CARES Act as discussed in more detail below and changes in deferred tax liabilities following the BioSpecifics acquisition during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year ended December 31, 2020, the Company recorded a discrete tax benefit in continuing operations of $129.6 million as a result of the change in the NOL carryback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2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significant components of the net deferred income tax liability shown on the balance sheets as of December 31, 2022 and 2021 are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Accrued expenses and reserves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220,415</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144,573</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interest deduction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347,501</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Fixed assets, intangible assets and deferred amortization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512,584</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capital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64,503</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9,214,688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9,258,122</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50,694</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Research and development and other tax credit carryforwards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income tax assets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10,498,143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10,386,231</w:t>
            </w: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(124,311)</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notes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(104,530)</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deferred income tax liabilities</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(237,427)</w:t>
            </w:r>
          </w:p>
        </w:tc>
      </w:tr>
      <w:tr>
        <w:trPr>
          <w:trHeight w:val="22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(10,436,419)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(10,169,294)</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(20,490)</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60" w:firstLine="486"/>
        <w:spacing w:after="0" w:line="269" w:lineRule="auto"/>
        <w:rPr>
          <w:sz w:val="20"/>
          <w:szCs w:val="20"/>
          <w:color w:val="auto"/>
        </w:rPr>
      </w:pPr>
      <w:r>
        <w:rPr>
          <w:rFonts w:ascii="Arial" w:cs="Arial" w:eastAsia="Arial" w:hAnsi="Arial"/>
          <w:sz w:val="18"/>
          <w:szCs w:val="18"/>
          <w:color w:val="auto"/>
        </w:rPr>
        <w:t>As of December 31, 2022, the Company had significant deferred tax assets for tax credits, net operating and capital loss carryforwards, net of unrecognized tax positions, as presented below (in thousands):</w:t>
      </w:r>
    </w:p>
    <w:tbl>
      <w:tblPr>
        <w:tblLayout w:type="fixed"/>
        <w:tblInd w:w="0" w:type="dxa"/>
        <w:tblCellMar>
          <w:top w:w="0" w:type="dxa"/>
          <w:left w:w="0" w:type="dxa"/>
          <w:bottom w:w="0" w:type="dxa"/>
          <w:right w:w="0" w:type="dxa"/>
        </w:tblCellMar>
      </w:tblPr>
      <w:tr>
        <w:trPr>
          <w:trHeight w:val="186"/>
        </w:trPr>
        <w:tc>
          <w:tcPr>
            <w:tcW w:w="840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rPr>
              <w:t>Begin to Expire</w:t>
            </w:r>
          </w:p>
        </w:tc>
      </w:tr>
      <w:tr>
        <w:trPr>
          <w:trHeight w:val="25"/>
        </w:trPr>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8,934,046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Federal-ordinary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19,105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Federal-capital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Federal-tax credits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14,081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State-ordinary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State-capital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11,871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State-tax credits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bl>
    <w:p>
      <w:pPr>
        <w:spacing w:after="0" w:line="175"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A valuation allowance is required when it is more likely than not that all or a portion of a deferred tax asset will not be realized. The Company assesses the available positive and negative evidence to estimate whether the existing deferred tax assets will be realized.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has recorded a valuation allowance against certain jurisdictional NOL carryforwards and other tax attributes. As of December 31, 2022 and 2021, the total valuation allowance was $10,436.4 million and $10,169.3 million, respectively. During the years ended December 31, 2022 and 2021, the Company increased its valuation allowance by $267.1 million and $500.7 million, respectively, which was primarily driven by taxable losses in Luxembourg related to investments in consolidated subsidiaries. 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the Company had the following significant valuation allowances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9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w:t>
            </w:r>
          </w:p>
        </w:tc>
      </w:tr>
      <w:tr>
        <w:trPr>
          <w:trHeight w:val="230"/>
        </w:trPr>
        <w:tc>
          <w:tcPr>
            <w:tcW w:w="988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8,862,060</w:t>
            </w:r>
          </w:p>
        </w:tc>
      </w:tr>
      <w:tr>
        <w:trPr>
          <w:trHeight w:val="229"/>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1,278,026</w:t>
            </w:r>
          </w:p>
        </w:tc>
      </w:tr>
    </w:tbl>
    <w:p>
      <w:pPr>
        <w:spacing w:after="0" w:line="18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December 31,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have provided for any applicable income taxes associated with current year distributions, as well as any earnings that are expected to be distributed in the future, in the calculation of the income tax provision. As a result of the bankruptcy filing, we have reassessed our historical indefinite reinvestment assertion with respect to undistributed earnings. Based on that reassessment, we have determined that the undistributed earnings of certain subsidiaries will continue to be indefinitely reinvested. Those entities for which we will continue to assert indefinite reinvestment have an accumulated earnings deficit as of December 31, 2022. No additional provision has been made for Irish and non-Irish income taxes on those undistributed earnings that we are not asserting indefinite reinvestment as no tax is expected to be incurred with respect to those earnings.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Company and its subsidiaries are subject to income taxes in the U.S., various states and numerous foreign jurisdictions with varying statutes as to which tax years are subject to examination by the tax authorities. The Company has taken positions on its tax returns that may be challenged by various tax authorities. The Company believes it has appropriately established reserves for tax-related uncertainties. The Company endeavors to resolve matters with a tax authority at the examination level and could reach agreement with a tax authority at any time. The accruals for tax-related uncertainties are based on the Company’s best estimate of the potential tax exposures. When particular matters arise, a number of years may elapse before such matters are audited and finally resolved. The final outcome with a tax authority may result in a tax liability that is more or less than that reflected in our financial statements. Favorable resolution of such matters could be recognized as a reduction of the Company’s effective tax rate in the year of resolution, while a resolution that is not favorable could increase the effective tax rate and may require the use of cash. Uncertain tax positions are reviewed quarterly and adjusted as necessary when events occur that affect potential tax liabilities, such as lapsing of applicable statutes of limitations, proposed assessments by tax authorities, identification of new issues and issuance of new legislation, regulations or case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of December 31, 2022, the Company had total UTPs, including accrued interest and penalties, of $646.4 million. If recognized in future years, $251.4 million of such amounts would impact the income tax provision and effective tax rate. As of December 31, 2021, the Company had total UTPs, including accrued interest and penalties, of $620.0 million. If recognized in future years, $241.0 million of such amounts would have impacted the income tax provision and effective tax rate. The following table summarizes the activity related to UTPs during the years ended December 31, 2022, 2021 and 2020 (in thousands):</w:t>
      </w:r>
    </w:p>
    <w:p>
      <w:pPr>
        <w:spacing w:after="0" w:line="4" w:lineRule="exact"/>
        <w:rPr>
          <w:sz w:val="20"/>
          <w:szCs w:val="20"/>
          <w:color w:val="auto"/>
        </w:rPr>
      </w:pPr>
    </w:p>
    <w:p>
      <w:pPr>
        <w:ind w:left="10000"/>
        <w:spacing w:after="0"/>
        <w:rPr>
          <w:sz w:val="20"/>
          <w:szCs w:val="20"/>
          <w:color w:val="auto"/>
        </w:rPr>
      </w:pPr>
      <w:r>
        <w:rPr>
          <w:rFonts w:ascii="Arial" w:cs="Arial" w:eastAsia="Arial" w:hAnsi="Arial"/>
          <w:sz w:val="12"/>
          <w:szCs w:val="12"/>
          <w:b w:val="1"/>
          <w:bCs w:val="1"/>
          <w:color w:val="auto"/>
        </w:rPr>
        <w:t>Unrecognized Tax</w:t>
      </w:r>
    </w:p>
    <w:p>
      <w:pPr>
        <w:spacing w:after="0" w:line="24" w:lineRule="exact"/>
        <w:rPr>
          <w:sz w:val="20"/>
          <w:szCs w:val="20"/>
          <w:color w:val="auto"/>
        </w:rPr>
      </w:pPr>
    </w:p>
    <w:p>
      <w:pPr>
        <w:ind w:left="10020"/>
        <w:spacing w:after="0"/>
        <w:rPr>
          <w:sz w:val="20"/>
          <w:szCs w:val="20"/>
          <w:color w:val="auto"/>
        </w:rPr>
      </w:pPr>
      <w:r>
        <w:rPr>
          <w:rFonts w:ascii="Arial" w:cs="Arial" w:eastAsia="Arial" w:hAnsi="Arial"/>
          <w:sz w:val="12"/>
          <w:szCs w:val="12"/>
          <w:b w:val="1"/>
          <w:bCs w:val="1"/>
          <w:color w:val="auto"/>
        </w:rPr>
        <w:t>Positions Federal,</w:t>
      </w:r>
    </w:p>
    <w:p>
      <w:pPr>
        <w:jc w:val="center"/>
        <w:ind w:left="9860"/>
        <w:spacing w:after="0"/>
        <w:rPr>
          <w:sz w:val="20"/>
          <w:szCs w:val="20"/>
          <w:color w:val="auto"/>
        </w:rPr>
      </w:pPr>
      <w:r>
        <w:rPr>
          <w:rFonts w:ascii="Arial" w:cs="Arial" w:eastAsia="Arial" w:hAnsi="Arial"/>
          <w:sz w:val="13"/>
          <w:szCs w:val="13"/>
          <w:b w:val="1"/>
          <w:bCs w:val="1"/>
          <w:color w:val="auto"/>
        </w:rPr>
        <w:t>State and Foreign</w:t>
      </w:r>
    </w:p>
    <w:p>
      <w:pPr>
        <w:jc w:val="center"/>
        <w:ind w:left="9860"/>
        <w:spacing w:after="0"/>
        <w:rPr>
          <w:sz w:val="20"/>
          <w:szCs w:val="20"/>
          <w:color w:val="auto"/>
        </w:rPr>
      </w:pPr>
      <w:r>
        <w:rPr>
          <w:rFonts w:ascii="Arial" w:cs="Arial" w:eastAsia="Arial" w:hAnsi="Arial"/>
          <w:sz w:val="14"/>
          <w:szCs w:val="14"/>
          <w:b w:val="1"/>
          <w:bCs w:val="1"/>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UTP Balance at December 31, 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Gross reductions for prior period positions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UTP Balance at December 31, 2020</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Gross reductions for prior period positions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UTP Balance at December 31, 2021</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 due to lapse of statute of limitations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686" w:hanging="686"/>
        <w:spacing w:after="0"/>
        <w:tabs>
          <w:tab w:leader="none" w:pos="686" w:val="left"/>
        </w:tabs>
        <w:numPr>
          <w:ilvl w:val="0"/>
          <w:numId w:val="91"/>
        </w:numPr>
        <w:rPr>
          <w:rFonts w:ascii="Arial" w:cs="Arial" w:eastAsia="Arial" w:hAnsi="Arial"/>
          <w:sz w:val="17"/>
          <w:szCs w:val="17"/>
          <w:color w:val="auto"/>
        </w:rPr>
      </w:pPr>
      <w:r>
        <w:rPr>
          <w:rFonts w:ascii="Arial" w:cs="Arial" w:eastAsia="Arial" w:hAnsi="Arial"/>
          <w:sz w:val="17"/>
          <w:szCs w:val="17"/>
          <w:color w:val="auto"/>
        </w:rPr>
        <w:t>486,481</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33,402</w:t>
      </w:r>
    </w:p>
    <w:p>
      <w:pPr>
        <w:spacing w:after="0" w:line="34" w:lineRule="exact"/>
        <w:rPr>
          <w:rFonts w:ascii="Arial" w:cs="Arial" w:eastAsia="Arial" w:hAnsi="Arial"/>
          <w:sz w:val="17"/>
          <w:szCs w:val="17"/>
          <w:color w:val="auto"/>
        </w:rPr>
      </w:pPr>
    </w:p>
    <w:p>
      <w:pPr>
        <w:ind w:left="926"/>
        <w:spacing w:after="0"/>
        <w:rPr>
          <w:rFonts w:ascii="Arial" w:cs="Arial" w:eastAsia="Arial" w:hAnsi="Arial"/>
          <w:sz w:val="17"/>
          <w:szCs w:val="17"/>
          <w:color w:val="auto"/>
        </w:rPr>
      </w:pPr>
      <w:r>
        <w:rPr>
          <w:rFonts w:ascii="Arial" w:cs="Arial" w:eastAsia="Arial" w:hAnsi="Arial"/>
          <w:sz w:val="17"/>
          <w:szCs w:val="17"/>
          <w:color w:val="auto"/>
        </w:rPr>
        <w:t>(577)</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16,914</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(7,033)</w:t>
      </w:r>
    </w:p>
    <w:p>
      <w:pPr>
        <w:spacing w:after="0" w:line="34"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8"/>
          <w:szCs w:val="18"/>
          <w:color w:val="auto"/>
        </w:rPr>
        <w:t>588</w:t>
      </w:r>
    </w:p>
    <w:p>
      <w:pPr>
        <w:spacing w:after="0" w:line="35" w:lineRule="exact"/>
        <w:rPr>
          <w:sz w:val="20"/>
          <w:szCs w:val="20"/>
          <w:color w:val="auto"/>
        </w:rPr>
      </w:pPr>
    </w:p>
    <w:p>
      <w:pPr>
        <w:ind w:left="686" w:hanging="686"/>
        <w:spacing w:after="0"/>
        <w:tabs>
          <w:tab w:leader="none" w:pos="686" w:val="left"/>
        </w:tabs>
        <w:numPr>
          <w:ilvl w:val="0"/>
          <w:numId w:val="92"/>
        </w:numPr>
        <w:rPr>
          <w:rFonts w:ascii="Arial" w:cs="Arial" w:eastAsia="Arial" w:hAnsi="Arial"/>
          <w:sz w:val="17"/>
          <w:szCs w:val="17"/>
          <w:color w:val="auto"/>
        </w:rPr>
      </w:pPr>
      <w:r>
        <w:rPr>
          <w:rFonts w:ascii="Arial" w:cs="Arial" w:eastAsia="Arial" w:hAnsi="Arial"/>
          <w:sz w:val="17"/>
          <w:szCs w:val="17"/>
          <w:color w:val="auto"/>
        </w:rPr>
        <w:t>529,775</w:t>
      </w:r>
    </w:p>
    <w:p>
      <w:pPr>
        <w:spacing w:after="0" w:line="47"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36,662</w:t>
      </w:r>
    </w:p>
    <w:p>
      <w:pPr>
        <w:spacing w:after="0" w:line="34" w:lineRule="exact"/>
        <w:rPr>
          <w:rFonts w:ascii="Arial" w:cs="Arial" w:eastAsia="Arial" w:hAnsi="Arial"/>
          <w:sz w:val="17"/>
          <w:szCs w:val="17"/>
          <w:color w:val="auto"/>
        </w:rPr>
      </w:pPr>
    </w:p>
    <w:p>
      <w:pPr>
        <w:ind w:left="926"/>
        <w:spacing w:after="0"/>
        <w:rPr>
          <w:rFonts w:ascii="Arial" w:cs="Arial" w:eastAsia="Arial" w:hAnsi="Arial"/>
          <w:sz w:val="17"/>
          <w:szCs w:val="17"/>
          <w:color w:val="auto"/>
        </w:rPr>
      </w:pPr>
      <w:r>
        <w:rPr>
          <w:rFonts w:ascii="Arial" w:cs="Arial" w:eastAsia="Arial" w:hAnsi="Arial"/>
          <w:sz w:val="17"/>
          <w:szCs w:val="17"/>
          <w:color w:val="auto"/>
        </w:rPr>
        <w:t>(702)</w:t>
      </w:r>
    </w:p>
    <w:p>
      <w:pPr>
        <w:spacing w:after="0" w:line="34" w:lineRule="exact"/>
        <w:rPr>
          <w:rFonts w:ascii="Arial" w:cs="Arial" w:eastAsia="Arial" w:hAnsi="Arial"/>
          <w:sz w:val="17"/>
          <w:szCs w:val="17"/>
          <w:color w:val="auto"/>
        </w:rPr>
      </w:pPr>
    </w:p>
    <w:p>
      <w:pPr>
        <w:ind w:left="866"/>
        <w:spacing w:after="0"/>
        <w:rPr>
          <w:rFonts w:ascii="Arial" w:cs="Arial" w:eastAsia="Arial" w:hAnsi="Arial"/>
          <w:sz w:val="17"/>
          <w:szCs w:val="17"/>
          <w:color w:val="auto"/>
        </w:rPr>
      </w:pPr>
      <w:r>
        <w:rPr>
          <w:rFonts w:ascii="Arial" w:cs="Arial" w:eastAsia="Arial" w:hAnsi="Arial"/>
          <w:sz w:val="18"/>
          <w:szCs w:val="18"/>
          <w:color w:val="auto"/>
        </w:rPr>
        <w:t>1,203</w:t>
      </w:r>
    </w:p>
    <w:p>
      <w:pPr>
        <w:spacing w:after="0" w:line="22" w:lineRule="exact"/>
        <w:rPr>
          <w:rFonts w:ascii="Arial" w:cs="Arial" w:eastAsia="Arial" w:hAnsi="Arial"/>
          <w:sz w:val="17"/>
          <w:szCs w:val="17"/>
          <w:color w:val="auto"/>
        </w:rPr>
      </w:pPr>
    </w:p>
    <w:p>
      <w:pPr>
        <w:ind w:left="926"/>
        <w:spacing w:after="0"/>
        <w:rPr>
          <w:rFonts w:ascii="Arial" w:cs="Arial" w:eastAsia="Arial" w:hAnsi="Arial"/>
          <w:sz w:val="17"/>
          <w:szCs w:val="17"/>
          <w:color w:val="auto"/>
        </w:rPr>
      </w:pPr>
      <w:r>
        <w:rPr>
          <w:rFonts w:ascii="Arial" w:cs="Arial" w:eastAsia="Arial" w:hAnsi="Arial"/>
          <w:sz w:val="17"/>
          <w:szCs w:val="17"/>
          <w:color w:val="auto"/>
        </w:rPr>
        <w:t>(475)</w:t>
      </w:r>
    </w:p>
    <w:p>
      <w:pPr>
        <w:spacing w:after="0" w:line="34" w:lineRule="exact"/>
        <w:rPr>
          <w:rFonts w:ascii="Arial" w:cs="Arial" w:eastAsia="Arial" w:hAnsi="Arial"/>
          <w:sz w:val="17"/>
          <w:szCs w:val="17"/>
          <w:color w:val="auto"/>
        </w:rPr>
      </w:pPr>
    </w:p>
    <w:p>
      <w:pPr>
        <w:ind w:left="1026"/>
        <w:spacing w:after="0"/>
        <w:rPr>
          <w:rFonts w:ascii="Arial" w:cs="Arial" w:eastAsia="Arial" w:hAnsi="Arial"/>
          <w:sz w:val="17"/>
          <w:szCs w:val="17"/>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-707390</wp:posOffset>
            </wp:positionV>
            <wp:extent cx="8655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8" w:lineRule="exact"/>
        <w:rPr>
          <w:sz w:val="20"/>
          <w:szCs w:val="20"/>
          <w:color w:val="auto"/>
        </w:rPr>
      </w:pPr>
    </w:p>
    <w:p>
      <w:pPr>
        <w:ind w:left="686" w:hanging="686"/>
        <w:spacing w:after="0"/>
        <w:tabs>
          <w:tab w:leader="none" w:pos="686" w:val="left"/>
        </w:tabs>
        <w:numPr>
          <w:ilvl w:val="0"/>
          <w:numId w:val="93"/>
        </w:numPr>
        <w:rPr>
          <w:rFonts w:ascii="Arial" w:cs="Arial" w:eastAsia="Arial" w:hAnsi="Arial"/>
          <w:sz w:val="17"/>
          <w:szCs w:val="17"/>
          <w:color w:val="auto"/>
        </w:rPr>
      </w:pPr>
      <w:r>
        <w:rPr>
          <w:rFonts w:ascii="Arial" w:cs="Arial" w:eastAsia="Arial" w:hAnsi="Arial"/>
          <w:sz w:val="17"/>
          <w:szCs w:val="17"/>
          <w:color w:val="auto"/>
        </w:rPr>
        <w:t>566,439</w:t>
      </w:r>
    </w:p>
    <w:p>
      <w:pPr>
        <w:spacing w:after="0" w:line="47"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20,061</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(4,451)</w:t>
      </w:r>
    </w:p>
    <w:p>
      <w:pPr>
        <w:spacing w:after="0" w:line="34" w:lineRule="exact"/>
        <w:rPr>
          <w:rFonts w:ascii="Arial" w:cs="Arial" w:eastAsia="Arial" w:hAnsi="Arial"/>
          <w:sz w:val="17"/>
          <w:szCs w:val="17"/>
          <w:color w:val="auto"/>
        </w:rPr>
      </w:pPr>
    </w:p>
    <w:p>
      <w:pPr>
        <w:ind w:left="786"/>
        <w:spacing w:after="0"/>
        <w:rPr>
          <w:rFonts w:ascii="Arial" w:cs="Arial" w:eastAsia="Arial" w:hAnsi="Arial"/>
          <w:sz w:val="17"/>
          <w:szCs w:val="17"/>
          <w:color w:val="auto"/>
        </w:rPr>
      </w:pPr>
      <w:r>
        <w:rPr>
          <w:rFonts w:ascii="Arial" w:cs="Arial" w:eastAsia="Arial" w:hAnsi="Arial"/>
          <w:sz w:val="17"/>
          <w:szCs w:val="17"/>
          <w:color w:val="auto"/>
        </w:rPr>
        <w:t>(2,419)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8655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9174" w:space="720"/>
            <w:col w:w="1346"/>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9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UTP Balance at December 31, 2022</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579,630</w:t>
            </w:r>
          </w:p>
        </w:tc>
      </w:tr>
      <w:tr>
        <w:trPr>
          <w:trHeight w:val="223"/>
        </w:trPr>
        <w:tc>
          <w:tcPr>
            <w:tcW w:w="9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interest and penalties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66,736</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UTP balance including accrued interest and penalties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646,366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The Company records accrued interest and penalties, where applicable, related to uncertain tax positions as part of the provision for income taxes. The cumulative accrued interest and penalties related to uncertain tax positions were $66.7 million and $53.6 million as of December 31, 2022 and 2021, respectively.</w:t>
      </w:r>
    </w:p>
    <w:p>
      <w:pPr>
        <w:spacing w:after="0" w:line="7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During the year ended December 31, 2022, the Company recognized net expense of $16.2 million associated with UTPs, primarily related to interest and penalties. During the year ended December 31, 2021, the Company recognized net expense of $10.6 million associated with UTPs, primarily related to interest and penalties. During the year ended December 31, 2020, the Company recognized a net benefit of $78.2 million as a reduction to our net UTP liability, primarily related to the CARES Act. At December 31, 2022, the Company’s UTP liability is included in the Consolidated Balance Sheets within Liabilities subject to compromise, Other liabilities and, where appropriate, as a reduction to Deferred tax assets. At December 31, 2021, the Company’s UTP liability is included in the Consolidated Balance Sheets within Other liabilities and, where appropriate, as a reduction to Deferred tax assets.</w:t>
      </w:r>
    </w:p>
    <w:p>
      <w:pPr>
        <w:spacing w:after="0" w:line="5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subsidiaries file income tax returns in the countries in which they have operations. Generally, these countries have statutes of limitations ranging from 3 to 5 years. Certain subsidiary tax returns are currently under examination by taxing authorities, including U.S. tax returns for the 2006 through 2018 tax years by the IRS.</w:t>
      </w:r>
    </w:p>
    <w:p>
      <w:pPr>
        <w:spacing w:after="0" w:line="7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It is expected that the amount of UTPs will change during the next 12 months; however, we do not currently anticipate any adjustments that would lead to a material impact on our results of operations or our financial position.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86"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connection with the IRS’s examination of our 2015 Return, on December 31, 2020, the IRS issued a Technical Advice Memorandum (TAM) regarding the portion of our 2015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may be subject to examination in the following major tax jurisdictions: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Open Years</w:t>
            </w:r>
          </w:p>
        </w:tc>
      </w:tr>
      <w:tr>
        <w:trPr>
          <w:trHeight w:val="26"/>
        </w:trPr>
        <w:tc>
          <w:tcPr>
            <w:tcW w:w="9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2016 through 2022</w:t>
            </w: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940" w:type="dxa"/>
            <w:vAlign w:val="bottom"/>
          </w:tcPr>
          <w:p>
            <w:pPr>
              <w:ind w:left="560"/>
              <w:spacing w:after="0"/>
              <w:rPr>
                <w:sz w:val="20"/>
                <w:szCs w:val="20"/>
                <w:color w:val="auto"/>
              </w:rPr>
            </w:pPr>
            <w:r>
              <w:rPr>
                <w:rFonts w:ascii="Arial" w:cs="Arial" w:eastAsia="Arial" w:hAnsi="Arial"/>
                <w:sz w:val="18"/>
                <w:szCs w:val="18"/>
                <w:color w:val="auto"/>
                <w:w w:val="89"/>
              </w:rPr>
              <w:t>2012 through 2022</w:t>
            </w:r>
          </w:p>
        </w:tc>
      </w:tr>
      <w:tr>
        <w:trPr>
          <w:trHeight w:val="229"/>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2016 through 2022</w:t>
            </w:r>
          </w:p>
        </w:tc>
      </w:tr>
      <w:tr>
        <w:trPr>
          <w:trHeight w:val="230"/>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940" w:type="dxa"/>
            <w:vAlign w:val="bottom"/>
          </w:tcPr>
          <w:p>
            <w:pPr>
              <w:ind w:left="560"/>
              <w:spacing w:after="0"/>
              <w:rPr>
                <w:sz w:val="20"/>
                <w:szCs w:val="20"/>
                <w:color w:val="auto"/>
              </w:rPr>
            </w:pPr>
            <w:r>
              <w:rPr>
                <w:rFonts w:ascii="Arial" w:cs="Arial" w:eastAsia="Arial" w:hAnsi="Arial"/>
                <w:sz w:val="18"/>
                <w:szCs w:val="18"/>
                <w:color w:val="auto"/>
                <w:w w:val="89"/>
              </w:rPr>
              <w:t>2015 through 2022</w:t>
            </w:r>
          </w:p>
        </w:tc>
      </w:tr>
      <w:tr>
        <w:trPr>
          <w:trHeight w:val="229"/>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 federal, state and local</w:t>
            </w:r>
          </w:p>
        </w:tc>
        <w:tc>
          <w:tcPr>
            <w:tcW w:w="1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2006 through 2022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Bankruptcy-Related Developments</w:t>
      </w:r>
    </w:p>
    <w:p>
      <w:pPr>
        <w:spacing w:after="0" w:line="12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In connection with our ongoing bankruptcy proceedings, the IRS has filed multiple proofs of claim against several of the Debtors. The total amount of the claims filed by the IRS, which relate to tax years ended 2006 through 2014, 2016 through 2018 and 2020 through 2021, is approximately</w:t>
      </w:r>
    </w:p>
    <w:p>
      <w:pPr>
        <w:ind w:right="100"/>
        <w:spacing w:after="0" w:line="252" w:lineRule="auto"/>
        <w:rPr>
          <w:sz w:val="20"/>
          <w:szCs w:val="20"/>
          <w:color w:val="auto"/>
        </w:rPr>
      </w:pPr>
      <w:r>
        <w:rPr>
          <w:rFonts w:ascii="Arial" w:cs="Arial" w:eastAsia="Arial" w:hAnsi="Arial"/>
          <w:sz w:val="18"/>
          <w:szCs w:val="18"/>
          <w:color w:val="auto"/>
        </w:rPr>
        <w:t>$18.7 billion. A number of the claims are in respect of the same proposed tax liability but are filed against multiple subsidiary members of our U.S. consolidated tax groups. After excluding the repetitive claims filed to different members of our U.S. consolidated tax groups, the net claims are approximately $2.6 billion. We did not receive from the IRS calculations or support for the amount of the claims filed; however, through our discussions with the IRS following the submission of the claims, we understand that the claims primarily relate to the IRS’s challenges of our historic tax positions discussed above for certain intercompany arrangements, including the level of profit earned by our U.S. subsidiaries pursuant to such arrangements, and a product liability loss carryback claim. We disagree with the IRS’s claims and, if necessary, intend to contest any additional tax determined to be owed with respect to the claims.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(LOSS) INCOME PER SHARE</w:t>
      </w:r>
    </w:p>
    <w:p>
      <w:pPr>
        <w:spacing w:after="0" w:line="121"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color w:val="auto"/>
        </w:rPr>
        <w:t>The following is a reconciliation of the numerator and denominator of basic and diluted net (loss) income per share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(Loss) income from continuing operations</w:t>
            </w:r>
          </w:p>
        </w:tc>
        <w:tc>
          <w:tcPr>
            <w:tcW w:w="2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(2,909,618)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(569,081)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247,464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discontinued operations, net of tax</w:t>
            </w:r>
          </w:p>
        </w:tc>
        <w:tc>
          <w:tcPr>
            <w:tcW w:w="2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(2,923,105)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234,840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229,314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2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2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233,653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60" w:type="dxa"/>
            <w:vAlign w:val="bottom"/>
            <w:gridSpan w:val="2"/>
          </w:tcPr>
          <w:p>
            <w:pPr>
              <w:jc w:val="right"/>
              <w:ind w:right="1330"/>
              <w:spacing w:after="0"/>
              <w:rPr>
                <w:sz w:val="20"/>
                <w:szCs w:val="20"/>
                <w:color w:val="auto"/>
              </w:rPr>
            </w:pPr>
            <w:r>
              <w:rPr>
                <w:rFonts w:ascii="Arial" w:cs="Arial" w:eastAsia="Arial" w:hAnsi="Arial"/>
                <w:sz w:val="18"/>
                <w:szCs w:val="18"/>
                <w:color w:val="auto"/>
              </w:rPr>
              <w:t>F-67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Any stock options and/or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presents, for the years ended December 31, 2022, 2021 and 2020, outstanding stock options and stock awards that could potentially dilute per share amounts in the future that were not included in the computation of diluted per share amounts for the periods presented because to do so would have been antidilutive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Stock awards</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5,789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9,256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5,197</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CONDENSED COMBINED DEBTOR-IN-POSSESSION FINANCIAL INFORMATION</w:t>
      </w:r>
    </w:p>
    <w:p>
      <w:pPr>
        <w:spacing w:after="0" w:line="121" w:lineRule="exact"/>
        <w:rPr>
          <w:sz w:val="20"/>
          <w:szCs w:val="20"/>
          <w:color w:val="auto"/>
        </w:rPr>
      </w:pPr>
    </w:p>
    <w:p>
      <w:pPr>
        <w:ind w:right="300" w:firstLine="486"/>
        <w:spacing w:after="0" w:line="293" w:lineRule="auto"/>
        <w:rPr>
          <w:sz w:val="20"/>
          <w:szCs w:val="20"/>
          <w:color w:val="auto"/>
        </w:rPr>
      </w:pPr>
      <w:r>
        <w:rPr>
          <w:rFonts w:ascii="Arial" w:cs="Arial" w:eastAsia="Arial" w:hAnsi="Arial"/>
          <w:sz w:val="16"/>
          <w:szCs w:val="16"/>
          <w:color w:val="auto"/>
        </w:rPr>
        <w:t>The financial statements included in this Note represent the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December 31, 2022</w:t>
            </w:r>
          </w:p>
        </w:tc>
      </w:tr>
      <w:tr>
        <w:trPr>
          <w:trHeight w:val="26"/>
        </w:trPr>
        <w:tc>
          <w:tcPr>
            <w:tcW w:w="396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3960" w:type="dxa"/>
            <w:vAlign w:val="bottom"/>
            <w:shd w:val="clear" w:color="auto" w:fill="CCEEFF"/>
          </w:tcPr>
          <w:p>
            <w:pPr>
              <w:spacing w:after="0"/>
              <w:rPr>
                <w:sz w:val="15"/>
                <w:szCs w:val="15"/>
                <w:color w:val="auto"/>
              </w:rPr>
            </w:pPr>
          </w:p>
        </w:tc>
        <w:tc>
          <w:tcPr>
            <w:tcW w:w="5880" w:type="dxa"/>
            <w:vAlign w:val="bottom"/>
            <w:shd w:val="clear" w:color="auto" w:fill="CCEEFF"/>
          </w:tcPr>
          <w:p>
            <w:pPr>
              <w:jc w:val="center"/>
              <w:ind w:right="3868"/>
              <w:spacing w:after="0"/>
              <w:rPr>
                <w:sz w:val="20"/>
                <w:szCs w:val="20"/>
                <w:color w:val="auto"/>
              </w:rPr>
            </w:pPr>
            <w:r>
              <w:rPr>
                <w:rFonts w:ascii="Arial" w:cs="Arial" w:eastAsia="Arial" w:hAnsi="Arial"/>
                <w:sz w:val="14"/>
                <w:szCs w:val="14"/>
                <w:b w:val="1"/>
                <w:bCs w:val="1"/>
                <w:color w:val="auto"/>
                <w:w w:val="96"/>
              </w:rPr>
              <w:t>ASSETS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5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991,901</w:t>
            </w:r>
          </w:p>
        </w:tc>
      </w:tr>
      <w:tr>
        <w:trPr>
          <w:trHeight w:val="182"/>
        </w:trPr>
        <w:tc>
          <w:tcPr>
            <w:tcW w:w="3960" w:type="dxa"/>
            <w:vAlign w:val="bottom"/>
          </w:tcPr>
          <w:p>
            <w:pPr>
              <w:ind w:left="120"/>
              <w:spacing w:after="0"/>
              <w:rPr>
                <w:sz w:val="20"/>
                <w:szCs w:val="20"/>
                <w:color w:val="auto"/>
              </w:rPr>
            </w:pPr>
            <w:r>
              <w:rPr>
                <w:rFonts w:ascii="Arial" w:cs="Arial" w:eastAsia="Arial" w:hAnsi="Arial"/>
                <w:sz w:val="14"/>
                <w:szCs w:val="14"/>
                <w:color w:val="auto"/>
              </w:rPr>
              <w:t>Restricted cash and cash equivalents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59,358</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478,889</w:t>
            </w:r>
          </w:p>
        </w:tc>
      </w:tr>
      <w:tr>
        <w:trPr>
          <w:trHeight w:val="182"/>
        </w:trPr>
        <w:tc>
          <w:tcPr>
            <w:tcW w:w="3960" w:type="dxa"/>
            <w:vAlign w:val="bottom"/>
          </w:tcPr>
          <w:p>
            <w:pPr>
              <w:ind w:left="120"/>
              <w:spacing w:after="0"/>
              <w:rPr>
                <w:sz w:val="20"/>
                <w:szCs w:val="20"/>
                <w:color w:val="auto"/>
              </w:rPr>
            </w:pPr>
            <w:r>
              <w:rPr>
                <w:rFonts w:ascii="Arial" w:cs="Arial" w:eastAsia="Arial" w:hAnsi="Arial"/>
                <w:sz w:val="14"/>
                <w:szCs w:val="14"/>
                <w:color w:val="auto"/>
              </w:rPr>
              <w:t>Inventories, net</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241,349</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111,807</w:t>
            </w:r>
          </w:p>
        </w:tc>
      </w:tr>
      <w:tr>
        <w:trPr>
          <w:trHeight w:val="182"/>
        </w:trPr>
        <w:tc>
          <w:tcPr>
            <w:tcW w:w="3960" w:type="dxa"/>
            <w:vAlign w:val="bottom"/>
          </w:tcPr>
          <w:p>
            <w:pPr>
              <w:ind w:left="120"/>
              <w:spacing w:after="0"/>
              <w:rPr>
                <w:sz w:val="20"/>
                <w:szCs w:val="20"/>
                <w:color w:val="auto"/>
              </w:rPr>
            </w:pPr>
            <w:r>
              <w:rPr>
                <w:rFonts w:ascii="Arial" w:cs="Arial" w:eastAsia="Arial" w:hAnsi="Arial"/>
                <w:sz w:val="14"/>
                <w:szCs w:val="14"/>
                <w:color w:val="auto"/>
              </w:rPr>
              <w:t>Income taxes receivable</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7,038</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Receivables from Non-Debtor Affiliates</w:t>
            </w:r>
          </w:p>
        </w:tc>
        <w:tc>
          <w:tcPr>
            <w:tcW w:w="5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94,608</w:t>
            </w: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58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1,984,950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233,114</w:t>
            </w: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23,200</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1,352,011</w:t>
            </w: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OTHER INTANGIBLES, NET</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1,732,935</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 IN NON-DEBTOR AFFILIATES</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50,001</w:t>
            </w: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RECEIVABLES FROM NON-DEBTOR AFFILIATES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240,002</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5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126,494</w:t>
            </w:r>
          </w:p>
        </w:tc>
      </w:tr>
      <w:tr>
        <w:trPr>
          <w:trHeight w:val="196"/>
        </w:trPr>
        <w:tc>
          <w:tcPr>
            <w:tcW w:w="39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58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0"/>
        </w:trPr>
        <w:tc>
          <w:tcPr>
            <w:tcW w:w="3960" w:type="dxa"/>
            <w:vAlign w:val="bottom"/>
            <w:shd w:val="clear" w:color="auto" w:fill="CCEEFF"/>
          </w:tcPr>
          <w:p>
            <w:pPr>
              <w:spacing w:after="0"/>
              <w:rPr>
                <w:sz w:val="14"/>
                <w:szCs w:val="14"/>
                <w:color w:val="auto"/>
              </w:rPr>
            </w:pPr>
          </w:p>
        </w:tc>
        <w:tc>
          <w:tcPr>
            <w:tcW w:w="5880" w:type="dxa"/>
            <w:vAlign w:val="bottom"/>
            <w:shd w:val="clear" w:color="auto" w:fill="CCEEFF"/>
          </w:tcPr>
          <w:p>
            <w:pPr>
              <w:jc w:val="center"/>
              <w:ind w:right="3888"/>
              <w:spacing w:after="0"/>
              <w:rPr>
                <w:sz w:val="20"/>
                <w:szCs w:val="20"/>
                <w:color w:val="auto"/>
              </w:rPr>
            </w:pPr>
            <w:r>
              <w:rPr>
                <w:rFonts w:ascii="Arial" w:cs="Arial" w:eastAsia="Arial" w:hAnsi="Arial"/>
                <w:sz w:val="14"/>
                <w:szCs w:val="14"/>
                <w:b w:val="1"/>
                <w:bCs w:val="1"/>
                <w:color w:val="auto"/>
              </w:rPr>
              <w:t>LIABILITIES AND DEFICIT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payable and accrued expenses</w:t>
            </w:r>
          </w:p>
        </w:tc>
        <w:tc>
          <w:tcPr>
            <w:tcW w:w="5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654,414</w:t>
            </w:r>
          </w:p>
        </w:tc>
      </w:tr>
      <w:tr>
        <w:trPr>
          <w:trHeight w:val="182"/>
        </w:trPr>
        <w:tc>
          <w:tcPr>
            <w:tcW w:w="3960" w:type="dxa"/>
            <w:vAlign w:val="bottom"/>
          </w:tcPr>
          <w:p>
            <w:pPr>
              <w:ind w:left="120"/>
              <w:spacing w:after="0"/>
              <w:rPr>
                <w:sz w:val="20"/>
                <w:szCs w:val="20"/>
                <w:color w:val="auto"/>
              </w:rPr>
            </w:pPr>
            <w:r>
              <w:rPr>
                <w:rFonts w:ascii="Arial" w:cs="Arial" w:eastAsia="Arial" w:hAnsi="Arial"/>
                <w:sz w:val="14"/>
                <w:szCs w:val="14"/>
                <w:color w:val="auto"/>
              </w:rPr>
              <w:t>Current portion of operating lease liabilities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2"/>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Income taxes payable</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2"/>
        </w:trPr>
        <w:tc>
          <w:tcPr>
            <w:tcW w:w="3960" w:type="dxa"/>
            <w:vAlign w:val="bottom"/>
          </w:tcPr>
          <w:p>
            <w:pPr>
              <w:ind w:left="120"/>
              <w:spacing w:after="0"/>
              <w:rPr>
                <w:sz w:val="20"/>
                <w:szCs w:val="20"/>
                <w:color w:val="auto"/>
              </w:rPr>
            </w:pPr>
            <w:r>
              <w:rPr>
                <w:rFonts w:ascii="Arial" w:cs="Arial" w:eastAsia="Arial" w:hAnsi="Arial"/>
                <w:sz w:val="14"/>
                <w:szCs w:val="14"/>
                <w:color w:val="auto"/>
              </w:rPr>
              <w:t>Payables to Non-Debtor Affiliates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20,162</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3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5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674,816</w:t>
            </w:r>
          </w:p>
        </w:tc>
      </w:tr>
      <w:tr>
        <w:trPr>
          <w:trHeight w:val="176"/>
        </w:trPr>
        <w:tc>
          <w:tcPr>
            <w:tcW w:w="396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5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13,479</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OPERATING LEASE LIABILITIES, LESS CURRENT PORTION</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37,367</w:t>
            </w:r>
          </w:p>
        </w:tc>
      </w:tr>
      <w:tr>
        <w:trPr>
          <w:trHeight w:val="20"/>
        </w:trPr>
        <w:tc>
          <w:tcPr>
            <w:tcW w:w="3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9,168,782</w:t>
            </w:r>
          </w:p>
        </w:tc>
      </w:tr>
      <w:tr>
        <w:trPr>
          <w:trHeight w:val="182"/>
        </w:trPr>
        <w:tc>
          <w:tcPr>
            <w:tcW w:w="3960" w:type="dxa"/>
            <w:vAlign w:val="bottom"/>
          </w:tcPr>
          <w:p>
            <w:pPr>
              <w:ind w:left="20"/>
              <w:spacing w:after="0"/>
              <w:rPr>
                <w:sz w:val="20"/>
                <w:szCs w:val="20"/>
                <w:color w:val="auto"/>
              </w:rPr>
            </w:pPr>
            <w:r>
              <w:rPr>
                <w:rFonts w:ascii="Arial" w:cs="Arial" w:eastAsia="Arial" w:hAnsi="Arial"/>
                <w:sz w:val="14"/>
                <w:szCs w:val="14"/>
                <w:color w:val="auto"/>
              </w:rPr>
              <w:t>TOTAL DEFICIT</w:t>
            </w: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(4,152,731)</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DEFICIT</w:t>
            </w:r>
          </w:p>
        </w:tc>
        <w:tc>
          <w:tcPr>
            <w:tcW w:w="5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40" w:type="dxa"/>
            <w:vAlign w:val="bottom"/>
          </w:tcPr>
          <w:p>
            <w:pPr>
              <w:ind w:left="3120"/>
              <w:spacing w:after="0"/>
              <w:rPr>
                <w:sz w:val="20"/>
                <w:szCs w:val="20"/>
                <w:color w:val="auto"/>
              </w:rPr>
            </w:pPr>
            <w:r>
              <w:rPr>
                <w:rFonts w:ascii="Arial" w:cs="Arial" w:eastAsia="Arial" w:hAnsi="Arial"/>
                <w:sz w:val="18"/>
                <w:szCs w:val="18"/>
                <w:b w:val="1"/>
                <w:bCs w:val="1"/>
                <w:color w:val="auto"/>
              </w:rPr>
              <w:t>CONDENSED COMBINED STATEMENTS OF OPERATIONS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9840" w:type="dxa"/>
            <w:vAlign w:val="bottom"/>
          </w:tcPr>
          <w:p>
            <w:pPr>
              <w:ind w:left="476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1"/>
        </w:trPr>
        <w:tc>
          <w:tcPr>
            <w:tcW w:w="9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6"/>
        </w:trPr>
        <w:tc>
          <w:tcPr>
            <w:tcW w:w="9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2,321,426</w:t>
            </w:r>
          </w:p>
        </w:tc>
      </w:tr>
      <w:tr>
        <w:trPr>
          <w:trHeight w:val="182"/>
        </w:trPr>
        <w:tc>
          <w:tcPr>
            <w:tcW w:w="98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1,106,855</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764,768</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137,851</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68,700</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478,722</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Asset impairment charges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2,137,107</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345,593</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Reorganization items,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202,978</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(13,409)</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 BEFORE INCOME TAX</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(2,908,147)</w:t>
            </w:r>
          </w:p>
        </w:tc>
      </w:tr>
      <w:tr>
        <w:trPr>
          <w:trHeight w:val="176"/>
        </w:trPr>
        <w:tc>
          <w:tcPr>
            <w:tcW w:w="98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17,721</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(2,925,868)</w:t>
            </w:r>
          </w:p>
        </w:tc>
      </w:tr>
      <w:tr>
        <w:trPr>
          <w:trHeight w:val="176"/>
        </w:trPr>
        <w:tc>
          <w:tcPr>
            <w:tcW w:w="9840" w:type="dxa"/>
            <w:vAlign w:val="bottom"/>
          </w:tcPr>
          <w:p>
            <w:pPr>
              <w:ind w:left="20"/>
              <w:spacing w:after="0"/>
              <w:rPr>
                <w:sz w:val="20"/>
                <w:szCs w:val="20"/>
                <w:color w:val="auto"/>
              </w:rPr>
            </w:pPr>
            <w:r>
              <w:rPr>
                <w:rFonts w:ascii="Arial" w:cs="Arial" w:eastAsia="Arial" w:hAnsi="Arial"/>
                <w:sz w:val="14"/>
                <w:szCs w:val="14"/>
                <w:color w:val="auto"/>
              </w:rPr>
              <w:t>DISCONTINUED OPERATIONS, NET OF TAX</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(13,468)</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DEBTOR ENTITIES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(2,939,336)</w:t>
            </w:r>
          </w:p>
        </w:tc>
      </w:tr>
      <w:tr>
        <w:trPr>
          <w:trHeight w:val="176"/>
        </w:trPr>
        <w:tc>
          <w:tcPr>
            <w:tcW w:w="9840" w:type="dxa"/>
            <w:vAlign w:val="bottom"/>
          </w:tcPr>
          <w:p>
            <w:pPr>
              <w:ind w:left="20"/>
              <w:spacing w:after="0"/>
              <w:rPr>
                <w:sz w:val="20"/>
                <w:szCs w:val="20"/>
                <w:color w:val="auto"/>
              </w:rPr>
            </w:pPr>
            <w:r>
              <w:rPr>
                <w:rFonts w:ascii="Arial" w:cs="Arial" w:eastAsia="Arial" w:hAnsi="Arial"/>
                <w:sz w:val="14"/>
                <w:szCs w:val="14"/>
                <w:color w:val="auto"/>
              </w:rPr>
              <w:t>EQUITY IN INCOME OF NON-DEBTOR AFFILIATES, NET OF TAX</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22,671</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(2,916,665)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7620" w:type="dxa"/>
            <w:vAlign w:val="bottom"/>
            <w:gridSpan w:val="2"/>
          </w:tcPr>
          <w:p>
            <w:pPr>
              <w:jc w:val="right"/>
              <w:ind w:right="1548"/>
              <w:spacing w:after="0"/>
              <w:rPr>
                <w:sz w:val="20"/>
                <w:szCs w:val="20"/>
                <w:color w:val="auto"/>
              </w:rPr>
            </w:pPr>
            <w:r>
              <w:rPr>
                <w:rFonts w:ascii="Arial" w:cs="Arial" w:eastAsia="Arial" w:hAnsi="Arial"/>
                <w:sz w:val="18"/>
                <w:szCs w:val="18"/>
                <w:b w:val="1"/>
                <w:bCs w:val="1"/>
                <w:color w:val="auto"/>
              </w:rPr>
              <w:t>CONDENSED COMBINED STATEMENTS OF COMPREHENSIVE LOSS</w:t>
            </w:r>
          </w:p>
        </w:tc>
        <w:tc>
          <w:tcPr>
            <w:tcW w:w="104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p>
        </w:tc>
        <w:tc>
          <w:tcPr>
            <w:tcW w:w="7620" w:type="dxa"/>
            <w:vAlign w:val="bottom"/>
            <w:gridSpan w:val="2"/>
          </w:tcPr>
          <w:p>
            <w:pPr>
              <w:jc w:val="right"/>
              <w:ind w:right="3628"/>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20"/>
                <w:szCs w:val="20"/>
                <w:color w:val="auto"/>
              </w:rPr>
            </w:pPr>
          </w:p>
        </w:tc>
      </w:tr>
      <w:tr>
        <w:trPr>
          <w:trHeight w:val="231"/>
        </w:trPr>
        <w:tc>
          <w:tcPr>
            <w:tcW w:w="25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6"/>
        </w:trPr>
        <w:tc>
          <w:tcPr>
            <w:tcW w:w="25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3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(2,916,665)</w:t>
            </w: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25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8"/>
              </w:rPr>
              <w:t>Net unrealized loss on foreign currency</w:t>
            </w:r>
          </w:p>
        </w:tc>
        <w:tc>
          <w:tcPr>
            <w:tcW w:w="76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(10,496)</w:t>
            </w:r>
          </w:p>
        </w:tc>
      </w:tr>
      <w:tr>
        <w:trPr>
          <w:trHeight w:val="176"/>
        </w:trPr>
        <w:tc>
          <w:tcPr>
            <w:tcW w:w="2540" w:type="dxa"/>
            <w:vAlign w:val="bottom"/>
          </w:tcPr>
          <w:p>
            <w:pPr>
              <w:ind w:left="220"/>
              <w:spacing w:after="0"/>
              <w:rPr>
                <w:sz w:val="20"/>
                <w:szCs w:val="20"/>
                <w:color w:val="auto"/>
              </w:rPr>
            </w:pPr>
            <w:r>
              <w:rPr>
                <w:rFonts w:ascii="Arial" w:cs="Arial" w:eastAsia="Arial" w:hAnsi="Arial"/>
                <w:sz w:val="14"/>
                <w:szCs w:val="14"/>
                <w:color w:val="auto"/>
              </w:rPr>
              <w:t>Total other comprehensive loss</w:t>
            </w:r>
          </w:p>
        </w:tc>
        <w:tc>
          <w:tcPr>
            <w:tcW w:w="73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(10,496)</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7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(2,927,161)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40" w:type="dxa"/>
            <w:vAlign w:val="bottom"/>
          </w:tcPr>
          <w:p>
            <w:pPr>
              <w:ind w:left="3120"/>
              <w:spacing w:after="0"/>
              <w:rPr>
                <w:sz w:val="20"/>
                <w:szCs w:val="20"/>
                <w:color w:val="auto"/>
              </w:rPr>
            </w:pPr>
            <w:r>
              <w:rPr>
                <w:rFonts w:ascii="Arial" w:cs="Arial" w:eastAsia="Arial" w:hAnsi="Arial"/>
                <w:sz w:val="18"/>
                <w:szCs w:val="18"/>
                <w:b w:val="1"/>
                <w:bCs w:val="1"/>
                <w:color w:val="auto"/>
              </w:rPr>
              <w:t>CONDENSED COMBINED STATEMENTS OF CASH FLOWS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9840" w:type="dxa"/>
            <w:vAlign w:val="bottom"/>
          </w:tcPr>
          <w:p>
            <w:pPr>
              <w:ind w:left="476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1"/>
        </w:trPr>
        <w:tc>
          <w:tcPr>
            <w:tcW w:w="9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6"/>
        </w:trPr>
        <w:tc>
          <w:tcPr>
            <w:tcW w:w="9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3"/>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984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 (1)</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209,523</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(43,743)</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Capitalized interest payments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18,635</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Acquisitions, including in-process research and development, net of cash and restricted cash acquired</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(90,320)</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Proceeds from sale of business and other assets,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41,400</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loans made to Non-Debtor Affiliates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2,355</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Disbursements for loans made to Non-Debtor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(51,486)</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(126,299)</w:t>
            </w:r>
          </w:p>
        </w:tc>
      </w:tr>
      <w:tr>
        <w:trPr>
          <w:trHeight w:val="162"/>
        </w:trPr>
        <w:tc>
          <w:tcPr>
            <w:tcW w:w="98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notes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(180,342)</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Repayments of term loans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Adequate protection payments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(313,109)</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Repayments of other indebtedness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(6,062)</w:t>
            </w:r>
          </w:p>
        </w:tc>
      </w:tr>
      <w:tr>
        <w:trPr>
          <w:trHeight w:val="20"/>
        </w:trPr>
        <w:tc>
          <w:tcPr>
            <w:tcW w:w="9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for contingent consideration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(2,462)</w:t>
            </w:r>
          </w:p>
        </w:tc>
      </w:tr>
      <w:tr>
        <w:trPr>
          <w:trHeight w:val="182"/>
        </w:trPr>
        <w:tc>
          <w:tcPr>
            <w:tcW w:w="9840" w:type="dxa"/>
            <w:vAlign w:val="bottom"/>
          </w:tcPr>
          <w:p>
            <w:pPr>
              <w:ind w:left="140"/>
              <w:spacing w:after="0"/>
              <w:rPr>
                <w:sz w:val="20"/>
                <w:szCs w:val="20"/>
                <w:color w:val="auto"/>
              </w:rPr>
            </w:pPr>
            <w:r>
              <w:rPr>
                <w:rFonts w:ascii="Arial" w:cs="Arial" w:eastAsia="Arial" w:hAnsi="Arial"/>
                <w:sz w:val="14"/>
                <w:szCs w:val="14"/>
                <w:color w:val="auto"/>
              </w:rPr>
              <w:t>Payments of tax withholding for restricted shares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(513,873)</w:t>
            </w:r>
          </w:p>
        </w:tc>
      </w:tr>
      <w:tr>
        <w:trPr>
          <w:trHeight w:val="176"/>
        </w:trPr>
        <w:tc>
          <w:tcPr>
            <w:tcW w:w="9840" w:type="dxa"/>
            <w:vAlign w:val="bottom"/>
          </w:tcPr>
          <w:p>
            <w:pPr>
              <w:ind w:left="20"/>
              <w:spacing w:after="0"/>
              <w:rPr>
                <w:sz w:val="20"/>
                <w:szCs w:val="20"/>
                <w:color w:val="auto"/>
              </w:rPr>
            </w:pPr>
            <w:r>
              <w:rPr>
                <w:rFonts w:ascii="Arial" w:cs="Arial" w:eastAsia="Arial" w:hAnsi="Arial"/>
                <w:sz w:val="14"/>
                <w:szCs w:val="14"/>
                <w:color w:val="auto"/>
              </w:rPr>
              <w:t>Effect of foreign exchange rate</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(1,790)</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RESTRICTED CASH AND RESTRICTED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(432,439)</w:t>
            </w:r>
          </w:p>
        </w:tc>
      </w:tr>
      <w:tr>
        <w:trPr>
          <w:trHeight w:val="176"/>
        </w:trPr>
        <w:tc>
          <w:tcPr>
            <w:tcW w:w="984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BEGINNING OF PERIOD</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1,568,698</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1,136,259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66" w:lineRule="auto"/>
        <w:tabs>
          <w:tab w:leader="none" w:pos="572"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difference between the amount of Net cash provided by operating activities included in the table above and the amount of Net cash provided by operating activities included in the Consolidated Statements of Cash Flows for the same period primarily relates to the fact that the table above: (i) excludes the operating cash flows of our Non-Debtor Affiliates, which are included in the Consolidated Statements of Cash Flows, and (ii) includes the effects of the operating cash flows of the Debtors with the Non-Debtor Affiliates, which are eliminated in the Consolidated Statements of Cash Flows.</w:t>
      </w:r>
    </w:p>
    <w:p>
      <w:pPr>
        <w:spacing w:after="0" w:line="301" w:lineRule="exact"/>
        <w:rPr>
          <w:sz w:val="20"/>
          <w:szCs w:val="20"/>
          <w:color w:val="auto"/>
        </w:rPr>
      </w:pPr>
    </w:p>
    <w:p>
      <w:pPr>
        <w:ind w:right="3760"/>
        <w:spacing w:after="0" w:line="378" w:lineRule="auto"/>
        <w:rPr>
          <w:sz w:val="20"/>
          <w:szCs w:val="20"/>
          <w:color w:val="auto"/>
        </w:rPr>
      </w:pPr>
      <w:r>
        <w:rPr>
          <w:rFonts w:ascii="Arial" w:cs="Arial" w:eastAsia="Arial" w:hAnsi="Arial"/>
          <w:sz w:val="18"/>
          <w:szCs w:val="18"/>
          <w:b w:val="1"/>
          <w:bCs w:val="1"/>
          <w:color w:val="auto"/>
        </w:rPr>
        <w:t>NOTE 24. SAVINGS AND INVESTMENT PLAN AND DEFERRED COMPENSATION PLANS Savings and Investment Plan</w:t>
      </w:r>
    </w:p>
    <w:p>
      <w:pPr>
        <w:jc w:val="both"/>
        <w:ind w:firstLine="486"/>
        <w:spacing w:after="0" w:line="311" w:lineRule="auto"/>
        <w:rPr>
          <w:sz w:val="20"/>
          <w:szCs w:val="20"/>
          <w:color w:val="auto"/>
        </w:rPr>
      </w:pPr>
      <w:r>
        <w:rPr>
          <w:rFonts w:ascii="Arial" w:cs="Arial" w:eastAsia="Arial" w:hAnsi="Arial"/>
          <w:sz w:val="16"/>
          <w:szCs w:val="16"/>
          <w:color w:val="auto"/>
        </w:rPr>
        <w:t>The Company maintains a defined contribution Savings and Investment Plan (the Endo 401(k) Plan) covering all U.S.-based eligible employees. The Company matches 100% of the first 3% of eligible cash compensation that a participant contributes to the Endo 401(k) Plan plus 50% of the next 2% for a total of up to 4%, subject to statutory limitations. The Company’s matching contributions generally vest ratably over a two-year period.</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Costs incurred for contributions made by the Company to the Endo 401(k) Plan amounted to $6.5 million, $7.6 million and $7.6 million for the years ended December 31, 2022, 2021 and 2020,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20"/>
          </w:cols>
          <w:pgMar w:left="320" w:top="118" w:right="3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SUBSIDIARIES OF THE REGISTRANT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subsidiaries of the Company as of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70 Maple Avenue, LLC</w:t>
            </w:r>
          </w:p>
        </w:tc>
        <w:tc>
          <w:tcPr>
            <w:tcW w:w="12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Delaware</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97"/>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Actient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Actient Therapeutics,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Anchen Incorporated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Anchen Pharmaceuticals,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Bermuda ULC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Ireland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Technologies</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Astora Women's Health,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International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Auxilium US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BioSpecifics Technologies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Bermuda Acquisition Management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Branded Operations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CPEC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DAVA International,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DAVA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Aesthetics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Bermuda Finance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Designated Activity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Eurofin Unlimited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IV Unlimited Company</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Finance Operations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Finco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Generics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Aesthetics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Biologics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Development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Global Ventures</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Health Solutions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Innovation Valera,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Ireland Finance II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Finance Company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Holding Company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Luxembourg International Financing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Management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Par Innovation Company,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Finance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Solutions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Pharmaceuticals Valera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Procurement Operations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TopFin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U.S.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US Holdings Luxembourg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Aesthetics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Bermuda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Bermuda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Endo Ventures Cyprus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Cyprus</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Endo Ventures Limited</w:t>
            </w:r>
          </w:p>
        </w:tc>
        <w:tc>
          <w:tcPr>
            <w:tcW w:w="12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Ireland</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97"/>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Bidco I,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(US)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(US),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Generics International Ventures Enterprises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Hawk Acquisition Ireland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Innoteq,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JHP Acquisition,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JHP Group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Kali Laboratories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Kali Laboratories,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Luxembourg Endo Specialty Pharmaceuticals Holding I S.a r.l.</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Luxembourg</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Moores Mill Properties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Paladin Labs Canadian Holding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Canada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Paladin Labs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Canada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Active Technologies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Biosciences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Formulations Private Limited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Laboratories Europe, Ltd.</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England and Wales</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2,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Companies,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Holdings,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Pharmaceutical, Inc.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Sterile Products,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Par,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Quartz Specialty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Slate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Timm Medical Holdings,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Vintage Pharmaceuticals, LLC</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Delaware</w:t>
            </w:r>
          </w:p>
        </w:tc>
        <w:tc>
          <w:tcPr>
            <w:tcW w:w="3160" w:type="dxa"/>
            <w:vAlign w:val="bottom"/>
          </w:tcPr>
          <w:p>
            <w:pPr>
              <w:ind w:left="20"/>
              <w:spacing w:after="0"/>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68"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24.1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of the undersigned, hereby constitutes and appoints each of Blaise Coleman, Mark T. Bradley, Matthew J. Maletta and Brian Morrissey to be his or her true and lawful attorneys-in-fact and agents, with full power of each to act alone, and to sign for the undersigned and in each of their respective names in any and all capacities stated below, this Annual Report on Form 10-K (and any amendments hereto) and to file the same, with exhibits hereto and thereto and other documents in connection herewith and therewith, with the Securities and Exchange Commission, hereby ratifying and confirming all that each of said attorneys-in-fact, or his or her substitute or substitutes, may do or cause to be done by virtue hereof.</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5"/>
                <w:szCs w:val="15"/>
                <w:b w:val="1"/>
                <w:bCs w:val="1"/>
                <w:color w:val="auto"/>
              </w:rPr>
              <w:t>Signature</w:t>
            </w:r>
          </w:p>
        </w:tc>
        <w:tc>
          <w:tcPr>
            <w:tcW w:w="702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spacing w:after="0"/>
              <w:rPr>
                <w:sz w:val="20"/>
                <w:szCs w:val="20"/>
                <w:color w:val="auto"/>
              </w:rPr>
            </w:pPr>
            <w:r>
              <w:rPr>
                <w:rFonts w:ascii="Arial" w:cs="Arial" w:eastAsia="Arial" w:hAnsi="Arial"/>
                <w:sz w:val="15"/>
                <w:szCs w:val="15"/>
                <w:b w:val="1"/>
                <w:bCs w:val="1"/>
                <w:color w:val="auto"/>
              </w:rPr>
              <w:t>Date</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Mark G. Barberio</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Chairman and 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Mark G. Barberio</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Jennifer M. Chao</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Jennifer M. Chao</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Shane M. Cooke</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Shane M. Cooke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Nancy J. Hutson, Ph.D.</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Nancy J. Hutson,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Michael Hyatt</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Michael Hyatt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William P. Montague</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William P. Montague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 Christine Smith, Ph.D.</w:t>
            </w:r>
          </w:p>
        </w:tc>
        <w:tc>
          <w:tcPr>
            <w:tcW w:w="70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900" w:type="dxa"/>
            <w:vAlign w:val="bottom"/>
            <w:gridSpan w:val="2"/>
          </w:tcPr>
          <w:p>
            <w:pPr>
              <w:spacing w:after="0"/>
              <w:rPr>
                <w:sz w:val="20"/>
                <w:szCs w:val="20"/>
                <w:color w:val="auto"/>
              </w:rPr>
            </w:pPr>
            <w:r>
              <w:rPr>
                <w:rFonts w:ascii="Arial" w:cs="Arial" w:eastAsia="Arial" w:hAnsi="Arial"/>
                <w:sz w:val="15"/>
                <w:szCs w:val="15"/>
                <w:color w:val="auto"/>
                <w:w w:val="91"/>
              </w:rPr>
              <w:t>March 3, 2023</w:t>
            </w: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5"/>
                <w:szCs w:val="15"/>
                <w:color w:val="auto"/>
              </w:rPr>
              <w:t>M. Christine Smith,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ectPr>
          <w:pgSz w:w="11900" w:h="16838" w:orient="portrait"/>
          <w:cols w:equalWidth="0" w:num="1">
            <w:col w:w="11240"/>
          </w:cols>
          <w:pgMar w:left="320" w:top="36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9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2023</w:t>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9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2023</w:t>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380" w:firstLine="398"/>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2022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line="189"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2023</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380" w:firstLine="398"/>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2022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 MARK T. BRADLEY</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89"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2023</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lvl w:ilvl="1">
      <w:lvlJc w:val="left"/>
      <w:lvlText w:val="☒"/>
      <w:numFmt w:val="bullet"/>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2"/>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lowerRoman"/>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9"/>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lowerRoman"/>
      <w:start w:val="2"/>
    </w:lvl>
  </w:abstractNum>
  <w:abstractNum w:abstractNumId="51">
    <w:nsid w:val="7BD3EE7B"/>
    <w:multiLevelType w:val="hybridMultilevel"/>
    <w:lvl w:ilvl="0">
      <w:lvlJc w:val="left"/>
      <w:lvlText w:val="(%1)"/>
      <w:numFmt w:val="lowerRoman"/>
      <w:start w:val="4"/>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2"/>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3"/>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28"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pn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89" Type="http://schemas.openxmlformats.org/officeDocument/2006/relationships/hyperlink" Target="http://www.sec.gov/Archives/edgar/data/1593034/000119312520271732/d87354dex21.htm" TargetMode="External"/><Relationship Id="rId90" Type="http://schemas.openxmlformats.org/officeDocument/2006/relationships/hyperlink" Target="http://www.sec.gov/Archives/edgar/data/1593034/000119312514077873/d684005dex31.htm" TargetMode="External"/><Relationship Id="rId91" Type="http://schemas.openxmlformats.org/officeDocument/2006/relationships/hyperlink" Target="http://www.sec.gov/Archives/edgar/data/1593034/000159303417000039/ex31memorandumandarticleso.htm" TargetMode="External"/><Relationship Id="rId92" Type="http://schemas.openxmlformats.org/officeDocument/2006/relationships/hyperlink" Target="http://www.sec.gov/Archives/edgar/data/1593034/000119312514077910/d683861dex43.htm" TargetMode="External"/><Relationship Id="rId93" Type="http://schemas.openxmlformats.org/officeDocument/2006/relationships/hyperlink" Target="http://www.sec.gov/Archives/edgar/data/1593034/000119312515021954/d860452dex101.htm" TargetMode="External"/><Relationship Id="rId94" Type="http://schemas.openxmlformats.org/officeDocument/2006/relationships/hyperlink" Target="http://www.sec.gov/Archives/edgar/data/1593034/000159303416000051/ex415supplementalindenture.htm" TargetMode="External"/><Relationship Id="rId97" Type="http://schemas.openxmlformats.org/officeDocument/2006/relationships/hyperlink" Target="http://www.sec.gov/Archives/edgar/data/1593034/000119312520170531/d941026dex49.htm" TargetMode="External"/><Relationship Id="rId98" Type="http://schemas.openxmlformats.org/officeDocument/2006/relationships/hyperlink" Target="http://www.sec.gov/Archives/edgar/data/1593034/000119312515021954/d860452dex103.htm" TargetMode="External"/><Relationship Id="rId99" Type="http://schemas.openxmlformats.org/officeDocument/2006/relationships/hyperlink" Target="http://www.sec.gov/Archives/edgar/data/1593034/000119312515249120/d51143dex101.htm" TargetMode="External"/><Relationship Id="rId100" Type="http://schemas.openxmlformats.org/officeDocument/2006/relationships/hyperlink" Target="http://www.sec.gov/Archives/edgar/data/1593034/000119312520170531/d941026dex48.htm" TargetMode="External"/><Relationship Id="rId101" Type="http://schemas.openxmlformats.org/officeDocument/2006/relationships/hyperlink" Target="http://www.sec.gov/Archives/edgar/data/1593034/000119312519090665/d694160dex41.htm" TargetMode="External"/><Relationship Id="rId102" Type="http://schemas.openxmlformats.org/officeDocument/2006/relationships/hyperlink" Target="http://www.sec.gov/Archives/edgar/data/1593034/000119312520170531/d941026dex42.htm" TargetMode="External"/><Relationship Id="rId103" Type="http://schemas.openxmlformats.org/officeDocument/2006/relationships/hyperlink" Target="http://www.sec.gov/Archives/edgar/data/1593034/000119312520170531/d941026dex44.htm" TargetMode="External"/><Relationship Id="rId104" Type="http://schemas.openxmlformats.org/officeDocument/2006/relationships/hyperlink" Target="http://www.sec.gov/Archives/edgar/data/1593034/000119312520170531/d941026dex46.htm" TargetMode="External"/><Relationship Id="rId105" Type="http://schemas.openxmlformats.org/officeDocument/2006/relationships/hyperlink" Target="http://www.sec.gov/Archives/edgar/data/1593034/000119312521094652/d120772dex41.htm" TargetMode="External"/><Relationship Id="rId106" Type="http://schemas.openxmlformats.org/officeDocument/2006/relationships/hyperlink" Target="http://www.sec.gov/Archives/edgar/data/1593034/000159303418000030/ex106execdefferedcomppan.htm" TargetMode="External"/><Relationship Id="rId107" Type="http://schemas.openxmlformats.org/officeDocument/2006/relationships/hyperlink" Target="http://www.sec.gov/Archives/edgar/data/1100962/000110096213000014/ex1012-401krestoration.htm" TargetMode="External"/><Relationship Id="rId110" Type="http://schemas.openxmlformats.org/officeDocument/2006/relationships/hyperlink" Target="http://www.sec.gov/Archives/edgar/data/1100962/000110096213000014/ex1013-directorsdeferredco.htm" TargetMode="External"/><Relationship Id="rId111" Type="http://schemas.openxmlformats.org/officeDocument/2006/relationships/hyperlink" Target="http://www.sec.gov/Archives/edgar/data/1593034/000119312514077910/d683861dex49.htm" TargetMode="External"/><Relationship Id="rId112" Type="http://schemas.openxmlformats.org/officeDocument/2006/relationships/hyperlink" Target="http://www.sec.gov/Archives/edgar/data/1593034/000119312521094652/d120772dex101.htm" TargetMode="External"/><Relationship Id="rId113" Type="http://schemas.openxmlformats.org/officeDocument/2006/relationships/hyperlink" Target="http://www.sec.gov/Archives/edgar/data/1593034/000119312520170531/d941026dex101.htm" TargetMode="External"/><Relationship Id="rId114" Type="http://schemas.openxmlformats.org/officeDocument/2006/relationships/hyperlink" Target="http://www.sec.gov/Archives/edgar/data/1593034/000119312520170531/d941026dex102.htm" TargetMode="External"/><Relationship Id="rId115" Type="http://schemas.openxmlformats.org/officeDocument/2006/relationships/hyperlink" Target="http://www.sec.gov/Archives/edgar/data/1593034/000119312520170531/d941026dex103.htm" TargetMode="External"/><Relationship Id="rId116" Type="http://schemas.openxmlformats.org/officeDocument/2006/relationships/hyperlink" Target="http://www.sec.gov/Archives/edgar/data/1182129/000119312508171314/dex101.htm" TargetMode="External"/><Relationship Id="rId117" Type="http://schemas.openxmlformats.org/officeDocument/2006/relationships/hyperlink" Target="http://www.sec.gov/Archives/edgar/data/1593034/000159303420000049/a20200611ex101stockinc.htm" TargetMode="External"/><Relationship Id="rId118" Type="http://schemas.openxmlformats.org/officeDocument/2006/relationships/hyperlink" Target="http://www.sec.gov/Archives/edgar/data/1593034/000159303418000036/ex101formofstockoptionawar.htm" TargetMode="External"/><Relationship Id="rId119" Type="http://schemas.openxmlformats.org/officeDocument/2006/relationships/hyperlink" Target="http://www.sec.gov/Archives/edgar/data/1593034/000159303421000063/a20210331ex102-rsu.htm" TargetMode="External"/><Relationship Id="rId120" Type="http://schemas.openxmlformats.org/officeDocument/2006/relationships/hyperlink" Target="http://www.sec.gov/Archives/edgar/data/1593034/000159303421000063/a20210331ex103-psu.htm" TargetMode="External"/><Relationship Id="rId121" Type="http://schemas.openxmlformats.org/officeDocument/2006/relationships/hyperlink" Target="http://www.sec.gov/Archives/edgar/data/1593034/000159303421000063/a20210331ex104-ltc.htm" TargetMode="External"/><Relationship Id="rId122" Type="http://schemas.openxmlformats.org/officeDocument/2006/relationships/hyperlink" Target="http://www.sec.gov/Archives/edgar/data/1593034/000159303418000030/ex105formoflong-termcashin.htm" TargetMode="External"/><Relationship Id="rId123" Type="http://schemas.openxmlformats.org/officeDocument/2006/relationships/hyperlink" Target="http://www.sec.gov/Archives/edgar/data/1593034/000159303416000051/ex1032finalindemnification.htm" TargetMode="External"/><Relationship Id="rId124" Type="http://schemas.openxmlformats.org/officeDocument/2006/relationships/hyperlink" Target="http://www.sec.gov/Archives/edgar/data/1593034/000159303416000056/ex1035endointernationalplc.htm" TargetMode="External"/><Relationship Id="rId125" Type="http://schemas.openxmlformats.org/officeDocument/2006/relationships/hyperlink" Target="http://www.sec.gov/Archives/edgar/data/1593034/000159303420000019/a10181ceoagreement.htm" TargetMode="External"/><Relationship Id="rId126" Type="http://schemas.openxmlformats.org/officeDocument/2006/relationships/hyperlink" Target="http://www.sec.gov/Archives/edgar/data/1593034/000159303420000047/ex103pbemploymentagree.htm" TargetMode="External"/><Relationship Id="rId127" Type="http://schemas.openxmlformats.org/officeDocument/2006/relationships/hyperlink" Target="http://www.sec.gov/Archives/edgar/data/1593034/000159303420000019/a1019cfoagreement.htm" TargetMode="External"/><Relationship Id="rId129" Type="http://schemas.openxmlformats.org/officeDocument/2006/relationships/hyperlink" Target="http://www.sec.gov/Archives/edgar/data/1593034/000159303420000090/ex102-malettaemploymen.htm" TargetMode="External"/><Relationship Id="rId130" Type="http://schemas.openxmlformats.org/officeDocument/2006/relationships/hyperlink" Target="http://www.sec.gov/Archives/edgar/data/1593034/000159303422000064/a20220930ex106colemaneaame.htm" TargetMode="External"/><Relationship Id="rId131" Type="http://schemas.openxmlformats.org/officeDocument/2006/relationships/hyperlink" Target="http://www.sec.gov/Archives/edgar/data/1593034/000159303422000064/a20220930ex107barryeaamend.htm" TargetMode="External"/><Relationship Id="rId132" Type="http://schemas.openxmlformats.org/officeDocument/2006/relationships/hyperlink" Target="http://www.sec.gov/Archives/edgar/data/1593034/000159303422000064/a20220930ex108bradleyeaame.htm" TargetMode="External"/><Relationship Id="rId133" Type="http://schemas.openxmlformats.org/officeDocument/2006/relationships/hyperlink" Target="http://www.sec.gov/Archives/edgar/data/1593034/000159303422000064/a20220930ex109malettaeaame.htm" TargetMode="External"/><Relationship Id="rId134" Type="http://schemas.openxmlformats.org/officeDocument/2006/relationships/hyperlink" Target="http://www.sec.gov/Archives/edgar/data/1593034/000159303422000012/a20211231ex1022colemanrete.htm" TargetMode="External"/><Relationship Id="rId135" Type="http://schemas.openxmlformats.org/officeDocument/2006/relationships/hyperlink" Target="http://www.sec.gov/Archives/edgar/data/1593034/000159303422000012/a20211231ex1023bradleyrete.htm" TargetMode="External"/><Relationship Id="rId136" Type="http://schemas.openxmlformats.org/officeDocument/2006/relationships/hyperlink" Target="http://www.sec.gov/Archives/edgar/data/1593034/000159303422000012/a20211231ex1024malettarete.htm" TargetMode="External"/><Relationship Id="rId137" Type="http://schemas.openxmlformats.org/officeDocument/2006/relationships/hyperlink" Target="http://www.sec.gov/Archives/edgar/data/1593034/000159303422000012/a20211231ex1025barryretent.htm" TargetMode="External"/><Relationship Id="rId138" Type="http://schemas.openxmlformats.org/officeDocument/2006/relationships/hyperlink" Target="http://www.sec.gov/Archives/edgar/data/1593034/000159303422000064/a20220930ex102colemanreten.htm" TargetMode="External"/><Relationship Id="rId139" Type="http://schemas.openxmlformats.org/officeDocument/2006/relationships/hyperlink" Target="http://www.sec.gov/Archives/edgar/data/1593034/000159303422000064/a20220930ex103bradleyreten.htm" TargetMode="External"/><Relationship Id="rId140" Type="http://schemas.openxmlformats.org/officeDocument/2006/relationships/hyperlink" Target="http://www.sec.gov/Archives/edgar/data/1593034/000159303422000064/a20220930ex104malettareten.htm" TargetMode="External"/><Relationship Id="rId141" Type="http://schemas.openxmlformats.org/officeDocument/2006/relationships/hyperlink" Target="http://www.sec.gov/Archives/edgar/data/1593034/000159303422000064/a20220930ex105barryretenti.htm" TargetMode="External"/><Relationship Id="rId142" Type="http://schemas.openxmlformats.org/officeDocument/2006/relationships/hyperlink" Target="http://www.sec.gov/Archives/edgar/data/1593034/000119312522222687/d3941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2023-03-06T15:40:12Z</dcterms:created>
  <dcterms:modified xsi:type="dcterms:W3CDTF">2023-03-06T15:40:12Z</dcterms:modified>
</cp:coreProperties>
</file>