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1" w:lineRule="exact"/>
        <w:rPr>
          <w:sz w:val="24"/>
          <w:szCs w:val="24"/>
          <w:color w:val="auto"/>
        </w:rPr>
      </w:pPr>
    </w:p>
    <w:p>
      <w:pPr>
        <w:ind w:left="442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jc w:val="center"/>
        <w:ind w:left="580" w:right="880"/>
        <w:spacing w:after="0" w:line="215"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10580" w:type="dxa"/>
            <w:vAlign w:val="bottom"/>
            <w:gridSpan w:val="2"/>
          </w:tcPr>
          <w:p>
            <w:pPr>
              <w:ind w:left="1160"/>
              <w:spacing w:after="0" w:line="219" w:lineRule="exact"/>
              <w:rPr>
                <w:sz w:val="20"/>
                <w:szCs w:val="20"/>
                <w:color w:val="auto"/>
              </w:rPr>
            </w:pPr>
            <w:r>
              <w:rPr>
                <w:rFonts w:ascii="MS PGothic" w:cs="MS PGothic" w:eastAsia="MS PGothic" w:hAnsi="MS PGothic"/>
                <w:sz w:val="19"/>
                <w:szCs w:val="19"/>
                <w:color w:val="auto"/>
                <w:w w:val="99"/>
              </w:rPr>
              <w:t>☐</w:t>
            </w:r>
            <w:r>
              <w:rPr>
                <w:rFonts w:ascii="Arial" w:cs="Arial" w:eastAsia="Arial" w:hAnsi="Arial"/>
                <w:sz w:val="18"/>
                <w:szCs w:val="18"/>
                <w:b w:val="1"/>
                <w:bCs w:val="1"/>
                <w:color w:val="auto"/>
                <w:w w:val="99"/>
              </w:rPr>
              <w:t>TRANSITION REPORT PURSUANT TO SECTION 13 OR 15(d) OF THE SECURITIES EXCHANGE ACT OF 1934</w:t>
            </w: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3460"/>
              <w:spacing w:after="0"/>
              <w:rPr>
                <w:sz w:val="20"/>
                <w:szCs w:val="20"/>
                <w:color w:val="auto"/>
              </w:rPr>
            </w:pPr>
            <w:r>
              <w:rPr>
                <w:rFonts w:ascii="Arial" w:cs="Arial" w:eastAsia="Arial" w:hAnsi="Arial"/>
                <w:sz w:val="18"/>
                <w:szCs w:val="18"/>
                <w:b w:val="1"/>
                <w:bCs w:val="1"/>
                <w:color w:val="auto"/>
              </w:rPr>
              <w:t>FOR THE TRANSITION PERIOD FROM</w:t>
            </w:r>
          </w:p>
        </w:tc>
        <w:tc>
          <w:tcPr>
            <w:tcW w:w="3140" w:type="dxa"/>
            <w:vAlign w:val="bottom"/>
          </w:tcPr>
          <w:p>
            <w:pPr>
              <w:jc w:val="right"/>
              <w:ind w:right="2284"/>
              <w:spacing w:after="0"/>
              <w:rPr>
                <w:sz w:val="20"/>
                <w:szCs w:val="20"/>
                <w:color w:val="auto"/>
              </w:rPr>
            </w:pPr>
            <w:r>
              <w:rPr>
                <w:rFonts w:ascii="Arial" w:cs="Arial" w:eastAsia="Arial" w:hAnsi="Arial"/>
                <w:sz w:val="18"/>
                <w:szCs w:val="18"/>
                <w:b w:val="1"/>
                <w:bCs w:val="1"/>
                <w:color w:val="auto"/>
              </w:rPr>
              <w:t>TO</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440" w:type="dxa"/>
            <w:vAlign w:val="bottom"/>
          </w:tcPr>
          <w:p>
            <w:pPr>
              <w:jc w:val="center"/>
              <w:ind w:left="3820"/>
              <w:spacing w:after="0"/>
              <w:rPr>
                <w:sz w:val="20"/>
                <w:szCs w:val="20"/>
                <w:color w:val="auto"/>
              </w:rPr>
            </w:pPr>
            <w:r>
              <w:rPr>
                <w:rFonts w:ascii="Arial" w:cs="Arial" w:eastAsia="Arial" w:hAnsi="Arial"/>
                <w:sz w:val="20"/>
                <w:szCs w:val="20"/>
                <w:b w:val="1"/>
                <w:bCs w:val="1"/>
                <w:color w:val="auto"/>
                <w:w w:val="89"/>
              </w:rPr>
              <w:t>Commission File Number: 001-36326</w:t>
            </w:r>
          </w:p>
        </w:tc>
        <w:tc>
          <w:tcPr>
            <w:tcW w:w="3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7440" w:type="dxa"/>
            <w:vAlign w:val="bottom"/>
          </w:tcPr>
          <w:p>
            <w:pPr>
              <w:jc w:val="center"/>
              <w:ind w:left="3840"/>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3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7440" w:type="dxa"/>
            <w:vAlign w:val="bottom"/>
          </w:tcPr>
          <w:p>
            <w:pPr>
              <w:jc w:val="center"/>
              <w:ind w:left="3840"/>
              <w:spacing w:after="0"/>
              <w:rPr>
                <w:sz w:val="20"/>
                <w:szCs w:val="20"/>
                <w:color w:val="auto"/>
              </w:rPr>
            </w:pPr>
            <w:r>
              <w:rPr>
                <w:rFonts w:ascii="Arial" w:cs="Arial" w:eastAsia="Arial" w:hAnsi="Arial"/>
                <w:sz w:val="29"/>
                <w:szCs w:val="29"/>
                <w:b w:val="1"/>
                <w:bCs w:val="1"/>
                <w:color w:val="auto"/>
                <w:w w:val="91"/>
              </w:rPr>
              <w:t>Endo International plc</w:t>
            </w:r>
          </w:p>
        </w:tc>
        <w:tc>
          <w:tcPr>
            <w:tcW w:w="3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580" w:type="dxa"/>
            <w:vAlign w:val="bottom"/>
            <w:gridSpan w:val="2"/>
          </w:tcPr>
          <w:p>
            <w:pPr>
              <w:jc w:val="center"/>
              <w:ind w:left="68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7440" w:type="dxa"/>
            <w:vAlign w:val="bottom"/>
          </w:tcPr>
          <w:p>
            <w:pPr>
              <w:jc w:val="center"/>
              <w:ind w:left="3840"/>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3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7440" w:type="dxa"/>
            <w:vAlign w:val="bottom"/>
          </w:tcPr>
          <w:p>
            <w:pPr>
              <w:jc w:val="center"/>
              <w:ind w:right="1420"/>
              <w:spacing w:after="0"/>
              <w:rPr>
                <w:sz w:val="20"/>
                <w:szCs w:val="20"/>
                <w:color w:val="auto"/>
              </w:rPr>
            </w:pPr>
            <w:r>
              <w:rPr>
                <w:rFonts w:ascii="Arial" w:cs="Arial" w:eastAsia="Arial" w:hAnsi="Arial"/>
                <w:sz w:val="14"/>
                <w:szCs w:val="14"/>
                <w:b w:val="1"/>
                <w:bCs w:val="1"/>
                <w:color w:val="auto"/>
              </w:rPr>
              <w:t>Ireland</w:t>
            </w:r>
          </w:p>
        </w:tc>
        <w:tc>
          <w:tcPr>
            <w:tcW w:w="3140" w:type="dxa"/>
            <w:vAlign w:val="bottom"/>
          </w:tcPr>
          <w:p>
            <w:pPr>
              <w:jc w:val="right"/>
              <w:ind w:right="1504"/>
              <w:spacing w:after="0"/>
              <w:rPr>
                <w:sz w:val="20"/>
                <w:szCs w:val="20"/>
                <w:color w:val="auto"/>
              </w:rPr>
            </w:pPr>
            <w:r>
              <w:rPr>
                <w:rFonts w:ascii="Arial" w:cs="Arial" w:eastAsia="Arial" w:hAnsi="Arial"/>
                <w:sz w:val="14"/>
                <w:szCs w:val="14"/>
                <w:b w:val="1"/>
                <w:bCs w:val="1"/>
                <w:color w:val="auto"/>
              </w:rPr>
              <w:t>68-0683755</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jc w:val="center"/>
              <w:ind w:right="144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140" w:type="dxa"/>
            <w:vAlign w:val="bottom"/>
          </w:tcPr>
          <w:p>
            <w:pPr>
              <w:jc w:val="center"/>
              <w:ind w:right="604"/>
              <w:spacing w:after="0"/>
              <w:rPr>
                <w:sz w:val="20"/>
                <w:szCs w:val="20"/>
                <w:color w:val="auto"/>
              </w:rPr>
            </w:pPr>
            <w:r>
              <w:rPr>
                <w:rFonts w:ascii="Arial" w:cs="Arial" w:eastAsia="Arial" w:hAnsi="Arial"/>
                <w:sz w:val="14"/>
                <w:szCs w:val="14"/>
                <w:color w:val="auto"/>
                <w:w w:val="97"/>
              </w:rPr>
              <w:t>(I.R.S. Employer Identification No.)</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440" w:type="dxa"/>
            <w:vAlign w:val="bottom"/>
          </w:tcPr>
          <w:p>
            <w:pPr>
              <w:jc w:val="center"/>
              <w:ind w:right="1440"/>
              <w:spacing w:after="0"/>
              <w:rPr>
                <w:sz w:val="20"/>
                <w:szCs w:val="20"/>
                <w:color w:val="auto"/>
              </w:rPr>
            </w:pPr>
            <w:r>
              <w:rPr>
                <w:rFonts w:ascii="Arial" w:cs="Arial" w:eastAsia="Arial" w:hAnsi="Arial"/>
                <w:sz w:val="14"/>
                <w:szCs w:val="14"/>
                <w:b w:val="1"/>
                <w:bCs w:val="1"/>
                <w:color w:val="auto"/>
                <w:w w:val="93"/>
              </w:rPr>
              <w:t>First Floor, Minerva House, Simmonscourt Road</w:t>
            </w:r>
          </w:p>
        </w:tc>
        <w:tc>
          <w:tcPr>
            <w:tcW w:w="3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560"/>
              <w:spacing w:after="0"/>
              <w:rPr>
                <w:sz w:val="20"/>
                <w:szCs w:val="20"/>
                <w:color w:val="auto"/>
              </w:rPr>
            </w:pPr>
            <w:r>
              <w:rPr>
                <w:rFonts w:ascii="Arial" w:cs="Arial" w:eastAsia="Arial" w:hAnsi="Arial"/>
                <w:sz w:val="14"/>
                <w:szCs w:val="14"/>
                <w:b w:val="1"/>
                <w:bCs w:val="1"/>
                <w:color w:val="auto"/>
              </w:rPr>
              <w:t>Ballsbridge, Dublin 4,  Ireland</w:t>
            </w:r>
          </w:p>
        </w:tc>
        <w:tc>
          <w:tcPr>
            <w:tcW w:w="3140" w:type="dxa"/>
            <w:vAlign w:val="bottom"/>
          </w:tcPr>
          <w:p>
            <w:pPr>
              <w:jc w:val="center"/>
              <w:ind w:right="584"/>
              <w:spacing w:after="0"/>
              <w:rPr>
                <w:sz w:val="20"/>
                <w:szCs w:val="20"/>
                <w:color w:val="auto"/>
              </w:rPr>
            </w:pPr>
            <w:r>
              <w:rPr>
                <w:rFonts w:ascii="Arial" w:cs="Arial" w:eastAsia="Arial" w:hAnsi="Arial"/>
                <w:sz w:val="14"/>
                <w:szCs w:val="14"/>
                <w:b w:val="1"/>
                <w:bCs w:val="1"/>
                <w:color w:val="auto"/>
                <w:w w:val="93"/>
              </w:rPr>
              <w:t>Not Applicable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jc w:val="center"/>
              <w:ind w:right="1420"/>
              <w:spacing w:after="0"/>
              <w:rPr>
                <w:sz w:val="20"/>
                <w:szCs w:val="20"/>
                <w:color w:val="auto"/>
              </w:rPr>
            </w:pPr>
            <w:r>
              <w:rPr>
                <w:rFonts w:ascii="Arial" w:cs="Arial" w:eastAsia="Arial" w:hAnsi="Arial"/>
                <w:sz w:val="14"/>
                <w:szCs w:val="14"/>
                <w:color w:val="auto"/>
                <w:w w:val="95"/>
              </w:rPr>
              <w:t>(Address of Principal Executive Offices)</w:t>
            </w:r>
          </w:p>
        </w:tc>
        <w:tc>
          <w:tcPr>
            <w:tcW w:w="3140" w:type="dxa"/>
            <w:vAlign w:val="bottom"/>
          </w:tcPr>
          <w:p>
            <w:pPr>
              <w:jc w:val="center"/>
              <w:ind w:right="604"/>
              <w:spacing w:after="0"/>
              <w:rPr>
                <w:sz w:val="20"/>
                <w:szCs w:val="20"/>
                <w:color w:val="auto"/>
              </w:rPr>
            </w:pPr>
            <w:r>
              <w:rPr>
                <w:rFonts w:ascii="Arial" w:cs="Arial" w:eastAsia="Arial" w:hAnsi="Arial"/>
                <w:sz w:val="14"/>
                <w:szCs w:val="14"/>
                <w:color w:val="auto"/>
                <w:w w:val="93"/>
              </w:rPr>
              <w:t>(Zip Code)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7440" w:type="dxa"/>
            <w:vAlign w:val="bottom"/>
          </w:tcPr>
          <w:p>
            <w:pPr>
              <w:jc w:val="center"/>
              <w:ind w:left="3820"/>
              <w:spacing w:after="0"/>
              <w:rPr>
                <w:sz w:val="20"/>
                <w:szCs w:val="20"/>
                <w:color w:val="auto"/>
              </w:rPr>
            </w:pPr>
            <w:r>
              <w:rPr>
                <w:rFonts w:ascii="Arial" w:cs="Arial" w:eastAsia="Arial" w:hAnsi="Arial"/>
                <w:sz w:val="18"/>
                <w:szCs w:val="18"/>
                <w:b w:val="1"/>
                <w:bCs w:val="1"/>
                <w:color w:val="auto"/>
                <w:w w:val="91"/>
              </w:rPr>
              <w:t>011-353-1-268-2000</w:t>
            </w:r>
          </w:p>
        </w:tc>
        <w:tc>
          <w:tcPr>
            <w:tcW w:w="3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440" w:type="dxa"/>
            <w:vAlign w:val="bottom"/>
          </w:tcPr>
          <w:p>
            <w:pPr>
              <w:jc w:val="center"/>
              <w:ind w:left="3840"/>
              <w:spacing w:after="0"/>
              <w:rPr>
                <w:sz w:val="20"/>
                <w:szCs w:val="20"/>
                <w:color w:val="auto"/>
              </w:rPr>
            </w:pPr>
            <w:r>
              <w:rPr>
                <w:rFonts w:ascii="Arial" w:cs="Arial" w:eastAsia="Arial" w:hAnsi="Arial"/>
                <w:sz w:val="14"/>
                <w:szCs w:val="14"/>
                <w:color w:val="auto"/>
                <w:w w:val="92"/>
              </w:rPr>
              <w:t>(Registrant’s telephone number, including area code)</w:t>
            </w:r>
          </w:p>
        </w:tc>
        <w:tc>
          <w:tcPr>
            <w:tcW w:w="3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0580" w:type="dxa"/>
            <w:vAlign w:val="bottom"/>
            <w:gridSpan w:val="2"/>
          </w:tcPr>
          <w:p>
            <w:pPr>
              <w:spacing w:after="0"/>
              <w:rPr>
                <w:sz w:val="20"/>
                <w:szCs w:val="20"/>
                <w:color w:val="auto"/>
              </w:rPr>
            </w:pPr>
            <w:r>
              <w:rPr>
                <w:rFonts w:ascii="Arial" w:cs="Arial" w:eastAsia="Arial" w:hAnsi="Arial"/>
                <w:sz w:val="17"/>
                <w:szCs w:val="17"/>
                <w:color w:val="auto"/>
                <w:w w:val="97"/>
              </w:rPr>
              <w:t>Indicate by check mark whether the registrant (1) has filed all reports required to be filed by Section 13 or 15(d) of the Securities Exchange Act of</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Yes</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3"/>
        </w:trPr>
        <w:tc>
          <w:tcPr>
            <w:tcW w:w="10580" w:type="dxa"/>
            <w:vAlign w:val="bottom"/>
            <w:gridSpan w:val="2"/>
          </w:tcPr>
          <w:p>
            <w:pPr>
              <w:spacing w:after="0"/>
              <w:rPr>
                <w:sz w:val="20"/>
                <w:szCs w:val="20"/>
                <w:color w:val="auto"/>
              </w:rPr>
            </w:pPr>
            <w:r>
              <w:rPr>
                <w:rFonts w:ascii="Arial" w:cs="Arial" w:eastAsia="Arial" w:hAnsi="Arial"/>
                <w:sz w:val="17"/>
                <w:szCs w:val="17"/>
                <w:color w:val="auto"/>
                <w:w w:val="93"/>
              </w:rPr>
              <w:t>1934 during the preceding 12 months (or for such shorter period that the registrant was required to file such reports), and (2) has been subject to such</w:t>
            </w:r>
          </w:p>
        </w:tc>
        <w:tc>
          <w:tcPr>
            <w:tcW w:w="460" w:type="dxa"/>
            <w:vAlign w:val="bottom"/>
            <w:vMerge w:val="restart"/>
          </w:tcPr>
          <w:p>
            <w:pPr>
              <w:jc w:val="right"/>
              <w:ind w:right="55"/>
              <w:spacing w:after="0"/>
              <w:rPr>
                <w:sz w:val="20"/>
                <w:szCs w:val="20"/>
                <w:color w:val="auto"/>
              </w:rPr>
            </w:pPr>
            <w:r>
              <w:rPr>
                <w:rFonts w:ascii="Arial" w:cs="Arial" w:eastAsia="Arial" w:hAnsi="Arial"/>
                <w:sz w:val="17"/>
                <w:szCs w:val="17"/>
                <w:color w:val="auto"/>
              </w:rPr>
              <w:t>No</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6"/>
        </w:trPr>
        <w:tc>
          <w:tcPr>
            <w:tcW w:w="7440" w:type="dxa"/>
            <w:vAlign w:val="bottom"/>
          </w:tcPr>
          <w:p>
            <w:pPr>
              <w:spacing w:after="0"/>
              <w:rPr>
                <w:sz w:val="20"/>
                <w:szCs w:val="20"/>
                <w:color w:val="auto"/>
              </w:rPr>
            </w:pPr>
            <w:r>
              <w:rPr>
                <w:rFonts w:ascii="Arial" w:cs="Arial" w:eastAsia="Arial" w:hAnsi="Arial"/>
                <w:sz w:val="17"/>
                <w:szCs w:val="17"/>
                <w:color w:val="auto"/>
              </w:rPr>
              <w:t>filing requirements for the past 90 days.</w:t>
            </w:r>
          </w:p>
        </w:tc>
        <w:tc>
          <w:tcPr>
            <w:tcW w:w="314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10580" w:type="dxa"/>
            <w:vAlign w:val="bottom"/>
            <w:gridSpan w:val="2"/>
          </w:tcPr>
          <w:p>
            <w:pPr>
              <w:spacing w:after="0"/>
              <w:rPr>
                <w:sz w:val="20"/>
                <w:szCs w:val="20"/>
                <w:color w:val="auto"/>
              </w:rPr>
            </w:pPr>
            <w:r>
              <w:rPr>
                <w:rFonts w:ascii="Arial" w:cs="Arial" w:eastAsia="Arial" w:hAnsi="Arial"/>
                <w:sz w:val="17"/>
                <w:szCs w:val="17"/>
                <w:color w:val="auto"/>
                <w:w w:val="93"/>
              </w:rPr>
              <w:t>Indicate by check mark whether the registrant has submitted electronically every Interactive Data File required to be submitted and posted pursuant to</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Yes</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3"/>
        </w:trPr>
        <w:tc>
          <w:tcPr>
            <w:tcW w:w="10580" w:type="dxa"/>
            <w:vAlign w:val="bottom"/>
            <w:gridSpan w:val="2"/>
          </w:tcPr>
          <w:p>
            <w:pPr>
              <w:spacing w:after="0"/>
              <w:rPr>
                <w:sz w:val="20"/>
                <w:szCs w:val="20"/>
                <w:color w:val="auto"/>
              </w:rPr>
            </w:pPr>
            <w:r>
              <w:rPr>
                <w:rFonts w:ascii="Arial" w:cs="Arial" w:eastAsia="Arial" w:hAnsi="Arial"/>
                <w:sz w:val="17"/>
                <w:szCs w:val="17"/>
                <w:color w:val="auto"/>
                <w:w w:val="95"/>
              </w:rPr>
              <w:t>Rule 405 of Regulation S-T (§232.405 of this chapter) during the preceding 12 months (or for such shorter period that the registrant was required to</w:t>
            </w:r>
          </w:p>
        </w:tc>
        <w:tc>
          <w:tcPr>
            <w:tcW w:w="460" w:type="dxa"/>
            <w:vAlign w:val="bottom"/>
            <w:vMerge w:val="restart"/>
          </w:tcPr>
          <w:p>
            <w:pPr>
              <w:jc w:val="right"/>
              <w:ind w:right="55"/>
              <w:spacing w:after="0"/>
              <w:rPr>
                <w:sz w:val="20"/>
                <w:szCs w:val="20"/>
                <w:color w:val="auto"/>
              </w:rPr>
            </w:pPr>
            <w:r>
              <w:rPr>
                <w:rFonts w:ascii="Arial" w:cs="Arial" w:eastAsia="Arial" w:hAnsi="Arial"/>
                <w:sz w:val="17"/>
                <w:szCs w:val="17"/>
                <w:color w:val="auto"/>
              </w:rPr>
              <w:t>No</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6"/>
        </w:trPr>
        <w:tc>
          <w:tcPr>
            <w:tcW w:w="7440" w:type="dxa"/>
            <w:vAlign w:val="bottom"/>
          </w:tcPr>
          <w:p>
            <w:pPr>
              <w:spacing w:after="0"/>
              <w:rPr>
                <w:sz w:val="20"/>
                <w:szCs w:val="20"/>
                <w:color w:val="auto"/>
              </w:rPr>
            </w:pPr>
            <w:r>
              <w:rPr>
                <w:rFonts w:ascii="Arial" w:cs="Arial" w:eastAsia="Arial" w:hAnsi="Arial"/>
                <w:sz w:val="17"/>
                <w:szCs w:val="17"/>
                <w:color w:val="auto"/>
              </w:rPr>
              <w:t>submit such files).</w:t>
            </w:r>
          </w:p>
        </w:tc>
        <w:tc>
          <w:tcPr>
            <w:tcW w:w="314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63" w:lineRule="exact"/>
        <w:rPr>
          <w:sz w:val="24"/>
          <w:szCs w:val="24"/>
          <w:color w:val="auto"/>
        </w:rPr>
      </w:pPr>
    </w:p>
    <w:p>
      <w:pPr>
        <w:ind w:left="40" w:right="12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17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642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2880" w:type="dxa"/>
            <w:vAlign w:val="bottom"/>
          </w:tcPr>
          <w:p>
            <w:pPr>
              <w:ind w:left="420"/>
              <w:spacing w:after="0"/>
              <w:rPr>
                <w:sz w:val="20"/>
                <w:szCs w:val="20"/>
                <w:color w:val="auto"/>
              </w:rPr>
            </w:pPr>
            <w:r>
              <w:rPr>
                <w:rFonts w:ascii="Arial" w:cs="Arial" w:eastAsia="Arial" w:hAnsi="Arial"/>
                <w:sz w:val="17"/>
                <w:szCs w:val="17"/>
                <w:color w:val="auto"/>
              </w:rPr>
              <w:t>Accelerated filer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92"/>
        </w:trPr>
        <w:tc>
          <w:tcPr>
            <w:tcW w:w="1740" w:type="dxa"/>
            <w:vAlign w:val="bottom"/>
          </w:tcPr>
          <w:p>
            <w:pPr>
              <w:spacing w:after="0"/>
              <w:rPr>
                <w:sz w:val="20"/>
                <w:szCs w:val="20"/>
                <w:color w:val="auto"/>
              </w:rPr>
            </w:pPr>
            <w:r>
              <w:rPr>
                <w:rFonts w:ascii="Arial" w:cs="Arial" w:eastAsia="Arial" w:hAnsi="Arial"/>
                <w:sz w:val="17"/>
                <w:szCs w:val="17"/>
                <w:color w:val="auto"/>
              </w:rPr>
              <w:t>Non-accelerated filer</w:t>
            </w:r>
          </w:p>
        </w:tc>
        <w:tc>
          <w:tcPr>
            <w:tcW w:w="642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2880" w:type="dxa"/>
            <w:vAlign w:val="bottom"/>
          </w:tcPr>
          <w:p>
            <w:pPr>
              <w:ind w:left="420"/>
              <w:spacing w:after="0"/>
              <w:rPr>
                <w:sz w:val="20"/>
                <w:szCs w:val="20"/>
                <w:color w:val="auto"/>
              </w:rPr>
            </w:pPr>
            <w:r>
              <w:rPr>
                <w:rFonts w:ascii="Arial" w:cs="Arial" w:eastAsia="Arial" w:hAnsi="Arial"/>
                <w:sz w:val="17"/>
                <w:szCs w:val="17"/>
                <w:color w:val="auto"/>
              </w:rPr>
              <w:t>Smaller reporting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92"/>
        </w:trPr>
        <w:tc>
          <w:tcPr>
            <w:tcW w:w="17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880" w:type="dxa"/>
            <w:vAlign w:val="bottom"/>
          </w:tcPr>
          <w:p>
            <w:pPr>
              <w:ind w:left="420"/>
              <w:spacing w:after="0"/>
              <w:rPr>
                <w:sz w:val="20"/>
                <w:szCs w:val="20"/>
                <w:color w:val="auto"/>
              </w:rPr>
            </w:pPr>
            <w:r>
              <w:rPr>
                <w:rFonts w:ascii="Arial" w:cs="Arial" w:eastAsia="Arial" w:hAnsi="Arial"/>
                <w:sz w:val="17"/>
                <w:szCs w:val="17"/>
                <w:color w:val="auto"/>
              </w:rPr>
              <w:t>Emerging growth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44"/>
        </w:trPr>
        <w:tc>
          <w:tcPr>
            <w:tcW w:w="11040" w:type="dxa"/>
            <w:vAlign w:val="bottom"/>
            <w:gridSpan w:val="3"/>
          </w:tcPr>
          <w:p>
            <w:pPr>
              <w:spacing w:after="0"/>
              <w:rPr>
                <w:sz w:val="20"/>
                <w:szCs w:val="20"/>
                <w:color w:val="auto"/>
              </w:rPr>
            </w:pPr>
            <w:r>
              <w:rPr>
                <w:rFonts w:ascii="Arial" w:cs="Arial" w:eastAsia="Arial" w:hAnsi="Arial"/>
                <w:sz w:val="17"/>
                <w:szCs w:val="17"/>
                <w:color w:val="auto"/>
                <w:w w:val="94"/>
              </w:rPr>
              <w:t>If an emerging growth company, indicate by check mark if the registrant has elected not to use the extended transition period for complying with any new or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8160" w:type="dxa"/>
            <w:vAlign w:val="bottom"/>
            <w:gridSpan w:val="2"/>
          </w:tcPr>
          <w:p>
            <w:pPr>
              <w:spacing w:after="0"/>
              <w:rPr>
                <w:sz w:val="20"/>
                <w:szCs w:val="20"/>
                <w:color w:val="auto"/>
              </w:rPr>
            </w:pPr>
            <w:r>
              <w:rPr>
                <w:rFonts w:ascii="Arial" w:cs="Arial" w:eastAsia="Arial" w:hAnsi="Arial"/>
                <w:sz w:val="17"/>
                <w:szCs w:val="17"/>
                <w:color w:val="auto"/>
              </w:rPr>
              <w:t>revised financial accounting standards provided pursuant to Section 13(a) of the Exchange Act.</w:t>
            </w:r>
          </w:p>
        </w:tc>
        <w:tc>
          <w:tcPr>
            <w:tcW w:w="28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29"/>
        </w:trPr>
        <w:tc>
          <w:tcPr>
            <w:tcW w:w="8160" w:type="dxa"/>
            <w:vAlign w:val="bottom"/>
            <w:gridSpan w:val="2"/>
          </w:tcPr>
          <w:p>
            <w:pPr>
              <w:spacing w:after="0"/>
              <w:rPr>
                <w:sz w:val="20"/>
                <w:szCs w:val="20"/>
                <w:color w:val="auto"/>
              </w:rPr>
            </w:pPr>
            <w:r>
              <w:rPr>
                <w:rFonts w:ascii="Arial" w:cs="Arial" w:eastAsia="Arial" w:hAnsi="Arial"/>
                <w:sz w:val="17"/>
                <w:szCs w:val="17"/>
                <w:color w:val="auto"/>
                <w:w w:val="95"/>
              </w:rPr>
              <w:t>Indicate by check mark whether the registrant is a shell company (as defined in Rule 12b-2 of the Exchange Act).</w:t>
            </w:r>
          </w:p>
        </w:tc>
        <w:tc>
          <w:tcPr>
            <w:tcW w:w="2880" w:type="dxa"/>
            <w:vAlign w:val="bottom"/>
          </w:tcPr>
          <w:p>
            <w:pPr>
              <w:jc w:val="right"/>
              <w:ind w:right="55"/>
              <w:spacing w:after="0"/>
              <w:rPr>
                <w:sz w:val="20"/>
                <w:szCs w:val="20"/>
                <w:color w:val="auto"/>
              </w:rPr>
            </w:pPr>
            <w:r>
              <w:rPr>
                <w:rFonts w:ascii="Arial" w:cs="Arial" w:eastAsia="Arial" w:hAnsi="Arial"/>
                <w:sz w:val="17"/>
                <w:szCs w:val="17"/>
                <w:color w:val="auto"/>
              </w:rPr>
              <w:t>Yes</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88"/>
        </w:trPr>
        <w:tc>
          <w:tcPr>
            <w:tcW w:w="17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880" w:type="dxa"/>
            <w:vAlign w:val="bottom"/>
          </w:tcPr>
          <w:p>
            <w:pPr>
              <w:jc w:val="right"/>
              <w:ind w:right="55"/>
              <w:spacing w:after="0"/>
              <w:rPr>
                <w:sz w:val="20"/>
                <w:szCs w:val="20"/>
                <w:color w:val="auto"/>
              </w:rPr>
            </w:pPr>
            <w:r>
              <w:rPr>
                <w:rFonts w:ascii="Arial" w:cs="Arial" w:eastAsia="Arial" w:hAnsi="Arial"/>
                <w:sz w:val="17"/>
                <w:szCs w:val="17"/>
                <w:color w:val="auto"/>
              </w:rPr>
              <w:t>No</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6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Exchange Act:</w:t>
      </w:r>
    </w:p>
    <w:p>
      <w:pPr>
        <w:spacing w:after="0" w:line="167" w:lineRule="exact"/>
        <w:rPr>
          <w:sz w:val="24"/>
          <w:szCs w:val="24"/>
          <w:color w:val="auto"/>
        </w:rPr>
      </w:pPr>
    </w:p>
    <w:tbl>
      <w:tblPr>
        <w:tblLayout w:type="fixed"/>
        <w:tblInd w:w="600" w:type="dxa"/>
        <w:tblCellMar>
          <w:top w:w="0" w:type="dxa"/>
          <w:left w:w="0" w:type="dxa"/>
          <w:bottom w:w="0" w:type="dxa"/>
          <w:right w:w="0" w:type="dxa"/>
        </w:tblCellMar>
      </w:tblPr>
      <w:tr>
        <w:trPr>
          <w:trHeight w:val="195"/>
        </w:trPr>
        <w:tc>
          <w:tcPr>
            <w:tcW w:w="10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8"/>
              </w:rPr>
              <w:t>Title of each class</w:t>
            </w:r>
          </w:p>
        </w:tc>
        <w:tc>
          <w:tcPr>
            <w:tcW w:w="2060" w:type="dxa"/>
            <w:vAlign w:val="bottom"/>
          </w:tcPr>
          <w:p>
            <w:pPr>
              <w:spacing w:after="0"/>
              <w:rPr>
                <w:sz w:val="16"/>
                <w:szCs w:val="16"/>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7"/>
                <w:szCs w:val="17"/>
                <w:b w:val="1"/>
                <w:bCs w:val="1"/>
                <w:color w:val="auto"/>
                <w:w w:val="89"/>
              </w:rPr>
              <w:t>Trading symbol(s)</w:t>
            </w:r>
          </w:p>
        </w:tc>
        <w:tc>
          <w:tcPr>
            <w:tcW w:w="3740" w:type="dxa"/>
            <w:vAlign w:val="bottom"/>
            <w:gridSpan w:val="2"/>
          </w:tcPr>
          <w:p>
            <w:pPr>
              <w:jc w:val="center"/>
              <w:ind w:left="475"/>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3"/>
        </w:trPr>
        <w:tc>
          <w:tcPr>
            <w:tcW w:w="4420" w:type="dxa"/>
            <w:vAlign w:val="bottom"/>
            <w:gridSpan w:val="3"/>
          </w:tcPr>
          <w:p>
            <w:pPr>
              <w:jc w:val="center"/>
              <w:ind w:right="1000"/>
              <w:spacing w:after="0"/>
              <w:rPr>
                <w:sz w:val="20"/>
                <w:szCs w:val="20"/>
                <w:color w:val="auto"/>
              </w:rPr>
            </w:pPr>
            <w:r>
              <w:rPr>
                <w:rFonts w:ascii="Arial" w:cs="Arial" w:eastAsia="Arial" w:hAnsi="Arial"/>
                <w:sz w:val="17"/>
                <w:szCs w:val="17"/>
                <w:color w:val="auto"/>
                <w:w w:val="90"/>
              </w:rPr>
              <w:t>Ordinary shares, nominal value $0.0001 per share</w:t>
            </w:r>
          </w:p>
        </w:tc>
        <w:tc>
          <w:tcPr>
            <w:tcW w:w="1880" w:type="dxa"/>
            <w:vAlign w:val="bottom"/>
            <w:gridSpan w:val="2"/>
          </w:tcPr>
          <w:p>
            <w:pPr>
              <w:jc w:val="center"/>
              <w:ind w:right="560"/>
              <w:spacing w:after="0"/>
              <w:rPr>
                <w:sz w:val="20"/>
                <w:szCs w:val="20"/>
                <w:color w:val="auto"/>
              </w:rPr>
            </w:pPr>
            <w:r>
              <w:rPr>
                <w:rFonts w:ascii="Arial" w:cs="Arial" w:eastAsia="Arial" w:hAnsi="Arial"/>
                <w:sz w:val="17"/>
                <w:szCs w:val="17"/>
                <w:color w:val="auto"/>
                <w:w w:val="93"/>
              </w:rPr>
              <w:t>ENDP</w:t>
            </w:r>
          </w:p>
        </w:tc>
        <w:tc>
          <w:tcPr>
            <w:tcW w:w="56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Arial" w:cs="Arial" w:eastAsia="Arial" w:hAnsi="Arial"/>
                <w:sz w:val="17"/>
                <w:szCs w:val="17"/>
                <w:color w:val="auto"/>
                <w:w w:val="90"/>
              </w:rPr>
              <w:t>The Nasdaq Global Select Market</w:t>
            </w:r>
          </w:p>
        </w:tc>
      </w:tr>
    </w:tbl>
    <w:p>
      <w:pPr>
        <w:spacing w:after="0" w:line="283"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ordinary shares, as of the latest practicable date.</w:t>
      </w:r>
    </w:p>
    <w:p>
      <w:pPr>
        <w:spacing w:after="0" w:line="196" w:lineRule="exact"/>
        <w:rPr>
          <w:sz w:val="24"/>
          <w:szCs w:val="24"/>
          <w:color w:val="auto"/>
        </w:rPr>
      </w:pPr>
    </w:p>
    <w:p>
      <w:pPr>
        <w:spacing w:after="0"/>
        <w:tabs>
          <w:tab w:leader="none" w:pos="5180" w:val="left"/>
        </w:tabs>
        <w:rPr>
          <w:sz w:val="20"/>
          <w:szCs w:val="20"/>
          <w:color w:val="auto"/>
        </w:rPr>
      </w:pPr>
      <w:r>
        <w:rPr>
          <w:rFonts w:ascii="Arial" w:cs="Arial" w:eastAsia="Arial" w:hAnsi="Arial"/>
          <w:sz w:val="17"/>
          <w:szCs w:val="17"/>
          <w:color w:val="auto"/>
        </w:rPr>
        <w:t>Ordinary shares, $0.0001 par value</w:t>
      </w:r>
      <w:r>
        <w:rPr>
          <w:sz w:val="20"/>
          <w:szCs w:val="20"/>
          <w:color w:val="auto"/>
        </w:rPr>
        <w:tab/>
      </w:r>
      <w:r>
        <w:rPr>
          <w:rFonts w:ascii="Arial" w:cs="Arial" w:eastAsia="Arial" w:hAnsi="Arial"/>
          <w:sz w:val="15"/>
          <w:szCs w:val="15"/>
          <w:color w:val="auto"/>
        </w:rPr>
        <w:t>Number of ordinary shares outstanding as of October 29, 2019: 226,776,161</w:t>
      </w:r>
    </w:p>
    <w:p>
      <w:pPr>
        <w:sectPr>
          <w:pgSz w:w="11900" w:h="16838" w:orient="portrait"/>
          <w:cols w:equalWidth="0" w:num="1">
            <w:col w:w="11360"/>
          </w:cols>
          <w:pgMar w:left="280" w:top="459" w:right="2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ENDO INTERNATIONAL PLC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50"/>
        </w:trPr>
        <w:tc>
          <w:tcPr>
            <w:tcW w:w="91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8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40" w:type="dxa"/>
            <w:vAlign w:val="bottom"/>
            <w:gridSpan w:val="11"/>
          </w:tcPr>
          <w:p>
            <w:pPr>
              <w:jc w:val="center"/>
              <w:ind w:right="238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82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060" w:type="dxa"/>
            <w:vAlign w:val="bottom"/>
            <w:tcBorders>
              <w:top w:val="single" w:sz="8" w:color="0000EE"/>
            </w:tcBorders>
            <w:gridSpan w:val="9"/>
          </w:tcPr>
          <w:p>
            <w:pPr>
              <w:spacing w:after="0"/>
              <w:rPr>
                <w:sz w:val="21"/>
                <w:szCs w:val="21"/>
                <w:color w:val="auto"/>
              </w:rPr>
            </w:pPr>
          </w:p>
        </w:tc>
        <w:tc>
          <w:tcPr>
            <w:tcW w:w="2380" w:type="dxa"/>
            <w:vAlign w:val="bottom"/>
            <w:gridSpan w:val="2"/>
          </w:tcPr>
          <w:p>
            <w:pPr>
              <w:spacing w:after="0"/>
              <w:rPr>
                <w:sz w:val="21"/>
                <w:szCs w:val="21"/>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(Unaudited)</w:t>
              </w:r>
            </w:hyperlink>
          </w:p>
        </w:tc>
        <w:tc>
          <w:tcPr>
            <w:tcW w:w="2960" w:type="dxa"/>
            <w:vAlign w:val="bottom"/>
            <w:gridSpan w:val="4"/>
          </w:tcPr>
          <w:p>
            <w:pPr>
              <w:spacing w:after="0"/>
              <w:rPr>
                <w:sz w:val="21"/>
                <w:szCs w:val="21"/>
                <w:color w:val="auto"/>
              </w:rPr>
            </w:pPr>
          </w:p>
        </w:tc>
        <w:tc>
          <w:tcPr>
            <w:tcW w:w="20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w:t>
              </w:r>
            </w:hyperlink>
          </w:p>
        </w:tc>
        <w:tc>
          <w:tcPr>
            <w:tcW w:w="826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218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5"/>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3.</w:t>
              </w:r>
            </w:hyperlink>
          </w:p>
        </w:tc>
        <w:tc>
          <w:tcPr>
            <w:tcW w:w="826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218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5"/>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4.</w:t>
              </w:r>
            </w:hyperlink>
          </w:p>
        </w:tc>
        <w:tc>
          <w:tcPr>
            <w:tcW w:w="826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218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 OTHER INFORMATION</w:t>
              </w:r>
            </w:hyperlink>
          </w:p>
        </w:tc>
        <w:tc>
          <w:tcPr>
            <w:tcW w:w="2520" w:type="dxa"/>
            <w:vAlign w:val="bottom"/>
            <w:gridSpan w:val="3"/>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1.</w:t>
              </w:r>
            </w:hyperlink>
          </w:p>
        </w:tc>
        <w:tc>
          <w:tcPr>
            <w:tcW w:w="826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218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Item 1A.</w:t>
              </w:r>
            </w:hyperlink>
          </w:p>
        </w:tc>
        <w:tc>
          <w:tcPr>
            <w:tcW w:w="280" w:type="dxa"/>
            <w:vAlign w:val="bottom"/>
            <w:gridSpan w:val="2"/>
          </w:tcPr>
          <w:p>
            <w:pPr>
              <w:spacing w:after="0"/>
              <w:rPr>
                <w:sz w:val="21"/>
                <w:szCs w:val="21"/>
                <w:color w:val="auto"/>
              </w:rPr>
            </w:pPr>
          </w:p>
        </w:tc>
        <w:tc>
          <w:tcPr>
            <w:tcW w:w="900" w:type="dxa"/>
            <w:vAlign w:val="bottom"/>
            <w:gridSpan w:val="2"/>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Risk Factors</w:t>
              </w:r>
            </w:hyperlink>
          </w:p>
        </w:tc>
        <w:tc>
          <w:tcPr>
            <w:tcW w:w="7360" w:type="dxa"/>
            <w:vAlign w:val="bottom"/>
            <w:gridSpan w:val="17"/>
          </w:tcPr>
          <w:p>
            <w:pPr>
              <w:spacing w:after="0"/>
              <w:rPr>
                <w:sz w:val="21"/>
                <w:szCs w:val="21"/>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2.</w:t>
              </w:r>
            </w:hyperlink>
          </w:p>
        </w:tc>
        <w:tc>
          <w:tcPr>
            <w:tcW w:w="280" w:type="dxa"/>
            <w:vAlign w:val="bottom"/>
            <w:gridSpan w:val="2"/>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218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3.</w:t>
              </w:r>
            </w:hyperlink>
          </w:p>
        </w:tc>
        <w:tc>
          <w:tcPr>
            <w:tcW w:w="826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Defaults Upon Senior Securities</w:t>
              </w:r>
            </w:hyperlink>
          </w:p>
        </w:tc>
        <w:tc>
          <w:tcPr>
            <w:tcW w:w="218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5940" w:type="dxa"/>
            <w:vAlign w:val="bottom"/>
            <w:gridSpan w:val="1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4.</w:t>
              </w:r>
            </w:hyperlink>
          </w:p>
        </w:tc>
        <w:tc>
          <w:tcPr>
            <w:tcW w:w="826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218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500" w:type="dxa"/>
            <w:vAlign w:val="bottom"/>
            <w:gridSpan w:val="1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5.</w:t>
              </w:r>
            </w:hyperlink>
          </w:p>
        </w:tc>
        <w:tc>
          <w:tcPr>
            <w:tcW w:w="826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218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960" w:type="dxa"/>
            <w:vAlign w:val="bottom"/>
            <w:gridSpan w:val="1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6.</w:t>
              </w:r>
            </w:hyperlink>
          </w:p>
        </w:tc>
        <w:tc>
          <w:tcPr>
            <w:tcW w:w="826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218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760" w:type="dxa"/>
            <w:vAlign w:val="bottom"/>
            <w:gridSpan w:val="3"/>
          </w:tcPr>
          <w:p>
            <w:pPr>
              <w:spacing w:after="0"/>
              <w:rPr>
                <w:rFonts w:ascii="Arial" w:cs="Arial" w:eastAsia="Arial" w:hAnsi="Arial"/>
                <w:sz w:val="18"/>
                <w:szCs w:val="18"/>
                <w:color w:val="0000EE"/>
                <w:w w:val="85"/>
              </w:rPr>
            </w:pPr>
            <w:hyperlink w:anchor="page55">
              <w:r>
                <w:rPr>
                  <w:rFonts w:ascii="Arial" w:cs="Arial" w:eastAsia="Arial" w:hAnsi="Arial"/>
                  <w:sz w:val="18"/>
                  <w:szCs w:val="18"/>
                  <w:color w:val="0000EE"/>
                  <w:w w:val="85"/>
                </w:rPr>
                <w:t>Signatures</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351"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These statements, including estimates of future revenues, future expenses, future net income and future net income per share contained in the “Management’s Discussion and Analysis of Financial Condition and Results of Operations” section of this document, are subject to risks and uncertainties. Forward-looking statements include the information concerning our possible or assumed results of operations. We have tried, whenever possible, to identify such statements by words such as “believe,” “expect,” “anticipate,” “intend,” “estimate,” “plan,” “project,” “forecast,” “will,” “may” or similar expressions. We have based these forward-looking statements on our current expectations and projections about the growth of our business, our financial performance and the development of our industry. Because these statements reflect our current views concerning future events, these forward-looking statements involve risks and uncertainties. Investors should note that many factors, as more fully described under the caption “Risk Factors” in Part I, Item 1A of our Annual Report on Form 10-K for the year ended December 31, 2018 filed with the Securities and Exchange Commission (SEC) on February 28, 2019 (the Annual Report), as amended and supplemented by the risk factors previously disclosed by us in Part II, Item 1A under the caption “Risk Factors” of our Quarterly Reports on Form 10-Q for the quarterly periods ended March 31, 2019 and June 30, 2019, and as otherwise enumerated herein, could affect our future financial results and could cause our actual results to differ materially from those expressed in forward-looking statements contained or incorporated by reference in this document.</w:t>
      </w:r>
    </w:p>
    <w:p>
      <w:pPr>
        <w:spacing w:after="0" w:line="77"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 You are advised to consult any further disclosures we make on related subjects in our reports filed with the SEC and with securities regulators in Canada on the System for Electronic Document Analysis and Retrieval (SEDAR). Also note that in Part I, Item 1A of the Annual Report, as amended and supplemented by the risk factors previously disclosed by us in Part II, Item 1A under the caption “Risk Factors” of our Quarterly Reports on Form 10-Q for the quarterly periods ended March 31, 2019 and June 30, 2019, and as otherwise enumerated herein,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18" w:right="2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1,149,113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Restricted cash and cash equivalents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222,491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305,368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420,195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470,570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338,513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322,179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56,139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36,337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39,781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2,649,135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2,343,150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501,352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498,892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3,615,322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3,764,636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2,938,217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3,457,306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67,731</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9,834,866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10,132,393</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8"/>
                <w:szCs w:val="18"/>
                <w:b w:val="1"/>
                <w:bCs w:val="1"/>
                <w:color w:val="auto"/>
              </w:rPr>
              <w:t>LIABILITIES AND SHAREHOLDERS' DEFICIT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937,181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1,009,200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portion of legal settlement accrual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674,943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905,085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34,150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1,667,727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1,950,096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34,487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DEBT, LESS CURRENT PORTION,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8,364,911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8,224,269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LEGAL SETTLEMENT ACCRUAL, LESS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50,965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371,522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421,824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DEFICIT: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3"/>
              </w:rPr>
              <w:t>Euro deferred shares, $0.01 par value; 4,000,000 shares authorized and issued at both September 30, 2019 and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December 31, 2018</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Ordinary shares, $0.0001 par value; 1,000,000,000 shares authorized; 226,763,072 and 224,382,791 shares issued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outstanding at September 30, 2019 and December 31, 2018,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8,894,646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8,855,810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(9,333,571)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(9,124,932)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(222,619)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(229,229)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shareholders' deficit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(661,477)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(498,283)</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DEFICIT</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9,834,866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10,132,393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000"/>
              <w:spacing w:after="0"/>
              <w:rPr>
                <w:sz w:val="20"/>
                <w:szCs w:val="20"/>
                <w:color w:val="auto"/>
              </w:rPr>
            </w:pPr>
            <w:r>
              <w:rPr>
                <w:rFonts w:ascii="Arial" w:cs="Arial" w:eastAsia="Arial" w:hAnsi="Arial"/>
                <w:sz w:val="18"/>
                <w:szCs w:val="18"/>
                <w:color w:val="auto"/>
                <w:w w:val="91"/>
              </w:rPr>
              <w:t>See accompanying Notes to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5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and shares 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729,426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2,149,564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2,160,689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389,165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1,169,282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1,198,468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168,329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163,791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471,749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478,615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160,431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Litigation-related and other contingencies,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15,370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258,652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613,400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Acquisition-related and integration items</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13,284</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404,387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385,896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Gain on extinguishment of debt</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(119,828)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(24,070)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(143,068)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(120,363)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(671,559)</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24,729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(41,431)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(152,095)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(696,288)</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NET OF TAX (NOTE 3)</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(43,273)</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(79,415)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(173,205)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(203,993)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(739,561)</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SHARE—BASIC:</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SHARE—DILUTED:</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226,598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224,132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225,804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223,829</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225,804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223,829</w:t>
            </w:r>
          </w:p>
        </w:tc>
      </w:tr>
      <w:tr>
        <w:trPr>
          <w:trHeight w:val="270"/>
        </w:trPr>
        <w:tc>
          <w:tcPr>
            <w:tcW w:w="8580" w:type="dxa"/>
            <w:vAlign w:val="bottom"/>
            <w:gridSpan w:val="7"/>
          </w:tcPr>
          <w:p>
            <w:pPr>
              <w:ind w:left="3000"/>
              <w:spacing w:after="0"/>
              <w:rPr>
                <w:sz w:val="20"/>
                <w:szCs w:val="20"/>
                <w:color w:val="auto"/>
              </w:rPr>
            </w:pPr>
            <w:r>
              <w:rPr>
                <w:rFonts w:ascii="Arial" w:cs="Arial" w:eastAsia="Arial" w:hAnsi="Arial"/>
                <w:sz w:val="18"/>
                <w:szCs w:val="18"/>
                <w:color w:val="auto"/>
                <w:w w:val="91"/>
              </w:rPr>
              <w:t>See accompanying Notes to Condensed Consolidated Financial Statements.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459"/>
        </w:trPr>
        <w:tc>
          <w:tcPr>
            <w:tcW w:w="5620" w:type="dxa"/>
            <w:vAlign w:val="bottom"/>
          </w:tcPr>
          <w:p>
            <w:pPr>
              <w:spacing w:after="0"/>
              <w:rPr>
                <w:sz w:val="24"/>
                <w:szCs w:val="24"/>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w w:val="95"/>
              </w:rPr>
              <w:t>Three Months Ended 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8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22"/>
                <w:szCs w:val="2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(173,205)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(203,993)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(739,561)</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(LOSS) INCOME:</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Net unrealized (loss) gain on</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w:t>
            </w: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9"/>
        </w:trPr>
        <w:tc>
          <w:tcPr>
            <w:tcW w:w="2420" w:type="dxa"/>
            <w:vAlign w:val="bottom"/>
          </w:tcPr>
          <w:p>
            <w:pPr>
              <w:ind w:left="280"/>
              <w:spacing w:after="0"/>
              <w:rPr>
                <w:sz w:val="20"/>
                <w:szCs w:val="20"/>
                <w:color w:val="auto"/>
              </w:rPr>
            </w:pPr>
            <w:r>
              <w:rPr>
                <w:rFonts w:ascii="Arial" w:cs="Arial" w:eastAsia="Arial" w:hAnsi="Arial"/>
                <w:sz w:val="18"/>
                <w:szCs w:val="18"/>
                <w:color w:val="auto"/>
                <w:w w:val="95"/>
              </w:rPr>
              <w:t>Foreign currency translation</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2420" w:type="dxa"/>
            <w:vAlign w:val="bottom"/>
          </w:tcPr>
          <w:p>
            <w:pPr>
              <w:ind w:left="280"/>
              <w:spacing w:after="0"/>
              <w:rPr>
                <w:sz w:val="20"/>
                <w:szCs w:val="20"/>
                <w:color w:val="auto"/>
              </w:rPr>
            </w:pPr>
            <w:r>
              <w:rPr>
                <w:rFonts w:ascii="Arial" w:cs="Arial" w:eastAsia="Arial" w:hAnsi="Arial"/>
                <w:sz w:val="18"/>
                <w:szCs w:val="18"/>
                <w:color w:val="auto"/>
                <w:w w:val="93"/>
              </w:rPr>
              <w:t>(loss) gain arising during the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420" w:type="dxa"/>
            <w:vAlign w:val="bottom"/>
          </w:tcPr>
          <w:p>
            <w:pPr>
              <w:ind w:left="280"/>
              <w:spacing w:after="0"/>
              <w:rPr>
                <w:sz w:val="20"/>
                <w:szCs w:val="20"/>
                <w:color w:val="auto"/>
              </w:rPr>
            </w:pPr>
            <w:r>
              <w:rPr>
                <w:rFonts w:ascii="Arial" w:cs="Arial" w:eastAsia="Arial" w:hAnsi="Arial"/>
                <w:sz w:val="18"/>
                <w:szCs w:val="18"/>
                <w:color w:val="auto"/>
              </w:rPr>
              <w:t>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4,735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reclassification</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2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adjustments for (gain) loss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57"/>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in net loss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(7,033)</w:t>
            </w:r>
          </w:p>
        </w:tc>
      </w:tr>
      <w:tr>
        <w:trPr>
          <w:trHeight w:val="209"/>
        </w:trPr>
        <w:tc>
          <w:tcPr>
            <w:tcW w:w="242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(LOSS) INCOME</w:t>
            </w:r>
          </w:p>
        </w:tc>
        <w:tc>
          <w:tcPr>
            <w:tcW w:w="300" w:type="dxa"/>
            <w:vAlign w:val="bottom"/>
          </w:tcPr>
          <w:p>
            <w:pPr>
              <w:spacing w:after="0"/>
              <w:rPr>
                <w:sz w:val="20"/>
                <w:szCs w:val="20"/>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(7,033)</w:t>
            </w:r>
          </w:p>
        </w:tc>
      </w:tr>
      <w:tr>
        <w:trPr>
          <w:trHeight w:val="27"/>
        </w:trPr>
        <w:tc>
          <w:tcPr>
            <w:tcW w:w="2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(168,470)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(197,383)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(746,594)</w:t>
            </w:r>
          </w:p>
        </w:tc>
      </w:tr>
      <w:tr>
        <w:trPr>
          <w:trHeight w:val="20"/>
        </w:trPr>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64"/>
        </w:trPr>
        <w:tc>
          <w:tcPr>
            <w:tcW w:w="2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40" w:type="dxa"/>
            <w:vAlign w:val="bottom"/>
            <w:gridSpan w:val="16"/>
          </w:tcPr>
          <w:p>
            <w:pPr>
              <w:jc w:val="right"/>
              <w:ind w:right="630"/>
              <w:spacing w:after="0"/>
              <w:rPr>
                <w:sz w:val="20"/>
                <w:szCs w:val="20"/>
                <w:color w:val="auto"/>
              </w:rPr>
            </w:pPr>
            <w:r>
              <w:rPr>
                <w:rFonts w:ascii="Arial" w:cs="Arial" w:eastAsia="Arial" w:hAnsi="Arial"/>
                <w:sz w:val="18"/>
                <w:szCs w:val="18"/>
                <w:color w:val="auto"/>
                <w:w w:val="93"/>
              </w:rPr>
              <w:t>See accompanying Notes to Condensed Consolidated Financial Statements.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459"/>
        </w:trPr>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(203,993)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(739,561)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468,409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556,503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step-up</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48,909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43,722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 and discount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13,118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11,731</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Gain on extinguishment of debt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(119,828)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258,652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613,400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Gain on sale of business and other assets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 which provided (used) cash:</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58,630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31,634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52,499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Prepaid and other assets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(367,979)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taxes payable/receivable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22,933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196,992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 excluding capitalized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(56,544)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Capitalized interest payments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business and other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43,753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notes,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1,483,125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notes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(1,501,788)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term loans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draw of revolving debt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other indebtedness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Payments for debt issuance and extinguishment costs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Payments of tax withholding for restricted shares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options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219,564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9"/>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IN CASH, CASH EQUIVALENTS, RESTRICTED CASH AND RESTRICTED CASH</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294,261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119,894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CASH, CASH EQUIVALENTS, RESTRICTED CASH AND RESTRICTED CASH EQUIVALENTS, BEGINNING</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PERIOD</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1,476,837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1,311,014</w:t>
            </w:r>
          </w:p>
        </w:tc>
        <w:tc>
          <w:tcPr>
            <w:tcW w:w="0" w:type="dxa"/>
            <w:vAlign w:val="bottom"/>
          </w:tcPr>
          <w:p>
            <w:pPr>
              <w:spacing w:after="0"/>
              <w:rPr>
                <w:sz w:val="1"/>
                <w:szCs w:val="1"/>
                <w:color w:val="auto"/>
              </w:rPr>
            </w:pPr>
          </w:p>
        </w:tc>
      </w:tr>
      <w:tr>
        <w:trPr>
          <w:trHeight w:val="209"/>
        </w:trPr>
        <w:tc>
          <w:tcPr>
            <w:tcW w:w="8580" w:type="dxa"/>
            <w:vAlign w:val="bottom"/>
          </w:tcPr>
          <w:p>
            <w:pPr>
              <w:ind w:left="40"/>
              <w:spacing w:after="0"/>
              <w:rPr>
                <w:sz w:val="20"/>
                <w:szCs w:val="20"/>
                <w:color w:val="auto"/>
              </w:rPr>
            </w:pPr>
            <w:r>
              <w:rPr>
                <w:rFonts w:ascii="Arial" w:cs="Arial" w:eastAsia="Arial" w:hAnsi="Arial"/>
                <w:sz w:val="18"/>
                <w:szCs w:val="18"/>
                <w:color w:val="auto"/>
              </w:rPr>
              <w:t>CASH, CASH EQUIVALENTS, RESTRICTED CASH AND RESTRICTED CASH EQUIVALENTS, END OF</w:t>
            </w: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1,771,098</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1,430,908</w:t>
            </w:r>
          </w:p>
        </w:tc>
        <w:tc>
          <w:tcPr>
            <w:tcW w:w="0" w:type="dxa"/>
            <w:vAlign w:val="bottom"/>
          </w:tcPr>
          <w:p>
            <w:pPr>
              <w:spacing w:after="0"/>
              <w:rPr>
                <w:sz w:val="1"/>
                <w:szCs w:val="1"/>
                <w:color w:val="auto"/>
              </w:rPr>
            </w:pPr>
          </w:p>
        </w:tc>
      </w:tr>
      <w:tr>
        <w:trPr>
          <w:trHeight w:val="27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PERIOD</w:t>
            </w:r>
          </w:p>
        </w:tc>
        <w:tc>
          <w:tcPr>
            <w:tcW w:w="2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INFORMATION:</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Cash paid into Qualified Settlement Funds for mesh legal settlements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185,745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216,770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out of Qualified Settlement Funds for mesh legal settlements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266,958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248,485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cash distributions for mesh legal settlements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13,334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17,114</w:t>
            </w:r>
          </w:p>
        </w:tc>
        <w:tc>
          <w:tcPr>
            <w:tcW w:w="0" w:type="dxa"/>
            <w:vAlign w:val="bottom"/>
          </w:tcPr>
          <w:p>
            <w:pPr>
              <w:spacing w:after="0"/>
              <w:rPr>
                <w:sz w:val="1"/>
                <w:szCs w:val="1"/>
                <w:color w:val="auto"/>
              </w:rPr>
            </w:pPr>
          </w:p>
        </w:tc>
      </w:tr>
      <w:tr>
        <w:trPr>
          <w:trHeight w:val="243"/>
        </w:trPr>
        <w:tc>
          <w:tcPr>
            <w:tcW w:w="8580" w:type="dxa"/>
            <w:vAlign w:val="bottom"/>
          </w:tcPr>
          <w:p>
            <w:pPr>
              <w:ind w:left="3000"/>
              <w:spacing w:after="0"/>
              <w:rPr>
                <w:sz w:val="20"/>
                <w:szCs w:val="20"/>
                <w:color w:val="auto"/>
              </w:rPr>
            </w:pPr>
            <w:r>
              <w:rPr>
                <w:rFonts w:ascii="Arial" w:cs="Arial" w:eastAsia="Arial" w:hAnsi="Arial"/>
                <w:sz w:val="18"/>
                <w:szCs w:val="18"/>
                <w:color w:val="auto"/>
                <w:w w:val="91"/>
              </w:rPr>
              <w:t>See accompanying Notes to Condensed Consolidated Financial Statements.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12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8" w:right="239" w:bottom="1124"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Endo International plc is an Ireland-domiciled, global specialty pharmaceutical company focused on generic and branded pharmaceuticals. We aim to be the premier partner to healthcare professionals and payment providers, delivering an innovative suite of generic and branded drugs to meet patients’ needs.</w:t>
      </w:r>
    </w:p>
    <w:p>
      <w:pPr>
        <w:spacing w:after="0" w:line="16"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financial information and transactions of Endo International plc and its subsidiaries.</w:t>
      </w:r>
    </w:p>
    <w:p>
      <w:pPr>
        <w:spacing w:after="0" w:line="62"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Endo International plc and its subsidiaries have been prepared in accordance with United States (U.S.) generally accepted accounting principles (U.S. GAAP) for interim financial information and the instructions to Form 10-Q and Article 10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September 30, 2019 and the results of its operations and its cash flows for the periods presented. Operating results for the three and nine months ended September 30, 2019 are not necessarily indicative of the results that may be expected for the year ending December 31, 2019. The year-end Condensed Consolidated Balance Sheet data as of December 31, 2018 was derived from audited financial statements but does not include all disclosures required by U.S. GAAP.</w:t>
      </w:r>
    </w:p>
    <w:p>
      <w:pPr>
        <w:spacing w:after="0" w:line="74"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the Annual Report.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29" w:lineRule="exact"/>
        <w:rPr>
          <w:sz w:val="20"/>
          <w:szCs w:val="20"/>
          <w:color w:val="auto"/>
        </w:rPr>
      </w:pPr>
    </w:p>
    <w:p>
      <w:pPr>
        <w:ind w:right="5600"/>
        <w:spacing w:after="0" w:line="425" w:lineRule="auto"/>
        <w:rPr>
          <w:sz w:val="20"/>
          <w:szCs w:val="20"/>
          <w:color w:val="auto"/>
        </w:rPr>
      </w:pPr>
      <w:r>
        <w:rPr>
          <w:rFonts w:ascii="Arial" w:cs="Arial" w:eastAsia="Arial" w:hAnsi="Arial"/>
          <w:sz w:val="16"/>
          <w:szCs w:val="16"/>
          <w:b w:val="1"/>
          <w:bCs w:val="1"/>
          <w:color w:val="auto"/>
        </w:rPr>
        <w:t>NOTE 2. SUMMARY OF SIGNIFICANT ACCOUNTING POLICIES Significant Accounting Policies Added or Updated since December 31, 2018</w:t>
      </w:r>
    </w:p>
    <w:p>
      <w:pPr>
        <w:spacing w:after="0" w:line="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Significant changes to our significant accounting policies since December 31, 2018 are detailed below. For additional discussion of the Company’s significant accounting policies, see Note 2. Summary of Significant Accounting Policies in the Consolidated Financial Statements, included in Part IV, Item 15 of the Annual Report.</w:t>
      </w:r>
    </w:p>
    <w:p>
      <w:pPr>
        <w:spacing w:after="0" w:line="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b w:val="1"/>
          <w:bCs w:val="1"/>
          <w:i w:val="1"/>
          <w:iCs w:val="1"/>
          <w:color w:val="auto"/>
        </w:rPr>
        <w:t xml:space="preserve">Lease Accounting. </w:t>
      </w:r>
      <w:r>
        <w:rPr>
          <w:rFonts w:ascii="Arial" w:cs="Arial" w:eastAsia="Arial" w:hAnsi="Arial"/>
          <w:sz w:val="18"/>
          <w:szCs w:val="18"/>
          <w:color w:val="auto"/>
        </w:rPr>
        <w:t>The Company adopted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Standards Codification Topic 842, 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842) on January 1, 2019. For further discussion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adoption, refer to the “Recent Accounting Pronouncements Adopted or Otherwise Effective as of September 30, 2019” section below. ASC 842 applies to a number of arrangements to which the Company is party.</w:t>
      </w:r>
    </w:p>
    <w:p>
      <w:pPr>
        <w:spacing w:after="0" w:line="7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Whenever the Company enters into a new arrangement, it must determine, at the inception date, whether the arrangement is or contains a lease. This determination generally depends on whether the arrangement conveys to the Company the right to control the use of an explicitly or implicitly identified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79"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components for accounting purposes. However, the Company has elected, for all of its leases, to not separate lease and nonlease components. Each lease component is accounted for separately from other lease components, but together with the associated nonlease components.</w:t>
      </w:r>
    </w:p>
    <w:p>
      <w:pPr>
        <w:spacing w:after="0" w:line="5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For each lease, the Company must then determine the lease term, the present value of lease payments and the classification of the lease as either an operating or finance lease.</w:t>
      </w:r>
    </w:p>
    <w:p>
      <w:pPr>
        <w:spacing w:after="0" w:line="62" w:lineRule="exact"/>
        <w:rPr>
          <w:sz w:val="20"/>
          <w:szCs w:val="20"/>
          <w:color w:val="auto"/>
        </w:rPr>
      </w:pPr>
    </w:p>
    <w:p>
      <w:pPr>
        <w:ind w:right="400" w:firstLine="486"/>
        <w:spacing w:after="0" w:line="264" w:lineRule="auto"/>
        <w:rPr>
          <w:sz w:val="20"/>
          <w:szCs w:val="20"/>
          <w:color w:val="auto"/>
        </w:rPr>
      </w:pPr>
      <w:r>
        <w:rPr>
          <w:rFonts w:ascii="Arial" w:cs="Arial" w:eastAsia="Arial" w:hAnsi="Arial"/>
          <w:sz w:val="18"/>
          <w:szCs w:val="18"/>
          <w:color w:val="auto"/>
        </w:rPr>
        <w:t>The lease term is the period of the lease not cancellable by the Company, together with periods covered by: (i) renewal options the Company is reasonably certain to exercise, (ii) termination options the Company is reasonably certain not to exercise and (iii) renewal or termination options that are controlled by the lessor.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18" w:right="2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present value of lease payments is calculated based on:</w:t>
      </w:r>
    </w:p>
    <w:p>
      <w:pPr>
        <w:spacing w:after="0" w:line="23" w:lineRule="exact"/>
        <w:rPr>
          <w:sz w:val="20"/>
          <w:szCs w:val="20"/>
          <w:color w:val="auto"/>
        </w:rPr>
      </w:pPr>
    </w:p>
    <w:p>
      <w:pPr>
        <w:ind w:left="900" w:right="240" w:hanging="244"/>
        <w:spacing w:after="0" w:line="250"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Lease payments—Lease payments include fixed and certain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not related to the transfer of goods and services to the Company.</w:t>
      </w:r>
    </w:p>
    <w:p>
      <w:pPr>
        <w:spacing w:after="0" w:line="1" w:lineRule="exact"/>
        <w:rPr>
          <w:rFonts w:ascii="Arial" w:cs="Arial" w:eastAsia="Arial" w:hAnsi="Arial"/>
          <w:sz w:val="18"/>
          <w:szCs w:val="18"/>
          <w:color w:val="auto"/>
        </w:rPr>
      </w:pPr>
    </w:p>
    <w:p>
      <w:pPr>
        <w:ind w:left="900" w:right="220" w:hanging="244"/>
        <w:spacing w:after="0" w:line="295"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Discount rate—The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53"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73"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Generally, upon the commencement of a lease, the Company will record a lease liability and a right-of-use (ROU) asset. However, the Company has elected, for all underlying assets with initial lease terms of twelve months or less (known as short-term leases), to not recognize a lease liability or ROU asset. Lease liabilities are initially recorded at lease commencement as the present value of future lease payments. ROU assets are initially recorded at lease commencement as the initial amount of the lease liability, together with the following, if applicable: (i) initial direct costs incurred by the lessee and (ii) lease payments made by the lessor, net of lease incentives received, prior to lease commencement.</w:t>
      </w:r>
    </w:p>
    <w:p>
      <w:pPr>
        <w:spacing w:after="0" w:line="64"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Over the lease term, the Company generally increases its lease liabilities using the effective interest method and decreases its lease liabilities for lease payments made. The Company generally amortizes its ROU assets over the shorter of the estimated useful life and the lease term and assesses its ROU assets for impairment, similar to other long-lived assets.</w:t>
      </w:r>
    </w:p>
    <w:p>
      <w:pPr>
        <w:spacing w:after="0" w:line="73"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For finance leases, amortization expense and interest expense are recognized separately in the Condensed Consolidated Statements of Operations, with amortization expense generally recorded on a straight-line basis and interest expense recorded using the effective interest method. For operating leases, a single lease cost is generally recognized in the Condensed Consolidated Statements of Operations on a straight-line basis over the lease term unless an impairment has been recorded with respect to a leased asset. Lease costs for short-term leases not recognized in the Condensed Consolidated Balance Sheets are recognized in the Condensed Consolidated Statements of Operations on a straight-line basis over the lease term. Variable lease costs not initially included in the lease liability and ROU asset impairment charges are expensed as incurred.</w:t>
      </w:r>
    </w:p>
    <w:p>
      <w:pPr>
        <w:spacing w:after="0" w:line="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Cloud Computing Arrangements. </w:t>
      </w:r>
      <w:r>
        <w:rPr>
          <w:rFonts w:ascii="Arial" w:cs="Arial" w:eastAsia="Arial" w:hAnsi="Arial"/>
          <w:sz w:val="18"/>
          <w:szCs w:val="18"/>
          <w:color w:val="auto"/>
        </w:rPr>
        <w:t>The Company may from time to time incur costs in connection with hosting arrangements that are service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Subsequent to the Company’s January 1, 2019 adoption of Accounting Standards Update (ASU) No. 2018-15, </w:t>
      </w:r>
      <w:r>
        <w:rPr>
          <w:rFonts w:ascii="Arial" w:cs="Arial" w:eastAsia="Arial" w:hAnsi="Arial"/>
          <w:sz w:val="18"/>
          <w:szCs w:val="18"/>
          <w:i w:val="1"/>
          <w:iCs w:val="1"/>
          <w:color w:val="auto"/>
        </w:rPr>
        <w:t>“Customer’s Accounting for Implementation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Costs Incurred in a Cloud Computing Arrangement That Is a Service Contract” </w:t>
      </w:r>
      <w:r>
        <w:rPr>
          <w:rFonts w:ascii="Arial" w:cs="Arial" w:eastAsia="Arial" w:hAnsi="Arial"/>
          <w:sz w:val="18"/>
          <w:szCs w:val="18"/>
          <w:color w:val="auto"/>
        </w:rPr>
        <w:t>(ASU 2018-15), which is further described below, the Company capitalizes</w:t>
      </w:r>
      <w:r>
        <w:rPr>
          <w:rFonts w:ascii="Arial" w:cs="Arial" w:eastAsia="Arial" w:hAnsi="Arial"/>
          <w:sz w:val="18"/>
          <w:szCs w:val="18"/>
          <w:i w:val="1"/>
          <w:iCs w:val="1"/>
          <w:color w:val="auto"/>
        </w:rPr>
        <w:t xml:space="preserve"> </w:t>
      </w:r>
      <w:r>
        <w:rPr>
          <w:rFonts w:ascii="Arial" w:cs="Arial" w:eastAsia="Arial" w:hAnsi="Arial"/>
          <w:sz w:val="18"/>
          <w:szCs w:val="18"/>
          <w:color w:val="auto"/>
        </w:rPr>
        <w:t>any such implementation costs, expenses them over the terms of the respective hosting arrangements and subjects them to impairment testing consistent with other long-lived assets.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 as of September 30, 2019</w:t>
      </w:r>
    </w:p>
    <w:p>
      <w:pPr>
        <w:spacing w:after="0" w:line="117" w:lineRule="exact"/>
        <w:rPr>
          <w:sz w:val="20"/>
          <w:szCs w:val="20"/>
          <w:color w:val="auto"/>
        </w:rPr>
      </w:pPr>
    </w:p>
    <w:p>
      <w:pPr>
        <w:ind w:right="160" w:firstLine="486"/>
        <w:spacing w:after="0" w:line="297" w:lineRule="auto"/>
        <w:rPr>
          <w:sz w:val="20"/>
          <w:szCs w:val="20"/>
          <w:color w:val="auto"/>
        </w:rPr>
      </w:pPr>
      <w:r>
        <w:rPr>
          <w:rFonts w:ascii="Arial" w:cs="Arial" w:eastAsia="Arial" w:hAnsi="Arial"/>
          <w:sz w:val="16"/>
          <w:szCs w:val="16"/>
          <w:color w:val="auto"/>
        </w:rPr>
        <w:t xml:space="preserve">In August 2018, the Financial Accounting Standards Board (FASB) issued ASU No. 2018-13, </w:t>
      </w:r>
      <w:r>
        <w:rPr>
          <w:rFonts w:ascii="Arial" w:cs="Arial" w:eastAsia="Arial" w:hAnsi="Arial"/>
          <w:sz w:val="16"/>
          <w:szCs w:val="16"/>
          <w:i w:val="1"/>
          <w:iCs w:val="1"/>
          <w:color w:val="auto"/>
        </w:rPr>
        <w:t>“Disclosure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(ASU 2018-13). ASU 2018-13 modifies the disclosure requirements on fair value measurements in</w:t>
      </w:r>
      <w:r>
        <w:rPr>
          <w:rFonts w:ascii="Arial" w:cs="Arial" w:eastAsia="Arial" w:hAnsi="Arial"/>
          <w:sz w:val="16"/>
          <w:szCs w:val="16"/>
          <w:i w:val="1"/>
          <w:iCs w:val="1"/>
          <w:color w:val="auto"/>
        </w:rPr>
        <w:t xml:space="preserve"> Accounting Standards Codification Topic 820, Fair Value Measurement</w:t>
      </w:r>
      <w:r>
        <w:rPr>
          <w:rFonts w:ascii="Arial" w:cs="Arial" w:eastAsia="Arial" w:hAnsi="Arial"/>
          <w:sz w:val="16"/>
          <w:szCs w:val="16"/>
          <w:color w:val="auto"/>
        </w:rPr>
        <w:t>. ASU 2018-13 is effective for fiscal years, and interim periods within those fiscal years,</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after December 15, 2019. Certain aspects of ASU 2018-13 require prospective treatment, while others require retrospective treatment. Early adoption is permitted. The Company is currently evaluating the impact of ASU 2018-13 on the Company’s disclosures.</w:t>
      </w:r>
    </w:p>
    <w:p>
      <w:pPr>
        <w:spacing w:after="0" w:line="5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“Clarifying the Interaction Between Topic 808 and Topic 606”</w:t>
      </w:r>
      <w:r>
        <w:rPr>
          <w:rFonts w:ascii="Arial" w:cs="Arial" w:eastAsia="Arial" w:hAnsi="Arial"/>
          <w:sz w:val="18"/>
          <w:szCs w:val="18"/>
          <w:color w:val="auto"/>
        </w:rPr>
        <w:t xml:space="preserve"> (ASU 2018-18). The main provisions of ASU 2018-18 include: (i) clarifying that certain transactions between collaborative arrangement participants should be accounted for as revenue when the collaborative arrangement participant is a customer in the context of a unit of account and (ii) precluding the presentation of transactions with collaborative arrangement participants that are not directly related to sales to third parties together with revenue. ASU 2018-18 is effective for fiscal years beginning after December 15, 2019, and interim periods within those fiscal years. ASU 2018-18 should be applied retrospectively to the date of initial application of </w:t>
      </w:r>
      <w:r>
        <w:rPr>
          <w:rFonts w:ascii="Arial" w:cs="Arial" w:eastAsia="Arial" w:hAnsi="Arial"/>
          <w:sz w:val="18"/>
          <w:szCs w:val="18"/>
          <w:i w:val="1"/>
          <w:iCs w:val="1"/>
          <w:color w:val="auto"/>
        </w:rPr>
        <w:t>Accounting Standards Codification Topic 606, Revenue from Contracts with Customers</w:t>
      </w:r>
      <w:r>
        <w:rPr>
          <w:rFonts w:ascii="Arial" w:cs="Arial" w:eastAsia="Arial" w:hAnsi="Arial"/>
          <w:sz w:val="18"/>
          <w:szCs w:val="18"/>
          <w:color w:val="auto"/>
        </w:rPr>
        <w:t xml:space="preserve"> (ASC 606), which was January 1, 2018 for the Company. Early adoption is permitted. The Company is currently evaluating the impact of ASU 2018-18 on the Company’s consolidated results of operations, financial position and disclosures.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18" w:right="2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 or Otherwise Effective as of September 30, 2019</w:t>
      </w:r>
    </w:p>
    <w:p>
      <w:pPr>
        <w:spacing w:after="0" w:line="117" w:lineRule="exact"/>
        <w:rPr>
          <w:sz w:val="20"/>
          <w:szCs w:val="20"/>
          <w:color w:val="auto"/>
        </w:rPr>
      </w:pPr>
    </w:p>
    <w:p>
      <w:pPr>
        <w:ind w:right="240" w:firstLine="486"/>
        <w:spacing w:after="0" w:line="30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to establish a comprehensive new accounting standard for leases. ASU 2016-02, together with a series of subsequently-issued related ASUs, has been codified in ASC 842. ASC 842 supersedes the lease accounting requirements in </w:t>
      </w:r>
      <w:r>
        <w:rPr>
          <w:rFonts w:ascii="Arial" w:cs="Arial" w:eastAsia="Arial" w:hAnsi="Arial"/>
          <w:sz w:val="16"/>
          <w:szCs w:val="16"/>
          <w:i w:val="1"/>
          <w:iCs w:val="1"/>
          <w:color w:val="auto"/>
        </w:rPr>
        <w:t>Accounting Standards Codification Topic 840, Leases</w:t>
      </w:r>
      <w:r>
        <w:rPr>
          <w:rFonts w:ascii="Arial" w:cs="Arial" w:eastAsia="Arial" w:hAnsi="Arial"/>
          <w:sz w:val="16"/>
          <w:szCs w:val="16"/>
          <w:color w:val="auto"/>
        </w:rPr>
        <w:t xml:space="preserve"> (ASC 840), and requires lessees to, among other things, recognize on the balance sheet a right-of-use asset and a right-of-use lease liability, representing the present value of future minimum lease payments, for most leases.</w:t>
      </w:r>
    </w:p>
    <w:p>
      <w:pPr>
        <w:spacing w:after="0" w:line="46" w:lineRule="exact"/>
        <w:rPr>
          <w:sz w:val="20"/>
          <w:szCs w:val="20"/>
          <w:color w:val="auto"/>
        </w:rPr>
      </w:pPr>
    </w:p>
    <w:p>
      <w:pPr>
        <w:ind w:right="380" w:firstLine="486"/>
        <w:spacing w:after="0" w:line="308" w:lineRule="auto"/>
        <w:rPr>
          <w:sz w:val="20"/>
          <w:szCs w:val="20"/>
          <w:color w:val="auto"/>
        </w:rPr>
      </w:pPr>
      <w:r>
        <w:rPr>
          <w:rFonts w:ascii="Arial" w:cs="Arial" w:eastAsia="Arial" w:hAnsi="Arial"/>
          <w:sz w:val="17"/>
          <w:szCs w:val="17"/>
          <w:color w:val="auto"/>
        </w:rPr>
        <w:t>The Company adopted ASC 842 using the modified retrospective approach with an effective date of January 1, 2019 for leases that existed on that date. Prior period results continue to be presented under ASC 840 based on the accounting standards originally in effect for such periods.</w:t>
      </w:r>
    </w:p>
    <w:p>
      <w:pPr>
        <w:spacing w:after="0" w:line="38"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The Company has elected certain practical expedients permitted under the transition guidance within ASC 842 to leases that commenced before January 1, 2019, including the package of practical expedients, as well as the practical expedient permitting the Company to not assess whether certain land easements contain leases. Due to the Company's election of these practical expedients, the Company has carried forward certain historical conclusions for existing contracts, including conclusions relating to initial direct costs and to the existence and classification of leases.</w:t>
      </w:r>
    </w:p>
    <w:p>
      <w:pPr>
        <w:spacing w:after="0" w:line="46"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On January 1, 2019, as a result of adopting ASC 842, the Company recognized new ROU assets, current lease liabilities and noncurrent lease liabilities associated with operating leases of $59.4 million, $11.0 million and $57.3 million, respectively, which were recorded in the Condensed Consolidated Balance Sheets as Operating lease assets, Current portion of operating lease liabilities and Operating lease liabilities, less current portion, respectively. The Company also derecognized certain assets and liabilities related to existing build-to-suit lease arrangements for which construction was completed prior to the date of transition and recognized new finance lease ROU assets and lease liabilities related to those lease arrangements. The net effect of the Company’s adoption of ASC 842 resulted in a net increase to Accumulated deficit of $4.6 million.</w:t>
      </w:r>
    </w:p>
    <w:p>
      <w:pPr>
        <w:spacing w:after="0" w:line="70"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In August 2018, the FASB issued ASU 2018-15. ASU 2018-15 aligns the requirements for capitalizing implementation costs incurred in a hosting arrangement that is a service contract with the requirements for capitalizing implementation costs incurred to develop or obtain internal-use software (including hosting arrangements where a software license is deemed to exist). ASU 2018-15 also requires the customer to expense any such capitalized implementation costs over the term of the hosting arrangement and to apply the existing impairment guidance for long-lived assets to such capitalized costs. Additionally, ASU 2018-15 sets forth required disclosures and guidance on financial statement classification for expenses, cash flows and balances related to implementation costs within the scope of ASU 2018-15. The Company early adopted this guidance during the first quarter of 2019 on a prospective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Astora</w:t>
      </w:r>
    </w:p>
    <w:p>
      <w:pPr>
        <w:spacing w:after="0" w:line="11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operating results of the Company’s Astora business, which the Board of Directors resolved to wind-down in 2016, are reported as Discontinued operations, net of tax in the Condensed Consolidated Statements of Operations for all periods presented.</w:t>
      </w:r>
    </w:p>
    <w:p>
      <w:pPr>
        <w:spacing w:after="0" w:line="62"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following table provides the operating results of Astora Discontinued operations, net of tax, for the three and nine months ended September 30,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Litigation-related and other contingencies,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30,400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(37,984)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(27,134)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(51,898)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(43,273)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Discontinued operations, net of tax</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(37,984)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(27,134)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(51,898)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(43,273)</w:t>
            </w:r>
          </w:p>
        </w:tc>
      </w:tr>
    </w:tbl>
    <w:p>
      <w:pPr>
        <w:spacing w:after="0" w:line="33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Loss from discontinued operations before income taxes includes Litigation-related and other contingencies, net, mesh-related legal defense costs and certain other items.</w:t>
      </w:r>
    </w:p>
    <w:p>
      <w:pPr>
        <w:spacing w:after="0" w:line="6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cash flows from discontinued operating activities related to Astora included the impact of net losses of $51.9 million and $43.3 million for the nine months ended September 30, 2019 and 2018, respectively, and the impact of cash activity related to vaginal mesh cases. There were no material net cash flows related to Astora discontinued investing activities during the nine months ended September 30, 2019 or 2018. There was no depreciation or amortization during the nine months ended September 30, 2019 or 2018 related to Astora.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w:t>
      </w:r>
    </w:p>
    <w:p>
      <w:pPr>
        <w:spacing w:after="0" w:line="12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Set forth below are disclosures relating to restructuring initiatives that resulted in material expenses or cash expenditures during any of the three- or nine-month periods ended September 30, 2019 or 2018 or had material restructuring liabilities at either September 30, 2019 or December 31, 2018. Employee separation, retention and certain other employee benefit-related costs related to our restructurings are expensed ratably over the requisite service period. Other restructuring costs are generally expensed as incurred.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Generic Pharmaceuticals Restructuring Initiative</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On July 21, 2017, the Company announced that after completing a comprehensive review of its manufacturing network, it would be ceasing operations and closing its manufacturing and distribution facilities in Huntsville, Alabama (the 2017 Generic Pharmaceuticals Restructuring Initiative). The closure of the facilities was completed in June 2018 and the facilities were sold in the fourth quarter of 2018 for net cash proceeds of $23.1 million, resulting in a net gain on disposal of $12.5 million.</w:t>
      </w:r>
    </w:p>
    <w:p>
      <w:pPr>
        <w:spacing w:after="0" w:line="79"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As a result of the 2017 Generic Pharmaceuticals Restructuring Initiative, the Company incurred pre-tax charges of $4.8 million and $59.6 million during the three and nine months ended September 30, 2018, respectively. During the three months ended September 30, 2018, the expenses consisted of employee separation, retention and other benefit-related costs of $2.1 million and certain other charges of $2.7 million. During the nine months ended September 30, 2018, the expenses consisted of charges relating to accelerated depreciation of $35.2 million, employee separation, retention and other benefit-related costs of $9.8 million, asset impairment charges of $2.6 million and certain other charges of $12.0 million. These charges are included in the Generic Pharmaceuticals segment. Accelerated depreciation and employee separation, retention and other benefit-related costs are primarily included in Cost of revenues in the Condensed Consolidated Statements of Operations. Certain other charges are included in both Cost of revenues and Selling, general and administrative expenses in the Condensed Consolidated Statements of Operations.</w:t>
      </w:r>
    </w:p>
    <w:p>
      <w:pPr>
        <w:spacing w:after="0" w:line="71"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The Company did not incur any material pre-tax charges as a result of the 2017 Generic Pharmaceuticals Restructuring Initiative during the three and nine months ended September 30, 2019 and does not expect to incur additional material pre-tax restructuring-related expenses related to this initiative.</w:t>
      </w:r>
    </w:p>
    <w:p>
      <w:pPr>
        <w:spacing w:after="0" w:line="16"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The liability related to the 2017 Generic Pharmaceuticals Restructuring Initiative is primarily included in Accounts payable and accrued expenses in the Condensed Consolidated Balance Sheets. Changes to this liability during the nine months ended September 30, 2019 were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Employee Separation</w:t>
            </w: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 Restructuring</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and Other Benefit-</w:t>
            </w:r>
          </w:p>
        </w:tc>
        <w:tc>
          <w:tcPr>
            <w:tcW w:w="14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Related Costs</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as of January 1, 2019</w:t>
            </w: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distributions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balance as of September 30, 2019</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2018 Restructuring Initiative</w:t>
      </w:r>
    </w:p>
    <w:p>
      <w:pPr>
        <w:spacing w:after="0" w:line="117"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In January 2018, the Company initiated a restructuring initiative that included a reorganization of its Generic Pharmaceuticals segment’s research and development network, a further simplification of the Company’s manufacturing networks and a company-wide unification of certain corporate functions (the January 2018 Restructuring Initiative). As a result of the January 2018 Restructuring Initiative, the Company incurred pre-tax charges of $23.8 million during the nine months ended September 30, 2018. The expenses primarily consisted of employee separation, retention and other benefit-related costs of $22.1 million and certain other charges of $1.7 million. Of the total charges incurred, $10.8 million are included in the Generic Pharmaceuticals segment, $5.2 million are included in Corporate unallocated costs, $4.0 million are included in the Sterile Injectables segment, $3.1 million are included in the International Pharmaceuticals segment and $0.7 million are included in the Branded Pharmaceuticals segment. Employee separation, retention and other benefit-related costs are included in Cost of revenues, Selling, general and administrative and Research and development expenses in the Condensed Consolidated Statements of Operations. Certain other charges are primarily included in Selling, general and administrative expenses in the Condensed Consolidated Statements of Operations.</w:t>
      </w:r>
    </w:p>
    <w:p>
      <w:pPr>
        <w:spacing w:after="0" w:line="70" w:lineRule="exact"/>
        <w:rPr>
          <w:sz w:val="20"/>
          <w:szCs w:val="20"/>
          <w:color w:val="auto"/>
        </w:rPr>
      </w:pPr>
    </w:p>
    <w:p>
      <w:pPr>
        <w:ind w:right="620" w:firstLine="486"/>
        <w:spacing w:after="0" w:line="312" w:lineRule="auto"/>
        <w:rPr>
          <w:sz w:val="20"/>
          <w:szCs w:val="20"/>
          <w:color w:val="auto"/>
        </w:rPr>
      </w:pPr>
      <w:r>
        <w:rPr>
          <w:rFonts w:ascii="Arial" w:cs="Arial" w:eastAsia="Arial" w:hAnsi="Arial"/>
          <w:sz w:val="16"/>
          <w:szCs w:val="16"/>
          <w:color w:val="auto"/>
        </w:rPr>
        <w:t>The Company did not incur any material pre-tax charges as a result of the January 2018 Restructuring Initiative during any of the other periods presented and does not expect to incur additional material pre-tax restructuring-related expenses related to this initiative. At December 31, 2018, the remaining liability balance was $1.1 million. Substantially all related cash payments were made by the end of the first quarter of 2019.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RESULTS</w:t>
      </w:r>
    </w:p>
    <w:p>
      <w:pPr>
        <w:spacing w:after="0" w:line="12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During the first quarter of 2019, the Company changed the names of its reportable segments. This change, which was intended to simplify the segments’ names, had no impact on the Company’s unaudited Condensed Consolidated Financial Statements or segment results for any of the periods presented. The Company’s four reportable business segments are set forth below.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80"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We evaluate segment performance based on each segment’s adjusted income from continuing operations before income tax, which we define as Loss from continuing operations before income tax and before certain upfront and milestone payments to partners; acquisition-related and integration items, including transaction costs and changes in the fair value of contingent consideration; cost reduction and integration-related initiatives such as separation benefits, retention payments, other exit costs and certain costs associated with integrating an acquired company’s operations; asset impairment charges; amortization of intangible assets; inventory step-up recorded as part of our acquisitions; litigation-related and other contingent matters; gains or losses from early termination of debt; gains or losses from the sales of businesses and other assets; foreign currency gains or losses on intercompany financing arrangements; and certain other items.</w:t>
      </w:r>
    </w:p>
    <w:p>
      <w:pPr>
        <w:spacing w:after="0" w:line="81"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Certain of the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consolidated adjusted income from continuing operations before income tax is equal to the combined results of each of its segments less these unallocated corporate items.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Pharmaceuticals</w:t>
      </w:r>
    </w:p>
    <w:p>
      <w:pPr>
        <w:spacing w:after="0" w:line="117" w:lineRule="exact"/>
        <w:rPr>
          <w:sz w:val="20"/>
          <w:szCs w:val="20"/>
          <w:color w:val="auto"/>
        </w:rPr>
      </w:pPr>
    </w:p>
    <w:p>
      <w:pPr>
        <w:ind w:right="80" w:firstLine="486"/>
        <w:spacing w:after="0" w:line="244" w:lineRule="auto"/>
        <w:rPr>
          <w:sz w:val="20"/>
          <w:szCs w:val="20"/>
          <w:color w:val="auto"/>
        </w:rPr>
      </w:pPr>
      <w:r>
        <w:rPr>
          <w:rFonts w:ascii="Arial" w:cs="Arial" w:eastAsia="Arial" w:hAnsi="Arial"/>
          <w:sz w:val="17"/>
          <w:szCs w:val="17"/>
          <w:color w:val="auto"/>
        </w:rPr>
        <w:t>Our Branded Pharmaceuticals segment includes a variety of branded prescription products to treat and manage conditions in urology, urologic oncology, endocrinology, pain and orthopedics. The products in this segment include XIAFLEX</w:t>
      </w:r>
      <w:r>
        <w:rPr>
          <w:rFonts w:ascii="Arial" w:cs="Arial" w:eastAsia="Arial" w:hAnsi="Arial"/>
          <w:sz w:val="24"/>
          <w:szCs w:val="24"/>
          <w:color w:val="auto"/>
          <w:vertAlign w:val="superscript"/>
        </w:rPr>
        <w:t>®</w:t>
      </w:r>
      <w:r>
        <w:rPr>
          <w:rFonts w:ascii="Arial" w:cs="Arial" w:eastAsia="Arial" w:hAnsi="Arial"/>
          <w:sz w:val="17"/>
          <w:szCs w:val="17"/>
          <w:color w:val="auto"/>
        </w:rPr>
        <w:t>, SUPPRELIN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LA, NASCOBAL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Nasal Spray, AVEED</w:t>
      </w:r>
      <w:r>
        <w:rPr>
          <w:rFonts w:ascii="Arial" w:cs="Arial" w:eastAsia="Arial" w:hAnsi="Arial"/>
          <w:sz w:val="24"/>
          <w:szCs w:val="24"/>
          <w:color w:val="auto"/>
          <w:vertAlign w:val="superscript"/>
        </w:rPr>
        <w:t>®</w:t>
      </w:r>
      <w:r>
        <w:rPr>
          <w:rFonts w:ascii="Arial" w:cs="Arial" w:eastAsia="Arial" w:hAnsi="Arial"/>
          <w:sz w:val="17"/>
          <w:szCs w:val="17"/>
          <w:color w:val="auto"/>
        </w:rPr>
        <w:t>, PERCOCET</w:t>
      </w:r>
      <w:r>
        <w:rPr>
          <w:rFonts w:ascii="Arial" w:cs="Arial" w:eastAsia="Arial" w:hAnsi="Arial"/>
          <w:sz w:val="24"/>
          <w:szCs w:val="24"/>
          <w:color w:val="auto"/>
          <w:vertAlign w:val="superscript"/>
        </w:rPr>
        <w:t>®</w:t>
      </w:r>
      <w:r>
        <w:rPr>
          <w:rFonts w:ascii="Arial" w:cs="Arial" w:eastAsia="Arial" w:hAnsi="Arial"/>
          <w:sz w:val="17"/>
          <w:szCs w:val="17"/>
          <w:color w:val="auto"/>
        </w:rPr>
        <w:t>, TESTOPEL</w:t>
      </w:r>
      <w:r>
        <w:rPr>
          <w:rFonts w:ascii="Arial" w:cs="Arial" w:eastAsia="Arial" w:hAnsi="Arial"/>
          <w:sz w:val="24"/>
          <w:szCs w:val="24"/>
          <w:color w:val="auto"/>
          <w:vertAlign w:val="superscript"/>
        </w:rPr>
        <w:t>®</w:t>
      </w:r>
      <w:r>
        <w:rPr>
          <w:rFonts w:ascii="Arial" w:cs="Arial" w:eastAsia="Arial" w:hAnsi="Arial"/>
          <w:sz w:val="17"/>
          <w:szCs w:val="17"/>
          <w:color w:val="auto"/>
        </w:rPr>
        <w:t>, LIDODERM</w:t>
      </w:r>
      <w:r>
        <w:rPr>
          <w:rFonts w:ascii="Arial" w:cs="Arial" w:eastAsia="Arial" w:hAnsi="Arial"/>
          <w:sz w:val="24"/>
          <w:szCs w:val="24"/>
          <w:color w:val="auto"/>
          <w:vertAlign w:val="superscript"/>
        </w:rPr>
        <w:t>®</w:t>
      </w:r>
      <w:r>
        <w:rPr>
          <w:rFonts w:ascii="Arial" w:cs="Arial" w:eastAsia="Arial" w:hAnsi="Arial"/>
          <w:sz w:val="17"/>
          <w:szCs w:val="17"/>
          <w:color w:val="auto"/>
        </w:rPr>
        <w:t>, VOLTAREN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Gel, EDEX</w:t>
      </w:r>
      <w:r>
        <w:rPr>
          <w:rFonts w:ascii="Arial" w:cs="Arial" w:eastAsia="Arial" w:hAnsi="Arial"/>
          <w:sz w:val="24"/>
          <w:szCs w:val="24"/>
          <w:color w:val="auto"/>
          <w:vertAlign w:val="superscript"/>
        </w:rPr>
        <w:t>®</w:t>
      </w:r>
      <w:r>
        <w:rPr>
          <w:rFonts w:ascii="Arial" w:cs="Arial" w:eastAsia="Arial" w:hAnsi="Arial"/>
          <w:sz w:val="17"/>
          <w:szCs w:val="17"/>
          <w:color w:val="auto"/>
        </w:rPr>
        <w:t>, FORTESTA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Gel and TESTIM</w:t>
      </w:r>
      <w:r>
        <w:rPr>
          <w:rFonts w:ascii="Arial" w:cs="Arial" w:eastAsia="Arial" w:hAnsi="Arial"/>
          <w:sz w:val="24"/>
          <w:szCs w:val="24"/>
          <w:color w:val="auto"/>
          <w:vertAlign w:val="superscript"/>
        </w:rPr>
        <w:t>®</w:t>
      </w:r>
      <w:r>
        <w:rPr>
          <w:rFonts w:ascii="Arial" w:cs="Arial" w:eastAsia="Arial" w:hAnsi="Arial"/>
          <w:sz w:val="17"/>
          <w:szCs w:val="17"/>
          <w:color w:val="auto"/>
        </w:rPr>
        <w:t>, among others.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Sterile Injectables</w:t>
      </w:r>
    </w:p>
    <w:p>
      <w:pPr>
        <w:spacing w:after="0" w:line="112" w:lineRule="exact"/>
        <w:rPr>
          <w:sz w:val="20"/>
          <w:szCs w:val="20"/>
          <w:color w:val="auto"/>
        </w:rPr>
      </w:pPr>
    </w:p>
    <w:p>
      <w:pPr>
        <w:jc w:val="both"/>
        <w:ind w:right="340" w:firstLine="486"/>
        <w:spacing w:after="0" w:line="211" w:lineRule="auto"/>
        <w:rPr>
          <w:sz w:val="20"/>
          <w:szCs w:val="20"/>
          <w:color w:val="auto"/>
        </w:rPr>
      </w:pPr>
      <w:r>
        <w:rPr>
          <w:rFonts w:ascii="Arial" w:cs="Arial" w:eastAsia="Arial" w:hAnsi="Arial"/>
          <w:sz w:val="18"/>
          <w:szCs w:val="18"/>
          <w:color w:val="auto"/>
        </w:rPr>
        <w:t>Our Sterile Injectables segment consists primarily of branded sterile injectable products such as VASOSTRICT</w:t>
      </w:r>
      <w:r>
        <w:rPr>
          <w:rFonts w:ascii="Arial" w:cs="Arial" w:eastAsia="Arial" w:hAnsi="Arial"/>
          <w:sz w:val="25"/>
          <w:szCs w:val="25"/>
          <w:color w:val="auto"/>
          <w:vertAlign w:val="superscript"/>
        </w:rPr>
        <w:t>®</w:t>
      </w:r>
      <w:r>
        <w:rPr>
          <w:rFonts w:ascii="Arial" w:cs="Arial" w:eastAsia="Arial" w:hAnsi="Arial"/>
          <w:sz w:val="18"/>
          <w:szCs w:val="18"/>
          <w:color w:val="auto"/>
        </w:rPr>
        <w:t>,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APLISOL</w:t>
      </w:r>
      <w:r>
        <w:rPr>
          <w:rFonts w:ascii="Arial" w:cs="Arial" w:eastAsia="Arial" w:hAnsi="Arial"/>
          <w:sz w:val="25"/>
          <w:szCs w:val="25"/>
          <w:color w:val="auto"/>
          <w:vertAlign w:val="superscript"/>
        </w:rPr>
        <w:t>®</w:t>
      </w:r>
      <w:r>
        <w:rPr>
          <w:rFonts w:ascii="Arial" w:cs="Arial" w:eastAsia="Arial" w:hAnsi="Arial"/>
          <w:sz w:val="18"/>
          <w:szCs w:val="18"/>
          <w:color w:val="auto"/>
        </w:rPr>
        <w:t>, among others, and certain generic sterile injectable products, including ertapenem for injection, the authorized generic of Merck Sharp &amp; Dohme Corp’s Invanz</w:t>
      </w:r>
      <w:r>
        <w:rPr>
          <w:rFonts w:ascii="Arial" w:cs="Arial" w:eastAsia="Arial" w:hAnsi="Arial"/>
          <w:sz w:val="25"/>
          <w:szCs w:val="25"/>
          <w:color w:val="auto"/>
          <w:vertAlign w:val="superscript"/>
        </w:rPr>
        <w:t>®</w:t>
      </w:r>
      <w:r>
        <w:rPr>
          <w:rFonts w:ascii="Arial" w:cs="Arial" w:eastAsia="Arial" w:hAnsi="Arial"/>
          <w:sz w:val="18"/>
          <w:szCs w:val="18"/>
          <w:color w:val="auto"/>
        </w:rPr>
        <w:t>, and ephedrine sulfate injection, among others.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Generic Pharmaceuticals</w:t>
      </w:r>
    </w:p>
    <w:p>
      <w:pPr>
        <w:spacing w:after="0" w:line="112"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Our Generic Pharmaceuticals segment consists of a differentiated product portfolio including solid oral extended-release, solid oral immediate-release, liquids, semi-solids, patches, powders, ophthalmics and sprays and includes products in the pain management, urology, central nervous system disorders, immunosuppression, oncology, women’s health and cardiovascular disease markets, among others.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Pharmaceuticals</w:t>
      </w:r>
    </w:p>
    <w:p>
      <w:pPr>
        <w:spacing w:after="0" w:line="117"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Our International Pharmaceuticals segment includes a variety of specialty pharmaceutical products sold outside the U.S., primarily in Canada through our operating company Paladin Labs Inc. (Paladin). This segment’s key products serve growing therapeutic areas, including attention deficit hyperactivity disorder, pain, women’s health and oncology.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The following represents selected information for the Company’s reportable segments for the three and nine months ended September 30,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 from external customers: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Branded Pharmaceuticals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217,313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220,100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629,851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632,972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Sterile Injectables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263,635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777,963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670,847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Generic Pharmaceuticals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218,012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257,969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654,322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748,445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Pharmaceuticals (1)</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87,428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108,425</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net revenues from external customers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729,426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745,466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2,149,564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2,160,689</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income from continuing operations before income tax:</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Branded Pharmaceuticals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91,444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84,891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253,417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262,454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Sterile Injectables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197,974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566,345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513,082</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Generic Pharmaceuticals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29,433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82,555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128,738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247,137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Pharmaceuticals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45,594</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4"/>
              </w:rPr>
              <w:t>Total segment adjusted income from continuing operations before income</w:t>
            </w: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330,362</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351,152</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983,553</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1,068,267</w:t>
            </w: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tax</w:t>
            </w: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3687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80" w:hanging="329"/>
        <w:spacing w:after="0"/>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material revenues from external customers attributed to an individual country outside of the U.S. during any of the periods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tangible long-lived assets in an individual country other than the U.S. as of September 30, 2019 or December 31, 2018.</w:t>
      </w:r>
    </w:p>
    <w:p>
      <w:pPr>
        <w:spacing w:after="0" w:line="103" w:lineRule="exact"/>
        <w:rPr>
          <w:sz w:val="20"/>
          <w:szCs w:val="20"/>
          <w:color w:val="auto"/>
        </w:rPr>
      </w:pPr>
    </w:p>
    <w:p>
      <w:pPr>
        <w:ind w:right="640" w:firstLine="486"/>
        <w:spacing w:after="0" w:line="264" w:lineRule="auto"/>
        <w:rPr>
          <w:sz w:val="20"/>
          <w:szCs w:val="20"/>
          <w:color w:val="auto"/>
        </w:rPr>
      </w:pPr>
      <w:r>
        <w:rPr>
          <w:rFonts w:ascii="Arial" w:cs="Arial" w:eastAsia="Arial" w:hAnsi="Arial"/>
          <w:sz w:val="18"/>
          <w:szCs w:val="18"/>
          <w:color w:val="auto"/>
        </w:rPr>
        <w:t>The table below provides reconciliations of our Total consolidated loss from continuing operations before income tax, which is determined in accordance with U.S. GAAP, to our total segment adjusted income from continuing operations before income tax for the three and nine months ended September 30, 2019 and 2018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loss from continuing operations before income tax</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(671,559)</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136,903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131,847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404,387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385,896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unallocated costs (1)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124,351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144,693</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131,932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161,275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417,949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471,662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step-up</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Upfront and milestone payments to partners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43,027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Retention and separation benefits and other cost reduction initiatives (2)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82,141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Certain litigation-related and other contingencies, net (3)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 (4)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258,652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613,400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Acquisition-related and integration items (5)</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13,284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5"/>
              </w:rPr>
              <w:t>Foreign currency impact related to the remeasurement of intercompany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debt instruments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 (6)</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(28,348)</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4"/>
              </w:rPr>
              <w:t>Total segment adjusted income from continuing operations before income</w:t>
            </w: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330,362</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351,152</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983,553</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1,068,267</w:t>
            </w: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tax</w:t>
            </w: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-89535</wp:posOffset>
            </wp:positionV>
            <wp:extent cx="3687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80" w:hanging="329"/>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facility and corporate litigation expenses and certain other income and expenses.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7" w:lineRule="exact"/>
        <w:rPr>
          <w:sz w:val="20"/>
          <w:szCs w:val="20"/>
          <w:color w:val="auto"/>
        </w:rPr>
      </w:pPr>
    </w:p>
    <w:p>
      <w:pPr>
        <w:ind w:left="580" w:right="20" w:hanging="329"/>
        <w:spacing w:after="0" w:line="263" w:lineRule="auto"/>
        <w:tabs>
          <w:tab w:leader="none" w:pos="580" w:val="left"/>
        </w:tabs>
        <w:numPr>
          <w:ilvl w:val="0"/>
          <w:numId w:val="4"/>
        </w:numPr>
        <w:rPr>
          <w:rFonts w:ascii="Arial" w:cs="Arial" w:eastAsia="Arial" w:hAnsi="Arial"/>
          <w:sz w:val="13"/>
          <w:szCs w:val="13"/>
          <w:color w:val="auto"/>
        </w:rPr>
      </w:pPr>
      <w:r>
        <w:rPr>
          <w:rFonts w:ascii="Arial" w:cs="Arial" w:eastAsia="Arial" w:hAnsi="Arial"/>
          <w:sz w:val="13"/>
          <w:szCs w:val="13"/>
          <w:color w:val="auto"/>
        </w:rPr>
        <w:t>Amounts for both the three and nine months ended September 30, 2019 include $6.7 million of costs associated with retention bonuses awarded to certain senior management of the Company. Other amounts during each of the periods presented related primarily to our restructuring initiatives. Such amounts included employee separation costs of $2.2 million during the nine months ended September 30, 2019 and other charges of $4.4 million and $6.3 million during the three and nine months ended September 30, 2019, respectively. During the three and nine months ended September 30, 2018, such amounts included employee separation costs of $2.1 million and $32.7 million, respectively, charges to increase excess inventory reserves of $0.2 million and $2.8 million, respectively, and other charges of $1.7 million and $11.4 million, respectively. Also included in the amount for the nine months ended September 30, 2018 is accelerated depreciation of $35.2 million. See Note 4. Restructuring for discussion of our material restructuring initiatives.</w:t>
      </w:r>
    </w:p>
    <w:p>
      <w:pPr>
        <w:spacing w:after="0" w:line="1" w:lineRule="exact"/>
        <w:rPr>
          <w:rFonts w:ascii="Arial" w:cs="Arial" w:eastAsia="Arial" w:hAnsi="Arial"/>
          <w:sz w:val="13"/>
          <w:szCs w:val="13"/>
          <w:color w:val="auto"/>
        </w:rPr>
      </w:pPr>
    </w:p>
    <w:p>
      <w:pPr>
        <w:ind w:left="580" w:right="680" w:hanging="329"/>
        <w:spacing w:after="0" w:line="241"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include adjustments to our accruals for litigation-related settlement charges and certain settlement proceeds related to suits filed by our subsidiaries. Our material legal proceedings and other contingent matters are described in more detail in Note 13. Commitments and Contingencies.</w:t>
      </w:r>
    </w:p>
    <w:p>
      <w:pPr>
        <w:ind w:left="580" w:hanging="329"/>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as further described in Note 9. Goodwill and Other Intangibles.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primarily relate to changes in the fair value of contingent consideration.</w:t>
      </w:r>
    </w:p>
    <w:p>
      <w:pPr>
        <w:spacing w:after="0" w:line="1" w:lineRule="exact"/>
        <w:rPr>
          <w:rFonts w:ascii="Arial" w:cs="Arial" w:eastAsia="Arial" w:hAnsi="Arial"/>
          <w:sz w:val="14"/>
          <w:szCs w:val="14"/>
          <w:color w:val="auto"/>
        </w:rPr>
      </w:pPr>
    </w:p>
    <w:p>
      <w:pPr>
        <w:ind w:left="580" w:hanging="329"/>
        <w:spacing w:after="0" w:line="248"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during the three and nine months ended September 30, 2019 include $17.5 million for contract termination costs incurred as a result of certain product discontinuation activities in our International Pharmaceuticals segment and $14.1 million for a premium associated with an extended reporting period endorsement on an expiring insurance program. The remaining amounts primarily relate to gains on sales of businesses and other assets.</w:t>
      </w:r>
    </w:p>
    <w:p>
      <w:pPr>
        <w:spacing w:after="0" w:line="88"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Asset information is not reviewed or included within our internal management reporting. Therefore, the Company has not disclosed asset information for each reportable segment.</w:t>
      </w:r>
    </w:p>
    <w:p>
      <w:pPr>
        <w:spacing w:after="0" w:line="62"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The Company disaggregates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Branded Pharmaceuticals: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i w:val="1"/>
                <w:iCs w:val="1"/>
                <w:color w:val="auto"/>
              </w:rPr>
              <w:t>Specialty Products: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XIAFLEX®</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226,118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184,855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SUPPRELIN® LA</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20,772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66,542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60,948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Specialty (1)</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69,226</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Specialty Products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131,998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112,236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371,057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315,029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Established Products: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PERCOCET®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28,561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30,730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88,199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93,539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TESTOPEL®</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44,976</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Established (2)</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43,518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61,172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129,765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179,428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Established Products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107,864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258,794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317,943</w:t>
            </w:r>
          </w:p>
        </w:tc>
        <w:tc>
          <w:tcPr>
            <w:tcW w:w="0" w:type="dxa"/>
            <w:vAlign w:val="bottom"/>
          </w:tcPr>
          <w:p>
            <w:pPr>
              <w:spacing w:after="0"/>
              <w:rPr>
                <w:sz w:val="1"/>
                <w:szCs w:val="1"/>
                <w:color w:val="auto"/>
              </w:rPr>
            </w:pPr>
          </w:p>
        </w:tc>
      </w:tr>
      <w:tr>
        <w:trPr>
          <w:trHeight w:val="331"/>
        </w:trPr>
        <w:tc>
          <w:tcPr>
            <w:tcW w:w="5620" w:type="dxa"/>
            <w:vAlign w:val="bottom"/>
          </w:tcPr>
          <w:p>
            <w:pPr>
              <w:ind w:left="40"/>
              <w:spacing w:after="0"/>
              <w:rPr>
                <w:sz w:val="20"/>
                <w:szCs w:val="20"/>
                <w:color w:val="auto"/>
              </w:rPr>
            </w:pPr>
            <w:r>
              <w:rPr>
                <w:rFonts w:ascii="Arial" w:cs="Arial" w:eastAsia="Arial" w:hAnsi="Arial"/>
                <w:sz w:val="18"/>
                <w:szCs w:val="18"/>
                <w:color w:val="auto"/>
              </w:rPr>
              <w:t>Total Branded Pharmaceuticals (3)</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217,313</w:t>
            </w:r>
          </w:p>
        </w:tc>
        <w:tc>
          <w:tcPr>
            <w:tcW w:w="120" w:type="dxa"/>
            <w:vAlign w:val="bottom"/>
          </w:tcPr>
          <w:p>
            <w:pPr>
              <w:spacing w:after="0"/>
              <w:rPr>
                <w:sz w:val="24"/>
                <w:szCs w:val="24"/>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220,100</w:t>
            </w:r>
          </w:p>
        </w:tc>
        <w:tc>
          <w:tcPr>
            <w:tcW w:w="100" w:type="dxa"/>
            <w:vAlign w:val="bottom"/>
          </w:tcPr>
          <w:p>
            <w:pPr>
              <w:spacing w:after="0"/>
              <w:rPr>
                <w:sz w:val="24"/>
                <w:szCs w:val="24"/>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629,851</w:t>
            </w:r>
          </w:p>
        </w:tc>
        <w:tc>
          <w:tcPr>
            <w:tcW w:w="120" w:type="dxa"/>
            <w:vAlign w:val="bottom"/>
          </w:tcPr>
          <w:p>
            <w:pPr>
              <w:spacing w:after="0"/>
              <w:rPr>
                <w:sz w:val="24"/>
                <w:szCs w:val="24"/>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632,972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Sterile Injectables: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VASOSTRICT®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129,691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112,333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384,854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332,387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ADRENALIN®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133,468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101,858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APLISOL®</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28,085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15,992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55,996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49,064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Ertapenem for injection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25,798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Sterile Injectables (4)</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43,695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47,567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124,026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161,740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Sterile Injectables (3)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263,635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237,150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777,963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670,847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Generic Pharmaceuticals (5)</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218,012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257,969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654,322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748,445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International Pharmaceuticals (6)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108,425</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729,426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745,466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2,149,564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2,160,689</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200" w:hanging="329"/>
        <w:spacing w:after="0" w:line="241"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Products included within Other Specialty are NASCOBAL</w:t>
      </w:r>
      <w:r>
        <w:rPr>
          <w:rFonts w:ascii="Arial" w:cs="Arial" w:eastAsia="Arial" w:hAnsi="Arial"/>
          <w:sz w:val="8"/>
          <w:szCs w:val="8"/>
          <w:color w:val="auto"/>
        </w:rPr>
        <w:t>®</w:t>
      </w:r>
      <w:r>
        <w:rPr>
          <w:rFonts w:ascii="Arial" w:cs="Arial" w:eastAsia="Arial" w:hAnsi="Arial"/>
          <w:sz w:val="14"/>
          <w:szCs w:val="14"/>
          <w:color w:val="auto"/>
        </w:rPr>
        <w:t xml:space="preserve"> Nasal Spray and AVEED</w:t>
      </w:r>
      <w:r>
        <w:rPr>
          <w:rFonts w:ascii="Arial" w:cs="Arial" w:eastAsia="Arial" w:hAnsi="Arial"/>
          <w:sz w:val="8"/>
          <w:szCs w:val="8"/>
          <w:color w:val="auto"/>
        </w:rPr>
        <w:t>®</w:t>
      </w:r>
      <w:r>
        <w:rPr>
          <w:rFonts w:ascii="Arial" w:cs="Arial" w:eastAsia="Arial" w:hAnsi="Arial"/>
          <w:sz w:val="14"/>
          <w:szCs w:val="14"/>
          <w:color w:val="auto"/>
        </w:rPr>
        <w:t>. Beginning with our first-quarter 2019 reporting, TESTOPEL</w:t>
      </w:r>
      <w:r>
        <w:rPr>
          <w:rFonts w:ascii="Arial" w:cs="Arial" w:eastAsia="Arial" w:hAnsi="Arial"/>
          <w:sz w:val="8"/>
          <w:szCs w:val="8"/>
          <w:color w:val="auto"/>
        </w:rPr>
        <w:t>®</w:t>
      </w:r>
      <w:r>
        <w:rPr>
          <w:rFonts w:ascii="Arial" w:cs="Arial" w:eastAsia="Arial" w:hAnsi="Arial"/>
          <w:sz w:val="14"/>
          <w:szCs w:val="14"/>
          <w:color w:val="auto"/>
        </w:rPr>
        <w:t>, which was previously included in Other Specialty, has been reclassified and is now included in the Established Products portfolio for all periods presented.</w:t>
      </w:r>
    </w:p>
    <w:p>
      <w:pPr>
        <w:ind w:left="580" w:right="100" w:hanging="329"/>
        <w:spacing w:after="0" w:line="241"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LIDODERM</w:t>
      </w:r>
      <w:r>
        <w:rPr>
          <w:rFonts w:ascii="Arial" w:cs="Arial" w:eastAsia="Arial" w:hAnsi="Arial"/>
          <w:sz w:val="8"/>
          <w:szCs w:val="8"/>
          <w:color w:val="auto"/>
        </w:rPr>
        <w:t>®</w:t>
      </w:r>
      <w:r>
        <w:rPr>
          <w:rFonts w:ascii="Arial" w:cs="Arial" w:eastAsia="Arial" w:hAnsi="Arial"/>
          <w:sz w:val="14"/>
          <w:szCs w:val="14"/>
          <w:color w:val="auto"/>
        </w:rPr>
        <w:t>, VOLTAREN</w:t>
      </w:r>
      <w:r>
        <w:rPr>
          <w:rFonts w:ascii="Arial" w:cs="Arial" w:eastAsia="Arial" w:hAnsi="Arial"/>
          <w:sz w:val="8"/>
          <w:szCs w:val="8"/>
          <w:color w:val="auto"/>
        </w:rPr>
        <w:t>®</w:t>
      </w:r>
      <w:r>
        <w:rPr>
          <w:rFonts w:ascii="Arial" w:cs="Arial" w:eastAsia="Arial" w:hAnsi="Arial"/>
          <w:sz w:val="14"/>
          <w:szCs w:val="14"/>
          <w:color w:val="auto"/>
        </w:rPr>
        <w:t xml:space="preserve"> Gel, EDEX</w:t>
      </w:r>
      <w:r>
        <w:rPr>
          <w:rFonts w:ascii="Arial" w:cs="Arial" w:eastAsia="Arial" w:hAnsi="Arial"/>
          <w:sz w:val="8"/>
          <w:szCs w:val="8"/>
          <w:color w:val="auto"/>
        </w:rPr>
        <w:t>®</w:t>
      </w:r>
      <w:r>
        <w:rPr>
          <w:rFonts w:ascii="Arial" w:cs="Arial" w:eastAsia="Arial" w:hAnsi="Arial"/>
          <w:sz w:val="14"/>
          <w:szCs w:val="14"/>
          <w:color w:val="auto"/>
        </w:rPr>
        <w:t>, FORTESTA</w:t>
      </w:r>
      <w:r>
        <w:rPr>
          <w:rFonts w:ascii="Arial" w:cs="Arial" w:eastAsia="Arial" w:hAnsi="Arial"/>
          <w:sz w:val="8"/>
          <w:szCs w:val="8"/>
          <w:color w:val="auto"/>
        </w:rPr>
        <w:t>®</w:t>
      </w:r>
      <w:r>
        <w:rPr>
          <w:rFonts w:ascii="Arial" w:cs="Arial" w:eastAsia="Arial" w:hAnsi="Arial"/>
          <w:sz w:val="14"/>
          <w:szCs w:val="14"/>
          <w:color w:val="auto"/>
        </w:rPr>
        <w:t xml:space="preserve"> Gel and TESTIM</w:t>
      </w:r>
      <w:r>
        <w:rPr>
          <w:rFonts w:ascii="Arial" w:cs="Arial" w:eastAsia="Arial" w:hAnsi="Arial"/>
          <w:sz w:val="8"/>
          <w:szCs w:val="8"/>
          <w:color w:val="auto"/>
        </w:rPr>
        <w:t>®</w:t>
      </w:r>
      <w:r>
        <w:rPr>
          <w:rFonts w:ascii="Arial" w:cs="Arial" w:eastAsia="Arial" w:hAnsi="Arial"/>
          <w:sz w:val="14"/>
          <w:szCs w:val="14"/>
          <w:color w:val="auto"/>
        </w:rPr>
        <w:t>, including the authorized generics of FORTESTA</w:t>
      </w:r>
      <w:r>
        <w:rPr>
          <w:rFonts w:ascii="Arial" w:cs="Arial" w:eastAsia="Arial" w:hAnsi="Arial"/>
          <w:sz w:val="8"/>
          <w:szCs w:val="8"/>
          <w:color w:val="auto"/>
        </w:rPr>
        <w:t>®</w:t>
      </w:r>
      <w:r>
        <w:rPr>
          <w:rFonts w:ascii="Arial" w:cs="Arial" w:eastAsia="Arial" w:hAnsi="Arial"/>
          <w:sz w:val="14"/>
          <w:szCs w:val="14"/>
          <w:color w:val="auto"/>
        </w:rPr>
        <w:t xml:space="preserve"> Gel and TESTIM</w:t>
      </w:r>
      <w:r>
        <w:rPr>
          <w:rFonts w:ascii="Arial" w:cs="Arial" w:eastAsia="Arial" w:hAnsi="Arial"/>
          <w:sz w:val="8"/>
          <w:szCs w:val="8"/>
          <w:color w:val="auto"/>
        </w:rPr>
        <w:t>®</w:t>
      </w:r>
      <w:r>
        <w:rPr>
          <w:rFonts w:ascii="Arial" w:cs="Arial" w:eastAsia="Arial" w:hAnsi="Arial"/>
          <w:sz w:val="14"/>
          <w:szCs w:val="14"/>
          <w:color w:val="auto"/>
        </w:rPr>
        <w:t>.</w:t>
      </w:r>
    </w:p>
    <w:p>
      <w:pPr>
        <w:ind w:left="580" w:right="140" w:hanging="329"/>
        <w:spacing w:after="0" w:line="241"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either the three or nine months ended September 30, 2019 and/or any product having revenues in excess of $25 million during any quarterly period in 2019 or 2018.</w:t>
      </w:r>
    </w:p>
    <w:p>
      <w:pPr>
        <w:ind w:left="580" w:hanging="329"/>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ephedrine sulfate injection and others.</w:t>
      </w:r>
    </w:p>
    <w:p>
      <w:pPr>
        <w:spacing w:after="0" w:line="1" w:lineRule="exact"/>
        <w:rPr>
          <w:rFonts w:ascii="Arial" w:cs="Arial" w:eastAsia="Arial" w:hAnsi="Arial"/>
          <w:sz w:val="14"/>
          <w:szCs w:val="14"/>
          <w:color w:val="auto"/>
        </w:rPr>
      </w:pPr>
    </w:p>
    <w:p>
      <w:pPr>
        <w:ind w:left="580" w:right="240" w:hanging="329"/>
        <w:spacing w:after="0" w:line="246"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Generic Pharmaceuticals segment is comprised of a portfolio of products that are generic versions of branded products, are distributed primarily through the same wholesalers, generally have no intellectual property protection and are sold within the U.S. During the three and nine months ended September 30, 2019, colchicine tablets, the authorized generic of Takeda Pharmaceuticals U.S.A., Inc.’s Colcrys</w:t>
      </w:r>
      <w:r>
        <w:rPr>
          <w:rFonts w:ascii="Arial" w:cs="Arial" w:eastAsia="Arial" w:hAnsi="Arial"/>
          <w:sz w:val="8"/>
          <w:szCs w:val="8"/>
          <w:color w:val="auto"/>
        </w:rPr>
        <w:t>®</w:t>
      </w:r>
      <w:r>
        <w:rPr>
          <w:rFonts w:ascii="Arial" w:cs="Arial" w:eastAsia="Arial" w:hAnsi="Arial"/>
          <w:sz w:val="14"/>
          <w:szCs w:val="14"/>
          <w:color w:val="auto"/>
        </w:rPr>
        <w:t>, which launched in July 2018, made up 7% and 6% of consolidated total revenue, respectively. No other individual product within this segment has exceeded 5% of consolidated total revenues for the periods presented.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7" w:lineRule="exact"/>
        <w:rPr>
          <w:sz w:val="20"/>
          <w:szCs w:val="20"/>
          <w:color w:val="auto"/>
        </w:rPr>
      </w:pPr>
    </w:p>
    <w:p>
      <w:pPr>
        <w:ind w:left="580" w:right="220" w:hanging="329"/>
        <w:spacing w:after="0" w:line="257" w:lineRule="auto"/>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International Pharmaceuticals segment, which accounted for 4% of consolidated total revenues during both the three and nine months ended September 30, 2019 and 4% and 5% of consolidated total revenues during the three and nine months ended September 30, 2018, respectively, includes a variety of specialty pharmaceutical products sold outside the U.S., primarily in Canada through our operating company Paladin.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The financial instruments recorded in our Condensed Consolidated Balance Sheets include cash and cash equivalents (including money market funds), restricted cash and cash equivalents, accounts receivable, equity method investments,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short-term maturity, the carrying amounts of non-restricted and restricted cash and cash equivalents (including money market funds), accounts receivable, accounts payable and accrued expenses approximate their fair values.</w:t>
      </w:r>
    </w:p>
    <w:p>
      <w:pPr>
        <w:spacing w:after="0" w:line="81"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The following table presents current and noncurrent restricted cash and cash equivalent balances at September 30, 2019 and December 31,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and cash equivalents—current portion (1)</w:t>
            </w:r>
          </w:p>
        </w:tc>
        <w:tc>
          <w:tcPr>
            <w:tcW w:w="40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305,368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cash and cash equivalents—noncurrent portion (2)</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equivalents—total (3)</w:t>
            </w: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244,848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327,724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jc w:val="right"/>
              <w:ind w:right="7774"/>
              <w:spacing w:after="0" w:line="149" w:lineRule="exact"/>
              <w:rPr>
                <w:sz w:val="20"/>
                <w:szCs w:val="20"/>
                <w:color w:val="auto"/>
              </w:rPr>
            </w:pPr>
            <w:r>
              <w:rPr>
                <w:rFonts w:ascii="Arial" w:cs="Arial" w:eastAsia="Arial" w:hAnsi="Arial"/>
                <w:sz w:val="14"/>
                <w:szCs w:val="14"/>
                <w:color w:val="auto"/>
                <w:w w:val="89"/>
              </w:rPr>
              <w:t>__________</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5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amounts are reported in our Condensed Consolidated Balance Sheets as Restricted cash and cash equivalents.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amounts are reported in our Condensed Consolidated Balance Sheets as Other assets.</w:t>
      </w:r>
    </w:p>
    <w:p>
      <w:pPr>
        <w:spacing w:after="0" w:line="1" w:lineRule="exact"/>
        <w:rPr>
          <w:rFonts w:ascii="Arial" w:cs="Arial" w:eastAsia="Arial" w:hAnsi="Arial"/>
          <w:sz w:val="14"/>
          <w:szCs w:val="14"/>
          <w:color w:val="auto"/>
        </w:rPr>
      </w:pPr>
    </w:p>
    <w:p>
      <w:pPr>
        <w:ind w:left="580" w:right="20" w:hanging="329"/>
        <w:spacing w:after="0" w:line="248" w:lineRule="auto"/>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Approximately $221.6 million and $299.7 million of our restricted cash and cash equivalents are held in qualified settlement funds (QSFs) for mesh-related matters at September 30, 2019 and December 31, 2018, respectively. The remaining amount of restricted cash and cash equivalents at September 30, 2019 primarily relates to other litigation-related matters. See Note 13. Commitments and Contingencies for further information.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Fair value guidance establishes a three-tier fair value hierarchy, which prioritizes the inputs used in measuring fair value. These tiers include:</w:t>
      </w:r>
    </w:p>
    <w:p>
      <w:pPr>
        <w:spacing w:after="0" w:line="35" w:lineRule="exact"/>
        <w:rPr>
          <w:sz w:val="20"/>
          <w:szCs w:val="20"/>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900" w:right="40" w:hanging="244"/>
        <w:spacing w:after="0" w:line="25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11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Changes in any of these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540" w:firstLine="44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at September 30, 2019 and December 31, 2018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rPr>
              <w:t>Fair Value Measurements at September 30, 2019 using:</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9"/>
              </w:rPr>
              <w:t>Significant Other</w:t>
            </w:r>
          </w:p>
        </w:tc>
        <w:tc>
          <w:tcPr>
            <w:tcW w:w="18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3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2"/>
                <w:szCs w:val="12"/>
                <w:color w:val="auto"/>
              </w:rPr>
            </w:pPr>
          </w:p>
        </w:tc>
        <w:tc>
          <w:tcPr>
            <w:tcW w:w="10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Inputs (Level 3)</w:t>
            </w:r>
          </w:p>
        </w:tc>
        <w:tc>
          <w:tcPr>
            <w:tcW w:w="3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20"/>
              <w:spacing w:after="0"/>
              <w:rPr>
                <w:sz w:val="20"/>
                <w:szCs w:val="20"/>
                <w:color w:val="auto"/>
              </w:rPr>
            </w:pPr>
            <w:r>
              <w:rPr>
                <w:rFonts w:ascii="Arial" w:cs="Arial" w:eastAsia="Arial" w:hAnsi="Arial"/>
                <w:sz w:val="18"/>
                <w:szCs w:val="18"/>
                <w:color w:val="auto"/>
              </w:rPr>
              <w:t>748,441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748,441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Acquisition-related contingent consideration—current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20,974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20,974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contingent consideration—noncurrent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38,520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38,520</w:t>
            </w:r>
          </w:p>
        </w:tc>
        <w:tc>
          <w:tcPr>
            <w:tcW w:w="0" w:type="dxa"/>
            <w:vAlign w:val="bottom"/>
          </w:tcPr>
          <w:p>
            <w:pPr>
              <w:spacing w:after="0"/>
              <w:rPr>
                <w:sz w:val="1"/>
                <w:szCs w:val="1"/>
                <w:color w:val="auto"/>
              </w:rPr>
            </w:pPr>
          </w:p>
        </w:tc>
      </w:tr>
      <w:tr>
        <w:trPr>
          <w:trHeight w:val="399"/>
        </w:trPr>
        <w:tc>
          <w:tcPr>
            <w:tcW w:w="5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rPr>
              <w:t>Fair Value Measurements at December 31, 2018 using:</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Observable Inputs</w:t>
            </w: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Unobservable Inputs</w:t>
            </w:r>
          </w:p>
        </w:tc>
        <w:tc>
          <w:tcPr>
            <w:tcW w:w="360" w:type="dxa"/>
            <w:vAlign w:val="bottom"/>
          </w:tcPr>
          <w:p>
            <w:pPr>
              <w:spacing w:after="0"/>
              <w:rPr>
                <w:sz w:val="12"/>
                <w:szCs w:val="12"/>
                <w:color w:val="auto"/>
              </w:rPr>
            </w:pPr>
          </w:p>
        </w:tc>
        <w:tc>
          <w:tcPr>
            <w:tcW w:w="10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20"/>
              <w:spacing w:after="0"/>
              <w:rPr>
                <w:sz w:val="20"/>
                <w:szCs w:val="20"/>
                <w:color w:val="auto"/>
              </w:rPr>
            </w:pPr>
            <w:r>
              <w:rPr>
                <w:rFonts w:ascii="Arial" w:cs="Arial" w:eastAsia="Arial" w:hAnsi="Arial"/>
                <w:sz w:val="18"/>
                <w:szCs w:val="18"/>
                <w:color w:val="auto"/>
              </w:rPr>
              <w:t>137,215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137,215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Acquisition-related contingent consideration—current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36,514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36,514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Acquisition-related contingent consideration—noncurrent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80,189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80,189</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At September 30, 2019 and December 31, 2018, money market funds include $54.6 million and $86.9 million, respectively, in QSFs to be disbursed to mesh-related or other product liability claimants. Amounts in QSFs are considered restricted cash equivalents. See Note 13. Commitments and Contingencies for further discussion of our product liability cases. At September 30, 2019 and December 31, 2018, the differences between the amortized cost and the fair value of our money market funds were not material, individually or in the aggregate.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Using Significant Unobservable Inputs</w:t>
      </w:r>
    </w:p>
    <w:p>
      <w:pPr>
        <w:spacing w:after="0" w:line="117" w:lineRule="exact"/>
        <w:rPr>
          <w:sz w:val="20"/>
          <w:szCs w:val="20"/>
          <w:color w:val="auto"/>
        </w:rPr>
      </w:pPr>
    </w:p>
    <w:p>
      <w:pPr>
        <w:ind w:right="220" w:firstLine="446"/>
        <w:spacing w:after="0" w:line="342" w:lineRule="auto"/>
        <w:rPr>
          <w:sz w:val="20"/>
          <w:szCs w:val="20"/>
          <w:color w:val="auto"/>
        </w:rPr>
      </w:pPr>
      <w:r>
        <w:rPr>
          <w:rFonts w:ascii="Arial" w:cs="Arial" w:eastAsia="Arial" w:hAnsi="Arial"/>
          <w:sz w:val="16"/>
          <w:szCs w:val="16"/>
          <w:color w:val="auto"/>
        </w:rPr>
        <w:t>The following table presents changes to the Company’s liability for acquisition-related contingent consideration, which is measured at fair value on a recurring basis using significant unobservable inputs (Level 3), for the three and nine months ended September 30, 2019 and 2018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52,930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116,703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190,442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Amounts settled</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(73,298)</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fair value recorded in earnings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11,731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currency translation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59,494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128,470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59,494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128,470</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At September 30, 2019, the fair value measurements of the contingent consideration obligations were determined using risk-adjusted discount rates ranging from approximately 9.5% to 15.0% (weighted average rate of approximately 11.8%). Changes in fair value recorded in earnings related to acquisition-related contingent consideration are included in our Condensed Consolidated Statements of Operations as Acquisition-related and integration items. Amounts recorded for the current and noncurrent portions of acquisition-related contingent consideration are included in Accounts payable and accrued expenses and Other liabilities, respectively, in our Condensed Consolidated Balance Sheets.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changes to the Company’s liability for acquisition-related contingent consideration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by acquisition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Changes in Fair</w:t>
            </w: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 Settled and</w:t>
            </w:r>
          </w:p>
        </w:tc>
        <w:tc>
          <w:tcPr>
            <w:tcW w:w="200" w:type="dxa"/>
            <w:vAlign w:val="bottom"/>
          </w:tcPr>
          <w:p>
            <w:pPr>
              <w:spacing w:after="0"/>
              <w:rPr>
                <w:sz w:val="14"/>
                <w:szCs w:val="14"/>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5"/>
              </w:rPr>
              <w:t>Balance as of</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Value Recorded in</w:t>
            </w:r>
          </w:p>
        </w:tc>
        <w:tc>
          <w:tcPr>
            <w:tcW w:w="14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Earnings</w:t>
            </w:r>
          </w:p>
        </w:tc>
        <w:tc>
          <w:tcPr>
            <w:tcW w:w="32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2019</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Auxilium acquisition</w:t>
            </w: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14,855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Lehigh Valley Technologies, Inc. acquisitions</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34,700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10,566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30,800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VOLTAREN® Gel acquisition (1)</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11,606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9,595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116,703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59,494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80" w:hanging="329"/>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change in fair value recorded in earnings includes the impact of certain competitive events occurring during the nine months ended September 30, 2019.</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2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nonrecurring basis during the nine months ended September 30, 2019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44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3"/>
              </w:rPr>
              <w:t>Fair Value Measurements during the Nine Months Ended September</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30, 2019 (1) using:</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Expense for the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Unobservable Inputs</w:t>
            </w:r>
          </w:p>
        </w:tc>
        <w:tc>
          <w:tcPr>
            <w:tcW w:w="13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September 30, 2019</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Intangible assets, excluding goodwill (Note 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41,839</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(104,660)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property, plant and equipment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41,839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(107,544)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80" w:right="100" w:hanging="329"/>
        <w:spacing w:after="0" w:line="255" w:lineRule="auto"/>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spacing w:after="0" w:line="82"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Additionally, the Company recorded aggregate pre-tax non-cash goodwill impairment charges during the nine months ended September 30, 2019 of $151.1 million. Refer to Note 9. Goodwill and Other Intangibles for further description, including the valuation methodologies utilized.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at September 30, 2019 and December 31,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(1)</w:t>
            </w:r>
          </w:p>
        </w:tc>
        <w:tc>
          <w:tcPr>
            <w:tcW w:w="40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122,825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Work-in-process (1)</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68,880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70,458</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 (1)</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146,025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128,896</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338,513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322,179</w:t>
            </w:r>
          </w:p>
        </w:tc>
      </w:tr>
      <w:tr>
        <w:trPr>
          <w:trHeight w:val="20"/>
        </w:trPr>
        <w:tc>
          <w:tcPr>
            <w:tcW w:w="8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260"/>
        <w:spacing w:after="0"/>
        <w:rPr>
          <w:sz w:val="20"/>
          <w:szCs w:val="20"/>
          <w:color w:val="auto"/>
        </w:rPr>
      </w:pPr>
      <w:r>
        <w:rPr>
          <w:rFonts w:ascii="Arial" w:cs="Arial" w:eastAsia="Arial" w:hAnsi="Arial"/>
          <w:sz w:val="14"/>
          <w:szCs w:val="14"/>
          <w:color w:val="auto"/>
        </w:rPr>
        <w:t>(1) The components of inventory shown in the table above are net of allowance for obsolescence.</w:t>
      </w:r>
    </w:p>
    <w:p>
      <w:pPr>
        <w:spacing w:after="0" w:line="101"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Inventory that is in excess of the amount expected to be sold within one year is classified as noncurrent inventory and is not included in the table above. At September 30, 2019 and December 31, 2018, $23.7 million and $8.1 million, respectively, of noncurrent inventory was included in Other assets in the Condensed Consolidated Balance Sheets. As of September 30, 2019 and December 31, 2018, the Company’s Condensed Consolidated Balance Sheets included approximately $18.2 million and $12.5 million, respectively, of capitalized pre-launch inventories related to products that were not yet available to be sold.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entered into contracts with third parties to lease a variety of assets, including certain real estate, machinery, equipment, automobiles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10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Our leases frequently allow for lease payments that could vary based on factors such as inflation or the degree of utilization of the underlying asset and the incurrence of contractual charges such as those for common area maintenance or utilities.</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Renewal and/or early termination options are common in our lease arrangements, particularly with respect to our real estate leases. Our ROU assets and lease liabilities generally exclude periods covered by renewal options and include periods covered by early termination options (based on our conclusion that it is not reasonably certain that we will exercise such options).</w:t>
      </w:r>
    </w:p>
    <w:p>
      <w:pPr>
        <w:spacing w:after="0" w:line="73"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Our most significant lease is for our U.S. headquarters in Malvern, Pennsylvania. The initial term of the lease is through 2024 and includes three renewal options, each for an additional 60-month period. These renewal options are not considered reasonably certain of exercise and are therefore excluded from the ROU asset and lease liability.</w:t>
      </w:r>
    </w:p>
    <w:p>
      <w:pPr>
        <w:spacing w:after="0" w:line="7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We are party to certain sublease arrangements, primarily related to our real estate leases, where we act as the lessee and intermediate lessor. For example, we sublease portions of our Malvern, Pennsylvania facility to multiple tenants through sublease arrangements ending in 2024, with certain limited renewal and early termination options.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information about the Company's ROU assets and lease liabilities at September 30, 2019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66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Condensed Consolidated Balance Sheets Line Items</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2019</w:t>
            </w:r>
          </w:p>
        </w:tc>
      </w:tr>
      <w:tr>
        <w:trPr>
          <w:trHeight w:val="250"/>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assets:</w:t>
            </w:r>
          </w:p>
        </w:tc>
        <w:tc>
          <w:tcPr>
            <w:tcW w:w="6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Operating lease ROU assets</w:t>
            </w: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53,839</w:t>
            </w:r>
          </w:p>
        </w:tc>
      </w:tr>
      <w:tr>
        <w:trPr>
          <w:trHeight w:val="27"/>
        </w:trPr>
        <w:tc>
          <w:tcPr>
            <w:tcW w:w="34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 ROU assets</w:t>
            </w: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59,104</w:t>
            </w:r>
          </w:p>
        </w:tc>
      </w:tr>
      <w:tr>
        <w:trPr>
          <w:trHeight w:val="297"/>
        </w:trPr>
        <w:tc>
          <w:tcPr>
            <w:tcW w:w="3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ROU assets</w:t>
            </w:r>
          </w:p>
        </w:tc>
        <w:tc>
          <w:tcPr>
            <w:tcW w:w="6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112,943</w:t>
            </w: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6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10,575</w:t>
            </w:r>
          </w:p>
        </w:tc>
      </w:tr>
      <w:tr>
        <w:trPr>
          <w:trHeight w:val="27"/>
        </w:trPr>
        <w:tc>
          <w:tcPr>
            <w:tcW w:w="34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50,965</w:t>
            </w:r>
          </w:p>
        </w:tc>
      </w:tr>
      <w:tr>
        <w:trPr>
          <w:trHeight w:val="297"/>
        </w:trPr>
        <w:tc>
          <w:tcPr>
            <w:tcW w:w="3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lease liabilities</w:t>
            </w:r>
          </w:p>
        </w:tc>
        <w:tc>
          <w:tcPr>
            <w:tcW w:w="6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61,540</w:t>
            </w: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liabilities:</w:t>
            </w:r>
          </w:p>
        </w:tc>
        <w:tc>
          <w:tcPr>
            <w:tcW w:w="6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Current finance lease liabilities</w:t>
            </w: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5,550</w:t>
            </w:r>
          </w:p>
        </w:tc>
      </w:tr>
      <w:tr>
        <w:trPr>
          <w:trHeight w:val="27"/>
        </w:trPr>
        <w:tc>
          <w:tcPr>
            <w:tcW w:w="34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finance lease liabilities</w:t>
            </w: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32,768</w:t>
            </w:r>
          </w:p>
        </w:tc>
      </w:tr>
      <w:tr>
        <w:trPr>
          <w:trHeight w:val="257"/>
        </w:trPr>
        <w:tc>
          <w:tcPr>
            <w:tcW w:w="3440" w:type="dxa"/>
            <w:vAlign w:val="bottom"/>
          </w:tcPr>
          <w:p>
            <w:pPr>
              <w:ind w:left="280"/>
              <w:spacing w:after="0"/>
              <w:rPr>
                <w:sz w:val="20"/>
                <w:szCs w:val="20"/>
                <w:color w:val="auto"/>
              </w:rPr>
            </w:pPr>
            <w:r>
              <w:rPr>
                <w:rFonts w:ascii="Arial" w:cs="Arial" w:eastAsia="Arial" w:hAnsi="Arial"/>
                <w:sz w:val="18"/>
                <w:szCs w:val="18"/>
                <w:color w:val="auto"/>
              </w:rPr>
              <w:t>Total finance lease liabilities</w:t>
            </w:r>
          </w:p>
        </w:tc>
        <w:tc>
          <w:tcPr>
            <w:tcW w:w="6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38,318</w:t>
            </w:r>
          </w:p>
        </w:tc>
      </w:tr>
      <w:tr>
        <w:trPr>
          <w:trHeight w:val="20"/>
        </w:trPr>
        <w:tc>
          <w:tcPr>
            <w:tcW w:w="34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60" w:firstLine="486"/>
        <w:spacing w:after="0" w:line="277" w:lineRule="auto"/>
        <w:rPr>
          <w:sz w:val="20"/>
          <w:szCs w:val="20"/>
          <w:color w:val="auto"/>
        </w:rPr>
      </w:pPr>
      <w:r>
        <w:rPr>
          <w:rFonts w:ascii="Arial" w:cs="Arial" w:eastAsia="Arial" w:hAnsi="Arial"/>
          <w:sz w:val="18"/>
          <w:szCs w:val="18"/>
          <w:color w:val="auto"/>
        </w:rPr>
        <w:t>The following table presents information about lease costs and expenses and sublease income for the three and nine months ended September 30, 2019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Condensed Consolidated Statements of Operations Line Items</w:t>
            </w:r>
          </w:p>
        </w:tc>
        <w:tc>
          <w:tcPr>
            <w:tcW w:w="120" w:type="dxa"/>
            <w:vAlign w:val="bottom"/>
            <w:vMerge w:val="restart"/>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Borders>
              <w:bottom w:val="single" w:sz="8" w:color="CCEEFF"/>
            </w:tcBorders>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September 30, 2019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ROU assets</w:t>
            </w: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Interest on lease liabilities</w:t>
            </w: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440" w:type="dxa"/>
            <w:vAlign w:val="bottom"/>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lease costs and income:</w:t>
            </w:r>
          </w:p>
        </w:tc>
        <w:tc>
          <w:tcPr>
            <w:tcW w:w="5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Variable lease costs (2)</w:t>
            </w: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Various (1)</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2,318</w:t>
            </w:r>
          </w:p>
        </w:tc>
        <w:tc>
          <w:tcPr>
            <w:tcW w:w="120" w:type="dxa"/>
            <w:vAlign w:val="bottom"/>
          </w:tcPr>
          <w:p>
            <w:pPr>
              <w:spacing w:after="0"/>
              <w:rPr>
                <w:sz w:val="21"/>
                <w:szCs w:val="21"/>
                <w:color w:val="auto"/>
              </w:rPr>
            </w:pPr>
          </w:p>
        </w:tc>
        <w:tc>
          <w:tcPr>
            <w:tcW w:w="440" w:type="dxa"/>
            <w:vAlign w:val="bottom"/>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7,185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Sublease income</w:t>
            </w: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20" w:type="dxa"/>
            <w:vAlign w:val="bottom"/>
          </w:tcPr>
          <w:p>
            <w:pPr>
              <w:spacing w:after="0" w:line="155" w:lineRule="exact"/>
              <w:rPr>
                <w:sz w:val="20"/>
                <w:szCs w:val="20"/>
                <w:color w:val="auto"/>
              </w:rPr>
            </w:pPr>
            <w:r>
              <w:rPr>
                <w:rFonts w:ascii="Arial" w:cs="Arial" w:eastAsia="Arial" w:hAnsi="Arial"/>
                <w:sz w:val="14"/>
                <w:szCs w:val="14"/>
                <w:color w:val="auto"/>
              </w:rPr>
              <w:t>__________</w:t>
            </w:r>
          </w:p>
        </w:tc>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80" w:right="700" w:hanging="329"/>
        <w:spacing w:after="0" w:line="255"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are included in the Condensed Consolidated Statements of Operations based on the function that the underlying leased asset supports. The following table presents the components of such aggregate amounts for the three and nine months ended September 30, 2019 (in thousands):</w:t>
      </w:r>
    </w:p>
    <w:p>
      <w:pPr>
        <w:spacing w:after="0" w:line="1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49"/>
        </w:trPr>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Ended September</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4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30, 2019</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September 30, 2019</w:t>
            </w:r>
          </w:p>
        </w:tc>
        <w:tc>
          <w:tcPr>
            <w:tcW w:w="0" w:type="dxa"/>
            <w:vAlign w:val="bottom"/>
          </w:tcPr>
          <w:p>
            <w:pPr>
              <w:spacing w:after="0"/>
              <w:rPr>
                <w:sz w:val="1"/>
                <w:szCs w:val="1"/>
                <w:color w:val="auto"/>
              </w:rPr>
            </w:pPr>
          </w:p>
        </w:tc>
      </w:tr>
      <w:tr>
        <w:trPr>
          <w:trHeight w:val="256"/>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8,425</w:t>
            </w:r>
          </w:p>
        </w:tc>
        <w:tc>
          <w:tcPr>
            <w:tcW w:w="0" w:type="dxa"/>
            <w:vAlign w:val="bottom"/>
          </w:tcPr>
          <w:p>
            <w:pPr>
              <w:spacing w:after="0"/>
              <w:rPr>
                <w:sz w:val="1"/>
                <w:szCs w:val="1"/>
                <w:color w:val="auto"/>
              </w:rPr>
            </w:pPr>
          </w:p>
        </w:tc>
      </w:tr>
      <w:tr>
        <w:trPr>
          <w:trHeight w:val="258"/>
        </w:trPr>
        <w:tc>
          <w:tcPr>
            <w:tcW w:w="746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4,347</w:t>
            </w:r>
          </w:p>
        </w:tc>
        <w:tc>
          <w:tcPr>
            <w:tcW w:w="100" w:type="dxa"/>
            <w:vAlign w:val="bottom"/>
          </w:tcPr>
          <w:p>
            <w:pPr>
              <w:spacing w:after="0"/>
              <w:rPr>
                <w:sz w:val="22"/>
                <w:szCs w:val="22"/>
                <w:color w:val="auto"/>
              </w:rPr>
            </w:pP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13,145</w:t>
            </w:r>
          </w:p>
        </w:tc>
        <w:tc>
          <w:tcPr>
            <w:tcW w:w="0" w:type="dxa"/>
            <w:vAlign w:val="bottom"/>
          </w:tcPr>
          <w:p>
            <w:pPr>
              <w:spacing w:after="0"/>
              <w:rPr>
                <w:sz w:val="1"/>
                <w:szCs w:val="1"/>
                <w:color w:val="auto"/>
              </w:rPr>
            </w:pPr>
          </w:p>
        </w:tc>
      </w:tr>
      <w:tr>
        <w:trPr>
          <w:trHeight w:val="270"/>
        </w:trPr>
        <w:tc>
          <w:tcPr>
            <w:tcW w:w="74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3"/>
                <w:szCs w:val="23"/>
                <w:color w:val="auto"/>
              </w:rPr>
            </w:pP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-163195</wp:posOffset>
            </wp:positionV>
            <wp:extent cx="648335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3350" cy="171450"/>
                    </a:xfrm>
                    <a:prstGeom prst="rect">
                      <a:avLst/>
                    </a:prstGeom>
                    <a:noFill/>
                  </pic:spPr>
                </pic:pic>
              </a:graphicData>
            </a:graphic>
          </wp:anchor>
        </w:drawing>
      </w:r>
    </w:p>
    <w:p>
      <w:pPr>
        <w:ind w:left="580" w:right="40" w:hanging="329"/>
        <w:spacing w:after="0" w:line="263" w:lineRule="auto"/>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The following table, determined in accordance with ASC 842, provides the undiscounted amount of future cash flows included in our lease liabilities at September 30, 2019 for each of the five years subsequent to December 31, 2018 and thereafter, as well as a reconciliation of such undiscounted cash flows to our lease liabilities at September 30, 2019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Finance Leases</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amounts already paid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13,771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7,447</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12,424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7,744</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7,898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20,549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21,881</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74,492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54,390</w:t>
            </w: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12,952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16,072</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future lease payments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61,540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38,318</w:t>
            </w: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Company’s future minimum lease commitments as of December 31, 2018 under ASC 840, as reported in the Annual Report,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2"/>
              </w:rPr>
              <w:t>Capital Leases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6,819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14,519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12,454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20,573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86,174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present value of minimum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39,964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Less: Current portion of such obligations</w:t>
            </w:r>
          </w:p>
        </w:tc>
        <w:tc>
          <w:tcPr>
            <w:tcW w:w="1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34,119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Malvern, Pennsylvania headquarters lease arrangement is included under Capital Leases.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the weighted average remaining lease term and weighted average discount rates for our leases as of September 30,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9"/>
              </w:rPr>
              <w:t>September 30, 2019</w:t>
            </w: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(years), weighted based on lease liability balances:</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6.0 years</w:t>
            </w:r>
          </w:p>
        </w:tc>
      </w:tr>
      <w:tr>
        <w:trPr>
          <w:trHeight w:val="27"/>
        </w:trPr>
        <w:tc>
          <w:tcPr>
            <w:tcW w:w="9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9.7 years</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Weighted average discount rate (percentages), weighted based on the remaining balance of lease payments:</w:t>
            </w:r>
          </w:p>
        </w:tc>
        <w:tc>
          <w:tcPr>
            <w:tcW w:w="1440" w:type="dxa"/>
            <w:vAlign w:val="bottom"/>
          </w:tcPr>
          <w:p>
            <w:pPr>
              <w:spacing w:after="0"/>
              <w:rPr>
                <w:sz w:val="21"/>
                <w:szCs w:val="21"/>
                <w:color w:val="auto"/>
              </w:rPr>
            </w:pPr>
          </w:p>
        </w:tc>
      </w:tr>
      <w:tr>
        <w:trPr>
          <w:trHeight w:val="27"/>
        </w:trPr>
        <w:tc>
          <w:tcPr>
            <w:tcW w:w="9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702"/>
        </w:trPr>
        <w:tc>
          <w:tcPr>
            <w:tcW w:w="9980" w:type="dxa"/>
            <w:vAlign w:val="bottom"/>
          </w:tcPr>
          <w:p>
            <w:pPr>
              <w:ind w:left="5620"/>
              <w:spacing w:after="0"/>
              <w:rPr>
                <w:sz w:val="20"/>
                <w:szCs w:val="20"/>
                <w:color w:val="auto"/>
              </w:rPr>
            </w:pPr>
            <w:r>
              <w:rPr>
                <w:rFonts w:ascii="Arial" w:cs="Arial" w:eastAsia="Arial" w:hAnsi="Arial"/>
                <w:sz w:val="18"/>
                <w:szCs w:val="18"/>
                <w:color w:val="auto"/>
              </w:rPr>
              <w:t>16</w:t>
            </w: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certain cash flow and supplemental noncash information related to our lease liabilities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Nine Months Ended</w:t>
            </w:r>
          </w:p>
        </w:tc>
      </w:tr>
      <w:tr>
        <w:trPr>
          <w:trHeight w:val="192"/>
        </w:trPr>
        <w:tc>
          <w:tcPr>
            <w:tcW w:w="100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2019</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Operating cash payments for operating leases</w:t>
            </w:r>
          </w:p>
        </w:tc>
        <w:tc>
          <w:tcPr>
            <w:tcW w:w="440" w:type="dxa"/>
            <w:vAlign w:val="bottom"/>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11,200</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payments for finance leases</w:t>
            </w:r>
          </w:p>
        </w:tc>
        <w:tc>
          <w:tcPr>
            <w:tcW w:w="4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w:t>
            </w: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Financing cash payments for finance leases</w:t>
            </w:r>
          </w:p>
        </w:tc>
        <w:tc>
          <w:tcPr>
            <w:tcW w:w="440" w:type="dxa"/>
            <w:vAlign w:val="bottom"/>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7,826</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liabilities arising from obtaining right-of-use assets: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440" w:type="dxa"/>
            <w:vAlign w:val="bottom"/>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623</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0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4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5,901</w:t>
            </w:r>
          </w:p>
        </w:tc>
      </w:tr>
      <w:tr>
        <w:trPr>
          <w:trHeight w:val="27"/>
        </w:trPr>
        <w:tc>
          <w:tcPr>
            <w:tcW w:w="10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our goodwill for the nine months ended September 30, 2019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Branded</w:t>
            </w: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Sterile Injectables</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Generic</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Pharmaceuticals</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Pharmaceuticals</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as of December 31, 2018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828,818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2,731,193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151,108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53,517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3,764,636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Effect of currency translation</w:t>
            </w: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1,794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 charges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(151,108)</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Goodwill as of September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828,818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2,731,193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55,311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3,615,322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carrying amounts of goodwill at September 30, 2019 and December 31, 2018 are net of the following accumulated impairments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359"/>
              <w:spacing w:after="0"/>
              <w:rPr>
                <w:sz w:val="20"/>
                <w:szCs w:val="20"/>
                <w:color w:val="auto"/>
              </w:rPr>
            </w:pPr>
            <w:r>
              <w:rPr>
                <w:rFonts w:ascii="Arial" w:cs="Arial" w:eastAsia="Arial" w:hAnsi="Arial"/>
                <w:sz w:val="14"/>
                <w:szCs w:val="14"/>
                <w:b w:val="1"/>
                <w:bCs w:val="1"/>
                <w:color w:val="auto"/>
              </w:rPr>
              <w:t>Branded</w:t>
            </w:r>
          </w:p>
        </w:tc>
        <w:tc>
          <w:tcPr>
            <w:tcW w:w="100" w:type="dxa"/>
            <w:vAlign w:val="bottom"/>
          </w:tcPr>
          <w:p>
            <w:pPr>
              <w:spacing w:after="0"/>
              <w:rPr>
                <w:sz w:val="14"/>
                <w:szCs w:val="14"/>
                <w:color w:val="auto"/>
              </w:rPr>
            </w:pPr>
          </w:p>
        </w:tc>
        <w:tc>
          <w:tcPr>
            <w:tcW w:w="14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Sterile Injectables</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Generic</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320" w:type="dxa"/>
            <w:vAlign w:val="bottom"/>
          </w:tcPr>
          <w:p>
            <w:pPr>
              <w:spacing w:after="0"/>
              <w:rPr>
                <w:sz w:val="14"/>
                <w:szCs w:val="14"/>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Pharmaceuticals</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Accumulated impairment losses as of December 31,</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855,810</w:t>
            </w:r>
          </w:p>
        </w:tc>
        <w:tc>
          <w:tcPr>
            <w:tcW w:w="720" w:type="dxa"/>
            <w:vAlign w:val="bottom"/>
            <w:tcBorders>
              <w:bottom w:val="single" w:sz="8" w:color="CCEEFF"/>
            </w:tcBorders>
            <w:gridSpan w:val="2"/>
            <w:shd w:val="clear" w:color="auto" w:fill="CCEEFF"/>
          </w:tcPr>
          <w:p>
            <w:pPr>
              <w:jc w:val="center"/>
              <w:ind w:right="308"/>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2,991,549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456,408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4,303,767</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6"/>
              </w:rPr>
              <w:t>Accumulated impairment losses as of September 30,</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855,810</w:t>
            </w:r>
          </w:p>
        </w:tc>
        <w:tc>
          <w:tcPr>
            <w:tcW w:w="720" w:type="dxa"/>
            <w:vAlign w:val="bottom"/>
            <w:gridSpan w:val="2"/>
          </w:tcPr>
          <w:p>
            <w:pPr>
              <w:jc w:val="center"/>
              <w:ind w:right="308"/>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3,142,657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470,181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220"/>
              <w:spacing w:after="0"/>
              <w:rPr>
                <w:sz w:val="20"/>
                <w:szCs w:val="20"/>
                <w:color w:val="auto"/>
              </w:rPr>
            </w:pPr>
            <w:r>
              <w:rPr>
                <w:rFonts w:ascii="Arial" w:cs="Arial" w:eastAsia="Arial" w:hAnsi="Arial"/>
                <w:sz w:val="18"/>
                <w:szCs w:val="18"/>
                <w:color w:val="auto"/>
                <w:w w:val="99"/>
              </w:rPr>
              <w:t>4,468,648</w:t>
            </w: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gridSpan w:val="2"/>
          </w:tcPr>
          <w:p>
            <w:pPr>
              <w:jc w:val="center"/>
              <w:ind w:right="308"/>
              <w:spacing w:after="0"/>
              <w:rPr>
                <w:sz w:val="20"/>
                <w:szCs w:val="20"/>
                <w:color w:val="auto"/>
              </w:rPr>
            </w:pPr>
            <w:r>
              <w:rPr>
                <w:rFonts w:ascii="Arial" w:cs="Arial" w:eastAsia="Arial" w:hAnsi="Arial"/>
                <w:sz w:val="18"/>
                <w:szCs w:val="18"/>
                <w:color w:val="auto"/>
                <w:w w:val="89"/>
              </w:rPr>
              <w:t>17</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the amount of other intangible assets for the nine months ended September 30, 2019 are set forth in the table below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Cost basis:</w:t>
            </w:r>
          </w:p>
        </w:tc>
        <w:tc>
          <w:tcPr>
            <w:tcW w:w="120" w:type="dxa"/>
            <w:vAlign w:val="bottom"/>
          </w:tcPr>
          <w:p>
            <w:pPr>
              <w:spacing w:after="0"/>
              <w:rPr>
                <w:sz w:val="14"/>
                <w:szCs w:val="14"/>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Acquisitions</w:t>
            </w:r>
          </w:p>
        </w:tc>
        <w:tc>
          <w:tcPr>
            <w:tcW w:w="20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Effect of Currency</w:t>
            </w:r>
          </w:p>
        </w:tc>
        <w:tc>
          <w:tcPr>
            <w:tcW w:w="200" w:type="dxa"/>
            <w:vAlign w:val="bottom"/>
          </w:tcPr>
          <w:p>
            <w:pPr>
              <w:spacing w:after="0"/>
              <w:rPr>
                <w:sz w:val="14"/>
                <w:szCs w:val="14"/>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In-process research and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93,900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93,900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Total indefinite-lived intangibles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93,900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93,900</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Finite-lived intangibles: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Licenses (weighted average life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14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457,402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457,402</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Tradenames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6,409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Developed technology (weighted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life of 11 years)</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6,182,015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6,082,602</w:t>
            </w:r>
          </w:p>
        </w:tc>
        <w:tc>
          <w:tcPr>
            <w:tcW w:w="0" w:type="dxa"/>
            <w:vAlign w:val="bottom"/>
          </w:tcPr>
          <w:p>
            <w:pPr>
              <w:spacing w:after="0"/>
              <w:rPr>
                <w:sz w:val="1"/>
                <w:szCs w:val="1"/>
                <w:color w:val="auto"/>
              </w:rPr>
            </w:pPr>
          </w:p>
        </w:tc>
      </w:tr>
      <w:tr>
        <w:trPr>
          <w:trHeight w:val="209"/>
        </w:trPr>
        <w:tc>
          <w:tcPr>
            <w:tcW w:w="2640" w:type="dxa"/>
            <w:vAlign w:val="bottom"/>
          </w:tcPr>
          <w:p>
            <w:pPr>
              <w:ind w:left="180"/>
              <w:spacing w:after="0"/>
              <w:rPr>
                <w:sz w:val="20"/>
                <w:szCs w:val="20"/>
                <w:color w:val="auto"/>
              </w:rPr>
            </w:pPr>
            <w:r>
              <w:rPr>
                <w:rFonts w:ascii="Arial" w:cs="Arial" w:eastAsia="Arial" w:hAnsi="Arial"/>
                <w:sz w:val="18"/>
                <w:szCs w:val="18"/>
                <w:color w:val="auto"/>
              </w:rPr>
              <w:t>Total finite-lived intangibles</w:t>
            </w: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(weighted average life of 11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years)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6,645,826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(104,660)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7,443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6,546,413</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6,739,726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6,640,313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Accumulated amortization:</w:t>
            </w:r>
          </w:p>
        </w:tc>
        <w:tc>
          <w:tcPr>
            <w:tcW w:w="120" w:type="dxa"/>
            <w:vAlign w:val="bottom"/>
          </w:tcPr>
          <w:p>
            <w:pPr>
              <w:spacing w:after="0"/>
              <w:rPr>
                <w:sz w:val="22"/>
                <w:szCs w:val="22"/>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22"/>
                <w:szCs w:val="22"/>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22"/>
                <w:szCs w:val="2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Effect of Currency</w:t>
            </w:r>
          </w:p>
        </w:tc>
        <w:tc>
          <w:tcPr>
            <w:tcW w:w="200" w:type="dxa"/>
            <w:vAlign w:val="bottom"/>
          </w:tcPr>
          <w:p>
            <w:pPr>
              <w:spacing w:after="0"/>
              <w:rPr>
                <w:sz w:val="22"/>
                <w:szCs w:val="22"/>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Licenses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(398,182)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(407,908)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(2,877,829)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(408,223)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(3,287,779)</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(3,282,420)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(3,702,096)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640" w:type="dxa"/>
            <w:vAlign w:val="bottom"/>
          </w:tcPr>
          <w:p>
            <w:pPr>
              <w:ind w:left="40"/>
              <w:spacing w:after="0"/>
              <w:rPr>
                <w:sz w:val="20"/>
                <w:szCs w:val="20"/>
                <w:color w:val="auto"/>
              </w:rPr>
            </w:pPr>
            <w:r>
              <w:rPr>
                <w:rFonts w:ascii="Arial" w:cs="Arial" w:eastAsia="Arial" w:hAnsi="Arial"/>
                <w:sz w:val="18"/>
                <w:szCs w:val="18"/>
                <w:color w:val="auto"/>
              </w:rPr>
              <w:t>Net other intangibles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3,457,306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2,938,217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hanging="329"/>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Other adjustments relate to the removal of certain fully amortized intangible assets.</w:t>
      </w:r>
    </w:p>
    <w:p>
      <w:pPr>
        <w:spacing w:after="0" w:line="101"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Amortization expense for the three and nine months ended September 30, 2019 totaled $131.9 million and $417.9 million, respectively. Amortization expense for the three and nine months ended September 30, 2018 totaled $161.3 million and $471.7 million, respectively. Amortization expense is included in Cost of revenues in the Condensed Consolidated Statements of Operations. Estimated amortization of intangibles for the five fiscal years subsequent to December 31, 2018 is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shd w:val="clear" w:color="auto" w:fill="CCEEFF"/>
          </w:tcPr>
          <w:p>
            <w:pPr>
              <w:jc w:val="right"/>
              <w:ind w:right="4750"/>
              <w:spacing w:after="0"/>
              <w:rPr>
                <w:sz w:val="20"/>
                <w:szCs w:val="20"/>
                <w:color w:val="auto"/>
              </w:rPr>
            </w:pPr>
            <w:r>
              <w:rPr>
                <w:rFonts w:ascii="Arial" w:cs="Arial" w:eastAsia="Arial" w:hAnsi="Arial"/>
                <w:sz w:val="18"/>
                <w:szCs w:val="18"/>
                <w:color w:val="auto"/>
                <w:w w:val="94"/>
              </w:rPr>
              <w:t>2019</w:t>
            </w:r>
          </w:p>
        </w:tc>
        <w:tc>
          <w:tcPr>
            <w:tcW w:w="5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543,795</w:t>
            </w:r>
          </w:p>
        </w:tc>
      </w:tr>
      <w:tr>
        <w:trPr>
          <w:trHeight w:val="243"/>
        </w:trPr>
        <w:tc>
          <w:tcPr>
            <w:tcW w:w="5240" w:type="dxa"/>
            <w:vAlign w:val="bottom"/>
          </w:tcPr>
          <w:p>
            <w:pPr>
              <w:jc w:val="right"/>
              <w:ind w:right="4750"/>
              <w:spacing w:after="0"/>
              <w:rPr>
                <w:sz w:val="20"/>
                <w:szCs w:val="20"/>
                <w:color w:val="auto"/>
              </w:rPr>
            </w:pPr>
            <w:r>
              <w:rPr>
                <w:rFonts w:ascii="Arial" w:cs="Arial" w:eastAsia="Arial" w:hAnsi="Arial"/>
                <w:sz w:val="18"/>
                <w:szCs w:val="18"/>
                <w:color w:val="auto"/>
                <w:w w:val="94"/>
              </w:rPr>
              <w:t>2020</w:t>
            </w:r>
          </w:p>
        </w:tc>
        <w:tc>
          <w:tcPr>
            <w:tcW w:w="52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457,248</w:t>
            </w:r>
          </w:p>
        </w:tc>
      </w:tr>
      <w:tr>
        <w:trPr>
          <w:trHeight w:val="27"/>
        </w:trPr>
        <w:tc>
          <w:tcPr>
            <w:tcW w:w="5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jc w:val="right"/>
              <w:ind w:right="4750"/>
              <w:spacing w:after="0"/>
              <w:rPr>
                <w:sz w:val="20"/>
                <w:szCs w:val="20"/>
                <w:color w:val="auto"/>
              </w:rPr>
            </w:pPr>
            <w:r>
              <w:rPr>
                <w:rFonts w:ascii="Arial" w:cs="Arial" w:eastAsia="Arial" w:hAnsi="Arial"/>
                <w:sz w:val="18"/>
                <w:szCs w:val="18"/>
                <w:color w:val="auto"/>
                <w:w w:val="94"/>
              </w:rPr>
              <w:t>2021</w:t>
            </w:r>
          </w:p>
        </w:tc>
        <w:tc>
          <w:tcPr>
            <w:tcW w:w="5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415,637</w:t>
            </w:r>
          </w:p>
        </w:tc>
      </w:tr>
      <w:tr>
        <w:trPr>
          <w:trHeight w:val="243"/>
        </w:trPr>
        <w:tc>
          <w:tcPr>
            <w:tcW w:w="5240" w:type="dxa"/>
            <w:vAlign w:val="bottom"/>
          </w:tcPr>
          <w:p>
            <w:pPr>
              <w:jc w:val="right"/>
              <w:ind w:right="4750"/>
              <w:spacing w:after="0"/>
              <w:rPr>
                <w:sz w:val="20"/>
                <w:szCs w:val="20"/>
                <w:color w:val="auto"/>
              </w:rPr>
            </w:pPr>
            <w:r>
              <w:rPr>
                <w:rFonts w:ascii="Arial" w:cs="Arial" w:eastAsia="Arial" w:hAnsi="Arial"/>
                <w:sz w:val="18"/>
                <w:szCs w:val="18"/>
                <w:color w:val="auto"/>
                <w:w w:val="94"/>
              </w:rPr>
              <w:t>2022</w:t>
            </w:r>
          </w:p>
        </w:tc>
        <w:tc>
          <w:tcPr>
            <w:tcW w:w="52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399,886</w:t>
            </w:r>
          </w:p>
        </w:tc>
      </w:tr>
      <w:tr>
        <w:trPr>
          <w:trHeight w:val="27"/>
        </w:trPr>
        <w:tc>
          <w:tcPr>
            <w:tcW w:w="5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240" w:type="dxa"/>
            <w:vAlign w:val="bottom"/>
            <w:shd w:val="clear" w:color="auto" w:fill="CCEEFF"/>
          </w:tcPr>
          <w:p>
            <w:pPr>
              <w:jc w:val="right"/>
              <w:ind w:right="4750"/>
              <w:spacing w:after="0"/>
              <w:rPr>
                <w:sz w:val="20"/>
                <w:szCs w:val="20"/>
                <w:color w:val="auto"/>
              </w:rPr>
            </w:pPr>
            <w:r>
              <w:rPr>
                <w:rFonts w:ascii="Arial" w:cs="Arial" w:eastAsia="Arial" w:hAnsi="Arial"/>
                <w:sz w:val="18"/>
                <w:szCs w:val="18"/>
                <w:color w:val="auto"/>
                <w:w w:val="94"/>
              </w:rPr>
              <w:t>2023</w:t>
            </w:r>
          </w:p>
        </w:tc>
        <w:tc>
          <w:tcPr>
            <w:tcW w:w="5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369,619</w:t>
            </w:r>
          </w:p>
        </w:tc>
      </w:tr>
      <w:tr>
        <w:trPr>
          <w:trHeight w:val="27"/>
        </w:trPr>
        <w:tc>
          <w:tcPr>
            <w:tcW w:w="524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11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Endo tests goodwill and indefinite-lived intangible assets for impairment annually and whenever events or changes in circumstances indicate that such assets might be impaired. Our annual assessment is performed as of October 1st.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As part of our goodwill and intangible asset impairment assessments, we estimate the fair values of our reporting units and our intangible assets using an income approach that utilizes a discounted cash flow model or, where appropriate, a market approach. The discounted cash flow models are dependent upon our estimates of future cash flows and other factors. These estimates of future cash flows involve assumptions concerning (i) future operating performance, including future sales, long-term growth rates, operating margins, tax rates, variations in the amount and timing of cash flows and the probability of achieving the estimated cash flows and (ii) future economic conditions. These assumptions are based on significant inputs not observable in the market and thus represent Level 3 measurements within the fair value hierarchy. The discount rates applied to the estimated cash flows are based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Condensed Consolidated Statements of Operations.</w:t>
      </w:r>
    </w:p>
    <w:p>
      <w:pPr>
        <w:spacing w:after="0" w:line="74"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During the three and nine months ended September 30, 2019 and 2018, the Company incurred the following goodwill and other intangible asset impairment charges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151,108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391,000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intangible asset impairment charges</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4,261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140,609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104,660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217,576</w:t>
            </w:r>
          </w:p>
        </w:tc>
      </w:tr>
    </w:tbl>
    <w:p>
      <w:pPr>
        <w:spacing w:after="0" w:line="33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A summary of significant goodwill and other intangible asset impairment tests and related charges is included below. Pre-tax non-cash intangible asset impairment charges related primarily to certain in-process research and development and/or developed technology intangible assets that were tested for impairment following changes in market conditions and certain other factors impacting recoverability.</w:t>
      </w:r>
    </w:p>
    <w:p>
      <w:pPr>
        <w:spacing w:after="0" w:line="7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a result of certain competitive events that occurred during the first quarter of 2019, we tested the goodwill of our Generic Pharmaceuticals reporting unit for impairment as of March 31, 2019. The fair value of the reporting unit was estimated using an income approach that utilized a discounted cash flow model. The discount rate utilized in this test was 10.5%. This goodwill impairment test resulted in a pre-tax non-cash goodwill impairment charge of $86.0 million during the three months ended March 31, 2019, representing the excess of this reporting unit’s carrying amount over its estimated fair value. This Generic Pharmaceuticals impairment can be primarily attributed to the impact of the competitive events referenced above and an increase in the discount rate used in the determination of fair value.</w:t>
      </w:r>
    </w:p>
    <w:p>
      <w:pPr>
        <w:spacing w:after="0" w:line="85"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During the second quarter of the 2019, unfavorable competitive and pricing events occurred that caused us to update certain assumptions from those used in our first-quarter 2019 Generic Pharmaceuticals goodwill impairment test. The Company considered these events, together with the fact that this reporting unit’s carrying amount equaled its fair value immediately subsequent to the first-quarter 2019 goodwill impairment charge, as part of its qualitative assessment of goodwill triggering events for the second quarter of 2019. As a result, we concluded that it was more likely than not that the fair value of this reporting unit was below its carrying amount as of June 30, 2019 and a goodwill impairment test was required. After performing this quantitative test, we determined that this reporting unit’s carrying amount exceeded its estimated fair value. The fair value of the reporting unit was estimated using an income approach that utilized a discounted cash flow model. The discount rate utilized in this test was 10.5%. Based on the excess of this reporting unit’s carrying amount over its estimated fair value, we recorded a pre-tax non-cash goodwill impairment charge of $65.1 million during the three months ended June 30, 2019, representing the entire remaining amount of this reporting unit’s goodwill.</w:t>
      </w:r>
    </w:p>
    <w:p>
      <w:pPr>
        <w:spacing w:after="0" w:line="74" w:lineRule="exact"/>
        <w:rPr>
          <w:sz w:val="20"/>
          <w:szCs w:val="20"/>
          <w:color w:val="auto"/>
        </w:rPr>
      </w:pPr>
    </w:p>
    <w:p>
      <w:pPr>
        <w:ind w:right="240" w:firstLine="486"/>
        <w:spacing w:after="0" w:line="285" w:lineRule="auto"/>
        <w:rPr>
          <w:sz w:val="20"/>
          <w:szCs w:val="20"/>
          <w:color w:val="auto"/>
        </w:rPr>
      </w:pPr>
      <w:r>
        <w:rPr>
          <w:rFonts w:ascii="Arial" w:cs="Arial" w:eastAsia="Arial" w:hAnsi="Arial"/>
          <w:sz w:val="16"/>
          <w:szCs w:val="16"/>
          <w:color w:val="auto"/>
        </w:rPr>
        <w:t>During the first quarter of 2018, a change in segments resulted in changes to our reporting units for goodwill impairment testing purposes, including the creation of a new Sterile Injectables reporting unit, which was previously part of our Generics reporting unit. As a result of these changes, under U.S. GAAP, we tested the goodwill of the former Generics reporting unit immediately before the segment realignment and the goodwill of both the new Sterile Injectables and Generic Pharmaceuticals reporting units immediately after the segment realignment. These goodwill tests were performed using an income approach that utilizes a discounted cash flow model. The results of these goodwill impairment tests were as follows:</w:t>
      </w:r>
    </w:p>
    <w:p>
      <w:pPr>
        <w:spacing w:after="0" w:line="2" w:lineRule="exact"/>
        <w:rPr>
          <w:sz w:val="20"/>
          <w:szCs w:val="20"/>
          <w:color w:val="auto"/>
        </w:rPr>
      </w:pPr>
    </w:p>
    <w:p>
      <w:pPr>
        <w:ind w:left="900" w:hanging="244"/>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former Generics reporting unit’s estimated fair value exceeded its carrying amount, resulting in no related goodwill impairment charge.</w:t>
      </w:r>
    </w:p>
    <w:p>
      <w:pPr>
        <w:spacing w:after="0" w:line="20" w:lineRule="exact"/>
        <w:rPr>
          <w:rFonts w:ascii="Arial" w:cs="Arial" w:eastAsia="Arial" w:hAnsi="Arial"/>
          <w:sz w:val="17"/>
          <w:szCs w:val="17"/>
          <w:color w:val="auto"/>
        </w:rPr>
      </w:pPr>
    </w:p>
    <w:p>
      <w:pPr>
        <w:ind w:left="900" w:right="560" w:hanging="244"/>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new Sterile Injectables reporting unit’s estimated fair value exceeded its carrying amount, resulting in no related goodwill impairment charge.</w:t>
      </w:r>
    </w:p>
    <w:p>
      <w:pPr>
        <w:ind w:left="900" w:right="320" w:hanging="244"/>
        <w:spacing w:after="0" w:line="261"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new Generic Pharmaceuticals reporting unit’s carrying amount exceeded its estimated fair value, resulting in a pre-tax non-cash goodwill impairment charge of $391.0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CONTRACT ASSETS AND LIABILITIES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revenue consists almost entirely of sales of our pharmaceutical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September 30, 2019,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7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shows the opening and closing balances of contract assets and contract liabilities from contracts with customers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December 31, 2018</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 net (1)</w:t>
            </w: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Contract liabilities, net (2)</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6,864</w:t>
            </w:r>
          </w:p>
        </w:tc>
        <w:tc>
          <w:tcPr>
            <w:tcW w:w="120" w:type="dxa"/>
            <w:vAlign w:val="bottom"/>
          </w:tcPr>
          <w:p>
            <w:pPr>
              <w:spacing w:after="0"/>
              <w:rPr>
                <w:sz w:val="21"/>
                <w:szCs w:val="21"/>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19,217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(12,353)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182"/>
        </w:trPr>
        <w:tc>
          <w:tcPr>
            <w:tcW w:w="5520" w:type="dxa"/>
            <w:vAlign w:val="bottom"/>
          </w:tcPr>
          <w:p>
            <w:pPr>
              <w:jc w:val="right"/>
              <w:ind w:right="4716"/>
              <w:spacing w:after="0"/>
              <w:rPr>
                <w:sz w:val="20"/>
                <w:szCs w:val="20"/>
                <w:color w:val="auto"/>
              </w:rPr>
            </w:pPr>
            <w:r>
              <w:rPr>
                <w:rFonts w:ascii="Arial" w:cs="Arial" w:eastAsia="Arial" w:hAnsi="Arial"/>
                <w:sz w:val="14"/>
                <w:szCs w:val="14"/>
                <w:color w:val="auto"/>
                <w:w w:val="89"/>
              </w:rPr>
              <w:t>__________</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ind w:left="580" w:right="20" w:hanging="329"/>
        <w:spacing w:after="0" w:line="260" w:lineRule="auto"/>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At September 30, 2019 and December 31, 2018, approximately $4.3 million and $9.3 million, respectively, of these contract asset amounts are classified as current assets and are included in Prepaid expenses and other current assets in the Company’s Condensed Consolidated Balance Sheets. The remaining amounts are classified as noncurrent and are included in Other assets. The net decrease in contract assets during the nine months ended September 30, 2019 was primarily due to reclassifications to accounts receivable following the resolution of certain conditions other than the passage of time affecting the Company’s rights to consideration for the sale of certain goods, partially offset by certain sales activity during the period.</w:t>
      </w:r>
    </w:p>
    <w:p>
      <w:pPr>
        <w:ind w:left="580" w:right="160" w:hanging="329"/>
        <w:spacing w:after="0" w:line="245" w:lineRule="auto"/>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At September 30, 2019 and December 31, 2018, approximately $2.1 million and $1.7 million, respectively, of these contract liability amounts are classified as current liabilities and are included in Accounts payable and accrued expenses in the Company’s Condensed Consolidated Balance Sheets. The remaining amounts are classified as noncurrent and are included in Other liabilities. During the nine months ended September 30, 2019, the Company entered into new contracts resulting in an increase to contract liabilities of approximately $4.0 million. This increase was more than offset by approximately $14.9 million in reductions following certain product discontinuation activities in our International Pharmaceuticals segment and approximately $1.1 million in revenue recognized during the period.</w:t>
      </w:r>
    </w:p>
    <w:p>
      <w:pPr>
        <w:spacing w:after="0" w:line="89"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During the nine months ended September 30, 2019, we recognized revenue of $6.7 million relating to performance obligations satisfied, or partially satisfied, in prior periods. Such revenue generally relates to changes in estimates with respect to our variable consideration.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ACCOUNTS PAYABLE AND ACCRUED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include the following at September 30, 2019 and December 31,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41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96,024</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Returns and allowances</w:t>
            </w:r>
          </w:p>
        </w:tc>
        <w:tc>
          <w:tcPr>
            <w:tcW w:w="3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208,264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236,946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Rebates</w:t>
            </w:r>
          </w:p>
        </w:tc>
        <w:tc>
          <w:tcPr>
            <w:tcW w:w="3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144,860</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Chargebacks</w:t>
            </w:r>
          </w:p>
        </w:tc>
        <w:tc>
          <w:tcPr>
            <w:tcW w:w="3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130,182</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Accrued payroll and related benefits</w:t>
            </w:r>
          </w:p>
        </w:tc>
        <w:tc>
          <w:tcPr>
            <w:tcW w:w="3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71,867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89,895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royalties and other distribution partner payables</w:t>
            </w:r>
          </w:p>
        </w:tc>
        <w:tc>
          <w:tcPr>
            <w:tcW w:w="3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122,028</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Acquisition-related contingent consideration—current</w:t>
            </w:r>
          </w:p>
        </w:tc>
        <w:tc>
          <w:tcPr>
            <w:tcW w:w="3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20,974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36,514</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7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149,780</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Total</w:t>
            </w:r>
          </w:p>
        </w:tc>
        <w:tc>
          <w:tcPr>
            <w:tcW w:w="3700" w:type="dxa"/>
            <w:vAlign w:val="bottom"/>
          </w:tcPr>
          <w:p>
            <w:pPr>
              <w:spacing w:after="0"/>
              <w:rPr>
                <w:sz w:val="20"/>
                <w:szCs w:val="20"/>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937,181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1,009,200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vMerge w:val="restart"/>
          </w:tcPr>
          <w:p>
            <w:pPr>
              <w:jc w:val="right"/>
              <w:ind w:right="2690"/>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7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w:t>
      </w:r>
    </w:p>
    <w:p>
      <w:pPr>
        <w:spacing w:after="0" w:line="121"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color w:val="auto"/>
        </w:rPr>
        <w:t>The following table presents information about the Company’s total indebtedness at September 30, 2019 and December 31, 2018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9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Effective</w:t>
            </w:r>
          </w:p>
        </w:tc>
        <w:tc>
          <w:tcPr>
            <w:tcW w:w="140" w:type="dxa"/>
            <w:vAlign w:val="bottom"/>
          </w:tcPr>
          <w:p>
            <w:pPr>
              <w:spacing w:after="0"/>
              <w:rPr>
                <w:sz w:val="13"/>
                <w:szCs w:val="13"/>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Principal Amount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Carrying Amount</w:t>
            </w:r>
          </w:p>
        </w:tc>
        <w:tc>
          <w:tcPr>
            <w:tcW w:w="120" w:type="dxa"/>
            <w:vAlign w:val="bottom"/>
          </w:tcPr>
          <w:p>
            <w:pPr>
              <w:spacing w:after="0"/>
              <w:rPr>
                <w:sz w:val="13"/>
                <w:szCs w:val="13"/>
                <w:color w:val="auto"/>
              </w:rPr>
            </w:pPr>
          </w:p>
        </w:tc>
        <w:tc>
          <w:tcPr>
            <w:tcW w:w="9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Effective</w:t>
            </w:r>
          </w:p>
        </w:tc>
        <w:tc>
          <w:tcPr>
            <w:tcW w:w="120" w:type="dxa"/>
            <w:vAlign w:val="bottom"/>
          </w:tcPr>
          <w:p>
            <w:pPr>
              <w:spacing w:after="0"/>
              <w:rPr>
                <w:sz w:val="13"/>
                <w:szCs w:val="13"/>
                <w:color w:val="auto"/>
              </w:rPr>
            </w:pPr>
          </w:p>
        </w:tc>
        <w:tc>
          <w:tcPr>
            <w:tcW w:w="12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 Amount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92"/>
        </w:trPr>
        <w:tc>
          <w:tcPr>
            <w:tcW w:w="520" w:type="dxa"/>
            <w:vAlign w:val="bottom"/>
            <w:tcBorders>
              <w:bottom w:val="single" w:sz="8" w:color="CCEEFF"/>
            </w:tcBorders>
          </w:tcPr>
          <w:p>
            <w:pPr>
              <w:spacing w:after="0"/>
              <w:rPr>
                <w:sz w:val="16"/>
                <w:szCs w:val="16"/>
                <w:color w:val="auto"/>
              </w:rPr>
            </w:pPr>
          </w:p>
        </w:tc>
        <w:tc>
          <w:tcPr>
            <w:tcW w:w="31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7.25%</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392,947</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5.75%</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8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182,479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182,479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694,464</w:t>
            </w:r>
          </w:p>
        </w:tc>
        <w:tc>
          <w:tcPr>
            <w:tcW w:w="0" w:type="dxa"/>
            <w:vAlign w:val="bottom"/>
          </w:tcPr>
          <w:p>
            <w:pPr>
              <w:spacing w:after="0"/>
              <w:rPr>
                <w:sz w:val="1"/>
                <w:szCs w:val="1"/>
                <w:color w:val="auto"/>
              </w:rPr>
            </w:pPr>
          </w:p>
        </w:tc>
      </w:tr>
      <w:tr>
        <w:trPr>
          <w:trHeight w:val="27"/>
        </w:trPr>
        <w:tc>
          <w:tcPr>
            <w:tcW w:w="3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5.375% Senior Notes due 2023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210,440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208,912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743,438</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6.00%</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1,439,840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1,426,195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1,635,000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1,616,817</w:t>
            </w:r>
          </w:p>
        </w:tc>
        <w:tc>
          <w:tcPr>
            <w:tcW w:w="0" w:type="dxa"/>
            <w:vAlign w:val="bottom"/>
          </w:tcPr>
          <w:p>
            <w:pPr>
              <w:spacing w:after="0"/>
              <w:rPr>
                <w:sz w:val="1"/>
                <w:szCs w:val="1"/>
                <w:color w:val="auto"/>
              </w:rPr>
            </w:pPr>
          </w:p>
        </w:tc>
      </w:tr>
      <w:tr>
        <w:trPr>
          <w:trHeight w:val="27"/>
        </w:trPr>
        <w:tc>
          <w:tcPr>
            <w:tcW w:w="3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5.875% Senior Secured Notes due 2024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296,497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296,062</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6.00%</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86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1,185,135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1,183,415</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7.50%</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Notes due 2027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1,481,758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Term Loan B Facility Due 2024</w:t>
            </w:r>
          </w:p>
        </w:tc>
        <w:tc>
          <w:tcPr>
            <w:tcW w:w="86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3,338,162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3,309,791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3,363,775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3,331,276</w:t>
            </w:r>
          </w:p>
        </w:tc>
        <w:tc>
          <w:tcPr>
            <w:tcW w:w="0" w:type="dxa"/>
            <w:vAlign w:val="bottom"/>
          </w:tcPr>
          <w:p>
            <w:pPr>
              <w:spacing w:after="0"/>
              <w:rPr>
                <w:sz w:val="1"/>
                <w:szCs w:val="1"/>
                <w:color w:val="auto"/>
              </w:rPr>
            </w:pPr>
          </w:p>
        </w:tc>
      </w:tr>
      <w:tr>
        <w:trPr>
          <w:trHeight w:val="27"/>
        </w:trPr>
        <w:tc>
          <w:tcPr>
            <w:tcW w:w="3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Total long-term debt, net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8,479,215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8,399,061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8,348,775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8,258,419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gridSpan w:val="2"/>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current portion, net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34,150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57"/>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Total long-term debt, less current portion, net</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8,445,065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8,364,911</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8,314,625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8,224,269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 xml:space="preserve">The Company and its subsidiaries, with certain customary exceptions, guarantee or serve as issuers or borrowers of the debt instruments representing substantially all of the Company’s indebtedness at September 30, 2019. The obligations under (i) all of the senior secured notes and (ii) the Credit Agreement (as defined below) and related loan documents are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by a perfected first priority (subject to certain permitted liens) lien on the collateral securing such instruments, which collateral represents substantially all of the assets of the issuers or borrowers and the guarantors party thereto (subject to customary exceptions). Our senior unsecured notes are unsecured and effectively subordinated in right of priority to our credit agreement and our senior secured notes, in each case to the extent of the value of the collateral securing such instruments.</w:t>
      </w:r>
    </w:p>
    <w:p>
      <w:pPr>
        <w:spacing w:after="0" w:line="70"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aggregate estimated fair value of the Company’s long-term debt, which was estimated using inputs based on quoted market prices for the same or similar debt issuances, was $6.9 billion and $7.2 billion at September 30, 2019 and December 31, 2018, respectively. Based on this valuation methodology, we determined these debt instruments represent Level 2 measurements within the fair value hierarchy.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Senior Secured Notes</w:t>
      </w:r>
    </w:p>
    <w:p>
      <w:pPr>
        <w:spacing w:after="0" w:line="11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At September 30, 2019 and December 31, 2018, we were in compliance with all covenants contained in the indentures governing our various senior notes and senior secured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credit facilities consist of a $1,000.0 million revolving credit facility (the Revolving Credit Facility) and a senior secured term loan facility (the Term Loan Facility and, together with the Revolving Credit Facility, the Credit Facilities). In June 2019, the Company borrowed $300.0 million under the Revolving Credit Facility. The proceeds will be used for purposes consistent with the Company’s capital allocation priorities, including for general corporate purposes.</w:t>
      </w:r>
    </w:p>
    <w:p>
      <w:pPr>
        <w:spacing w:after="0" w:line="7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After giving effect to this transaction and previously issued and outstanding letters of credit, approximately $696.8 million of remaining credit is available under the Revolving Credit Facility. However, the Company’s debt agreements contain certain conditions that limit the Company’s ability to incur additional secured indebtedness, including borrowings under the Revolving Credit Facility, which significantly restrict the Company’s access to this remaining available credit.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At September 30, 2019 and December 31, 2018, we were in compliance with all covenants contained in the Credit Agreement (as defined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2019 Refinancing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2019, the Company executed several transactions (the March 2019 Refinancing Transactions), which included:</w:t>
      </w:r>
    </w:p>
    <w:p>
      <w:pPr>
        <w:spacing w:after="0" w:line="23" w:lineRule="exact"/>
        <w:rPr>
          <w:sz w:val="20"/>
          <w:szCs w:val="20"/>
          <w:color w:val="auto"/>
        </w:rPr>
      </w:pPr>
    </w:p>
    <w:p>
      <w:pPr>
        <w:ind w:left="900" w:right="40" w:hanging="244"/>
        <w:spacing w:after="0" w:line="250"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entry into an amendment (the Revolving Credit Facility Amendment) to the Company’s existing credit agreement, which was originally dated April 27, 2017 (the Credit Agreement);</w:t>
      </w: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$1,500.0 million of 7.50% Senior Secured Notes due 2027 (the 2027 Notes);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900" w:right="180" w:hanging="244"/>
        <w:spacing w:after="0" w:line="25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repurchase of $1,642.2 million aggregate principal amount of certain of the Company’s senior unsecured notes for $1,500.0 million in cash, excluding accrued interest (the Notes Repurchases); and</w:t>
      </w:r>
    </w:p>
    <w:p>
      <w:pPr>
        <w:spacing w:after="0" w:line="1" w:lineRule="exact"/>
        <w:rPr>
          <w:rFonts w:ascii="Arial" w:cs="Arial" w:eastAsia="Arial" w:hAnsi="Arial"/>
          <w:sz w:val="18"/>
          <w:szCs w:val="18"/>
          <w:color w:val="auto"/>
        </w:rPr>
      </w:pPr>
    </w:p>
    <w:p>
      <w:pPr>
        <w:ind w:left="900" w:right="340" w:hanging="244"/>
        <w:spacing w:after="0" w:line="25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solicitation of consents from the holders of the existing 7.25% Senior Notes due 2022 and 5.75% Senior Notes due 2022 (together, the Consent Notes) to certain amendments to the indentures governing such notes, which eliminated substantially all of the restrictive covenants, certain events of default and other provisions contained in each such indenture.</w:t>
      </w:r>
    </w:p>
    <w:p>
      <w:pPr>
        <w:spacing w:after="0" w:line="82"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Revolving Credit Facility Amendment amended the Credit Agreement to, among other things, (i) extend the maturity of the commitments under the Revolving Credit Facility from April 2022 to March 2024 (with the exception of $76.0 million of commitments that were not extended), (ii) provide greater covenant flexibility by increasing the maximum Secured Net Leverage Ratio described in the Financial Covenant (as defined in the Credit Agreement) from 3.50:1.00 to 4.50:1.00 and (iii) limit the scenarios under which such Financial Covenant will be tested.</w:t>
      </w:r>
    </w:p>
    <w:p>
      <w:pPr>
        <w:spacing w:after="0" w:line="6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2027 Notes were issued by Par Pharmaceutical, Inc. (PPI), a wholly-owned indirect subsidiary of the Company, in a private offering to “qualified institutional buyers” (as defined in Rule 144A under the Securities Act) and outside the U.S. to non-U.S. persons in compliance with Regulation S under the Securities Act. The 2027 Notes are guaranteed on a senior secured basis by the Company and its subsidiaries that also guarantee the Credit Agreement (collectively, the Guarantors). The 2027 Notes are senior secured obligations of PPI and the Guarantors and are secured by the same collateral that secures the Credit Agreement and the Company’s existing senior secured notes. Interest on the 2027 Notes is payable semiannually in arrears on April 1 and October 1 of each year, beginning on October 1, 2019.</w:t>
      </w:r>
    </w:p>
    <w:p>
      <w:pPr>
        <w:spacing w:after="0" w:line="85" w:lineRule="exact"/>
        <w:rPr>
          <w:sz w:val="20"/>
          <w:szCs w:val="20"/>
          <w:color w:val="auto"/>
        </w:rPr>
      </w:pPr>
    </w:p>
    <w:p>
      <w:pPr>
        <w:ind w:right="320" w:firstLine="513"/>
        <w:spacing w:after="0" w:line="258" w:lineRule="auto"/>
        <w:rPr>
          <w:sz w:val="20"/>
          <w:szCs w:val="20"/>
          <w:color w:val="auto"/>
        </w:rPr>
      </w:pPr>
      <w:r>
        <w:rPr>
          <w:rFonts w:ascii="Arial" w:cs="Arial" w:eastAsia="Arial" w:hAnsi="Arial"/>
          <w:sz w:val="18"/>
          <w:szCs w:val="18"/>
          <w:color w:val="auto"/>
        </w:rPr>
        <w:t>The 2027 Notes will mature on April 1, 2027; however, the indenture governing these notes allows for redemption prior to maturity, in whole or in part, subject to certain restrictions and limitations described therein, in the following ways:</w:t>
      </w:r>
    </w:p>
    <w:p>
      <w:pPr>
        <w:spacing w:after="0" w:line="1" w:lineRule="exact"/>
        <w:rPr>
          <w:sz w:val="20"/>
          <w:szCs w:val="20"/>
          <w:color w:val="auto"/>
        </w:rPr>
      </w:pPr>
    </w:p>
    <w:p>
      <w:pPr>
        <w:ind w:left="900" w:right="40" w:hanging="244"/>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Before April 1, 2022, the 2027 Notes may be redeemed, in whole or in part, by paying the sum of: (i) 100% of the principal amount being redeemed, (ii) an applicable make-whole premium as described in the indenture and (iii) accrued and unpaid interest, if any, to, but not including, the date of redemption.</w:t>
      </w:r>
    </w:p>
    <w:p>
      <w:pPr>
        <w:spacing w:after="0" w:line="1" w:lineRule="exact"/>
        <w:rPr>
          <w:rFonts w:ascii="Arial" w:cs="Arial" w:eastAsia="Arial" w:hAnsi="Arial"/>
          <w:sz w:val="18"/>
          <w:szCs w:val="18"/>
          <w:color w:val="auto"/>
        </w:rPr>
      </w:pPr>
    </w:p>
    <w:p>
      <w:pPr>
        <w:jc w:val="both"/>
        <w:ind w:left="900" w:right="120" w:hanging="244"/>
        <w:spacing w:after="0" w:line="281"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or after April 1, 2022, the 2027 Notes may be redeemed, in whole or in part, at redemption prices set forth in the indenture, plus accrued and unpaid interest, if any, to, but not including, the date of redemption. The redemption prices for the 2027 Notes vary over time pursuant to a step-down schedule set forth in the indenture, beginning at 105.625% of the principal amount redeemed and decreasing to 100% by April 1, 2025.</w:t>
      </w:r>
    </w:p>
    <w:p>
      <w:pPr>
        <w:spacing w:after="0" w:line="2" w:lineRule="exact"/>
        <w:rPr>
          <w:rFonts w:ascii="Arial" w:cs="Arial" w:eastAsia="Arial" w:hAnsi="Arial"/>
          <w:sz w:val="16"/>
          <w:szCs w:val="16"/>
          <w:color w:val="auto"/>
        </w:rPr>
      </w:pPr>
    </w:p>
    <w:p>
      <w:pPr>
        <w:ind w:left="900" w:right="40" w:hanging="244"/>
        <w:spacing w:after="0" w:line="25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Before April 1, 2022, the 2027 Notes may be redeemed, in part (up to 35% of the principal amount outstanding), with the net cash proceeds from specified equity offerings at 107.500% of the principal amount redeemed, plus accrued and unpaid interest, if any, to, but not including, the date of redemption.</w:t>
      </w:r>
    </w:p>
    <w:p>
      <w:pPr>
        <w:spacing w:after="0" w:line="82"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The 2027 Notes indenture contains covenants that, among other things, restrict the Company’s ability and the ability of its Restricted Subsidiaries (as defined in the indenture)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Company or any of its restricted subsidiaries; create certain liens; merge, consolidate or sell all or substantially all of the Company’s assets; enter into certain transactions with affiliates or designate subsidiaries as unrestricted subsidiaries. These covenants are subject to a number of exceptions and qualifications, including the fall away or revision of certain of these covenants and release of collateral upon the 2027 Notes receiving investment grade credit ratings.</w:t>
      </w:r>
    </w:p>
    <w:p>
      <w:pPr>
        <w:spacing w:after="0" w:line="81" w:lineRule="exact"/>
        <w:rPr>
          <w:sz w:val="20"/>
          <w:szCs w:val="20"/>
          <w:color w:val="auto"/>
        </w:rPr>
      </w:pPr>
    </w:p>
    <w:p>
      <w:pPr>
        <w:ind w:right="80" w:firstLine="486"/>
        <w:spacing w:after="0" w:line="284" w:lineRule="auto"/>
        <w:rPr>
          <w:sz w:val="20"/>
          <w:szCs w:val="20"/>
          <w:color w:val="auto"/>
        </w:rPr>
      </w:pPr>
      <w:r>
        <w:rPr>
          <w:rFonts w:ascii="Arial" w:cs="Arial" w:eastAsia="Arial" w:hAnsi="Arial"/>
          <w:sz w:val="16"/>
          <w:szCs w:val="16"/>
          <w:color w:val="auto"/>
        </w:rPr>
        <w:t>The Company used the net proceeds of the 2027 Notes and cash on hand primarily to fund the Notes Repurchases and to pay certain premiums, fees and expenses related thereto. The Notes Repurchases were completed by Endo Finance LLC (Endo Finance), a wholly-owned subsidiary of the Company, pursuant to a tender offer to repurchase portions of the Company’s outstanding 7.25% Senior Notes due 2022, 5.75% Senior Notes due 2022, 5.375% Senior Notes due 2023 and 6.00% Senior Notes due 2023. In connection with the Notes Repurchases, Endo Finance repurchased $1,642.2 million of senior unsecured note indebtedness, representing the aggregate principal amount repurchased, for $1,500.0 million in cash (including certain cash premiums related thereto). The $1,642.2 million aggregate repurchase amount consisted of (i) $389.9 million aggregate principal amount of the 7.25% Senior Notes due 2022,</w:t>
      </w:r>
    </w:p>
    <w:p>
      <w:pPr>
        <w:spacing w:after="0" w:line="5" w:lineRule="exact"/>
        <w:rPr>
          <w:sz w:val="20"/>
          <w:szCs w:val="20"/>
          <w:color w:val="auto"/>
        </w:rPr>
      </w:pPr>
    </w:p>
    <w:p>
      <w:pPr>
        <w:ind w:firstLine="8"/>
        <w:spacing w:after="0" w:line="269" w:lineRule="auto"/>
        <w:tabs>
          <w:tab w:leader="none" w:pos="2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$517.5 million aggregate principal amount of the 5.75% Senior Notes due 2022, (iii) $539.6 million aggregate principal amount of the 5.375% Senior Notes due 2023 and (iv) $195.2 million aggregate principal amount of the 6.00% Senior Notes due 2023. The aggregate carrying amount of notes repurchased was $1,624.0 million. In conjunction with the Notes Repurchases, Endo Finance also solicited consents from holders of the Consent Notes to certain proposed amendments to the applicable indentures under which each series of Consent Notes were issued, which would eliminate substantially all restrictive covenants, certain events of default and certain other provisions contained in each such indenture. The proposed amendments were effected pursuant to a supplemental indenture to each such indenture executed by Endo Finance and the guarantors of the Consent Notes, which became operative upon the repurchase of at least the requisite consent amount of the applicable series of Consent Notes tendered.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18" w:right="2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difference between the cash paid and the carrying amount of notes repurchased in the Notes Repurchases resulted in a $124.0 million gain recorded as Gain on extinguishment of debt in the Condensed Consolidated Statements of Operations. In connection with the March 2019 Refinancing Transactions, we also incurred costs and fees totaling $26.2 million, of which $4.2 million related to the Notes Repurchases, $19.1 million related to the 2027 Notes issuance and $2.9 million related to the Revolving Credit Facility Amendment. The costs incurred in connection with the Notes Repurchases were charged to expense in the first quarter of 2019 and recorded as an offset to the Gain on extinguishment of debt. The costs incurred in connection with the 2027 Notes issuance and the Revolving Credit Facility Amendment, together with previously deferred debt issuance costs associated with the Revolving Credit Facility, have been deferred and will be amortized as interest expense over the terms of the respective instruments.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maturities on our long-term debt for each of the five fiscal years subsequent to December 31, 2018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Maturities (1)</w:t>
            </w:r>
          </w:p>
        </w:tc>
      </w:tr>
      <w:tr>
        <w:trPr>
          <w:trHeight w:val="27"/>
        </w:trPr>
        <w:tc>
          <w:tcPr>
            <w:tcW w:w="10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10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34,150</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34,150</w:t>
            </w:r>
          </w:p>
        </w:tc>
      </w:tr>
      <w:tr>
        <w:trPr>
          <w:trHeight w:val="27"/>
        </w:trPr>
        <w:tc>
          <w:tcPr>
            <w:tcW w:w="10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34,150</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2022 (2)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247,723</w:t>
            </w:r>
          </w:p>
        </w:tc>
      </w:tr>
      <w:tr>
        <w:trPr>
          <w:trHeight w:val="27"/>
        </w:trPr>
        <w:tc>
          <w:tcPr>
            <w:tcW w:w="10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1,684,430</w:t>
            </w:r>
          </w:p>
        </w:tc>
      </w:tr>
      <w:tr>
        <w:trPr>
          <w:trHeight w:val="155"/>
        </w:trPr>
        <w:tc>
          <w:tcPr>
            <w:tcW w:w="20" w:type="dxa"/>
            <w:vAlign w:val="bottom"/>
          </w:tcPr>
          <w:p>
            <w:pPr>
              <w:spacing w:after="0"/>
              <w:rPr>
                <w:sz w:val="13"/>
                <w:szCs w:val="13"/>
                <w:color w:val="auto"/>
              </w:rPr>
            </w:pPr>
          </w:p>
        </w:tc>
        <w:tc>
          <w:tcPr>
            <w:tcW w:w="10040" w:type="dxa"/>
            <w:vAlign w:val="bottom"/>
          </w:tcPr>
          <w:p>
            <w:pPr>
              <w:jc w:val="right"/>
              <w:ind w:right="9254"/>
              <w:spacing w:after="0" w:line="155" w:lineRule="exact"/>
              <w:rPr>
                <w:sz w:val="20"/>
                <w:szCs w:val="20"/>
                <w:color w:val="auto"/>
              </w:rPr>
            </w:pPr>
            <w:r>
              <w:rPr>
                <w:rFonts w:ascii="Arial" w:cs="Arial" w:eastAsia="Arial" w:hAnsi="Arial"/>
                <w:sz w:val="14"/>
                <w:szCs w:val="14"/>
                <w:color w:val="auto"/>
                <w:w w:val="87"/>
              </w:rPr>
              <w:t>__________</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bl>
    <w:p>
      <w:pPr>
        <w:jc w:val="both"/>
        <w:ind w:left="580" w:right="60" w:hanging="329"/>
        <w:spacing w:after="0" w:line="241" w:lineRule="auto"/>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Certain amounts borrowed pursuant to the Credit Facilities will immediately mature if certain of our senior notes are not refinanced or repaid in full prior to the date that is 91 days prior to the respective stated maturity dates thereof. Accordingly, we may seek to repay or refinance certain senior notes prior to their stated maturity dates. The amounts in this maturities table do not reflect any such early repayment or refinancing; rather, they reflect stated maturity dates.</w:t>
      </w:r>
    </w:p>
    <w:p>
      <w:pPr>
        <w:spacing w:after="0" w:line="1" w:lineRule="exact"/>
        <w:rPr>
          <w:rFonts w:ascii="Arial" w:cs="Arial" w:eastAsia="Arial" w:hAnsi="Arial"/>
          <w:sz w:val="14"/>
          <w:szCs w:val="14"/>
          <w:color w:val="auto"/>
        </w:rPr>
      </w:pPr>
    </w:p>
    <w:p>
      <w:pPr>
        <w:ind w:left="580" w:right="140" w:hanging="329"/>
        <w:spacing w:after="0" w:line="255" w:lineRule="auto"/>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amount includes $22.8 million, representing the portion of our borrowing under the Revolving Credit Facility associated with the commitments that were not extended in connection with the March 2019 Refinancing Transactions.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Investigations</w:t>
      </w:r>
    </w:p>
    <w:p>
      <w:pPr>
        <w:spacing w:after="0" w:line="11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We and certain of our subsidiaries are involved in various claims, legal proceedings and internal and governmental investigations (collectively, proceedings) that arise from time to time, including, among others, those relating to product liability, intellectual property, regulatory compliance, consumer protection, tax and commercial matters. While we cannot predict the outcome of these proceedings and we intend to vigorously prosecute or defend our position as appropriate, there can be no assurance that we will be successful or obtain any requested relief, and an adverse outcome in any of these proceedings could have a material adverse effect on our business, financial condition, results of operations and cash flows. Matters that are not being disclosed herein are, in the opinion of our management, immaterial both individually and in the aggregate with respect to our financial position, results of operations and cash flows. If and when such matters, in the opinion of our management, become material, either individually or in the aggregate, we will disclose them.</w:t>
      </w:r>
    </w:p>
    <w:p>
      <w:pPr>
        <w:spacing w:after="0" w:line="8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and all disputes with our insurance carriers and to enforce our rights under the terms of our insurance policies. Accordingly, we will record receivables with respect to amounts due under these policies only when the realization of the potential claim for recovery is considered probable. Amounts recovered under our insurance policies could be materially less than stated coverage limits and may not be adequate to cover damages, other relief and/or costs relating to claims. In addition, there is no guarantee that insurers will pay claims or that coverage will otherwise be available.</w:t>
      </w:r>
    </w:p>
    <w:p>
      <w:pPr>
        <w:spacing w:after="0" w:line="81"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As of September 30, 2019, our accrual for loss contingencies totaled $684.1 million, the most significant components of which relate to product liability and related matters associated with vaginal mesh and testosterone. Although we believe there is a reasonable possibility that a loss in excess of the amount recognized exists, we are unable to estimate the possible loss or range of loss in excess of the amount recognized at this time. As of September 30, 2019, $674.9 million of our accrual for loss contingencies is classified in the Current portion of legal settlement accrual in the Condensed Consolidated Balance Sheets, with the remainder classified as Long-term legal settlement accrual, less current portion. However, the timing of the resolution of certain of these matters remains uncertain.</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Liability and Related Matters</w:t>
      </w:r>
    </w:p>
    <w:p>
      <w:pPr>
        <w:spacing w:after="0" w:line="11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 and certain of our subsidiaries have been named as defendants in numerous lawsuits in various U.S. federal and state courts, as well as in Canada and other countries, alleging personal injury resulting from the use of certain products of our subsidiaries. These and other related matters are described below in more detail.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b w:val="1"/>
          <w:bCs w:val="1"/>
          <w:i w:val="1"/>
          <w:iCs w:val="1"/>
          <w:color w:val="auto"/>
        </w:rPr>
        <w:t xml:space="preserve">Vaginal Mesh. </w:t>
      </w:r>
      <w:r>
        <w:rPr>
          <w:rFonts w:ascii="Arial" w:cs="Arial" w:eastAsia="Arial" w:hAnsi="Arial"/>
          <w:sz w:val="17"/>
          <w:szCs w:val="17"/>
          <w:color w:val="auto"/>
        </w:rPr>
        <w:t>Since 2008, we and certain of our subsidiaries, including American Medical Systems Holdings, Inc. (subsequently converted to Astora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Women’s Health Holding LLC and merged into Astora Women’s Health LLC and referred to herein as AMS and/or Astora), have been named as defendants in multiple lawsuits in various state and federal courts in the U.S. (including a federal multidistrict litigation (MDL) pending in the U.S. District Court for the Southern District of West Virginia (MDL No. 2325)), and in Canada and other countries, alleging personal injury resulting from the use of transvaginal surgical mesh products designed to treat pelvic organ prolapse (POP) and stress urinary incontinence (SUI). In January 2018, a representative proceeding (class action) was filed in the Federal Court of Australia against American Medical Systems, LLC. In the various class action and individual complaints, plaintiffs claim a variety of personal injuries, including chronic pain, incontinence, inability to control bowel function and permanent deformities, and seek compensatory and punitive damages, where available.</w:t>
      </w:r>
    </w:p>
    <w:p>
      <w:pPr>
        <w:spacing w:after="0" w:line="7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and certain plaintiffs’ counsel representing mesh-related product liability claimants have entered into various Master Settlement Agreements (MSAs) and other agreements to resolve up to approximately 71,000 filed and unfiled mesh claims handled or controlled by the participating counsel. These MSAs and other agreements were entered into at various times between June 2013 and the present, were solely by way of compromise and settlement and were not in any way an admission of liability or fault by us or any of our subsidiaries.</w:t>
      </w:r>
    </w:p>
    <w:p>
      <w:pPr>
        <w:spacing w:after="0" w:line="79"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color w:val="auto"/>
        </w:rPr>
        <w:t>All MSAs are subject to a process that includes guidelines and procedures for administering the settlements and the release of funds. In certain cases, the MSAs provide for the creation of QSFs into which funds may be deposited pursuant to certain schedules set forth in those agreements. All MSAs have participation requirements regarding the claims represented by each law firm party to the MSA. In addition, one agreement gives us a unilateral right of approval regarding which claims may be eligible to participate under that settlement. To the extent fewer claims than are authorized under an agreement participate, the total settlement payment under that agreement will be reduced by an agreed-upon amount for each such non-participating claim. Funds deposited in QSFs are considered restricted cash and/or restricted cash equivalents.</w:t>
      </w:r>
    </w:p>
    <w:p>
      <w:pPr>
        <w:spacing w:after="0" w:line="70"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Distribution of funds to any individual claimant is conditioned upon the receipt of documentation substantiating the validity of the claim, a full release and dismissal of the entire action or claim as to all AMS parties and affiliates. Prior to receiving funds, an individual claimant is required to represent and warrant that liens, assignment rights or other claims identified in the claims administration process have been or will be satisfied by the individual claimant. Confidentiality provisions apply to the amount of settlement awards to participating claimants, the claims evaluation process and procedures used in conjunction with award distributions, and the negotiations leading to the settlements.</w:t>
      </w:r>
    </w:p>
    <w:p>
      <w:pPr>
        <w:spacing w:after="0" w:line="8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In October 2019, the Ontario Superior Court of Justice approved a class action settlement covering unresolved claims by Canadian women implanted with an AMS vaginal mesh device.</w:t>
      </w:r>
    </w:p>
    <w:p>
      <w:pPr>
        <w:spacing w:after="0" w:line="62"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The following table presents the changes in the QSFs and mesh liability accrual balances during the nine months ended September 30, 2019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Qualified Settlement</w:t>
            </w:r>
          </w:p>
        </w:tc>
        <w:tc>
          <w:tcPr>
            <w:tcW w:w="180" w:type="dxa"/>
            <w:vAlign w:val="bottom"/>
          </w:tcPr>
          <w:p>
            <w:pPr>
              <w:spacing w:after="0"/>
              <w:rPr>
                <w:sz w:val="14"/>
                <w:szCs w:val="14"/>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Mesh Liability</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Funds</w:t>
            </w:r>
          </w:p>
        </w:tc>
        <w:tc>
          <w:tcPr>
            <w:tcW w:w="180" w:type="dxa"/>
            <w:vAlign w:val="bottom"/>
          </w:tcPr>
          <w:p>
            <w:pPr>
              <w:spacing w:after="0"/>
              <w:rPr>
                <w:sz w:val="16"/>
                <w:szCs w:val="16"/>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auto"/>
              </w:rPr>
              <w:t>Accrual</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2019</w:t>
            </w:r>
          </w:p>
        </w:tc>
        <w:tc>
          <w:tcPr>
            <w:tcW w:w="3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299,733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748,606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Additional charges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contributions to Qualified Settlement Funds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distributions to settle disputes from Qualified Settlement Funds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(266,958)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(266,958)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 to settle disputes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(1)</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2019</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221,645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501,570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260" w:hanging="329"/>
        <w:spacing w:after="0" w:line="293" w:lineRule="auto"/>
        <w:tabs>
          <w:tab w:leader="none" w:pos="5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Amounts deposited in the QSFs may earn interest, which is generally used to pay administrative costs of the fund and is reflected in the table above as an increase to the QSF and Mesh Liability Accrual balances. Any interest remaining after all claims have been paid will generally be distributed to the claimants who participated in that settlement.</w:t>
      </w:r>
    </w:p>
    <w:p>
      <w:pPr>
        <w:spacing w:after="0" w:line="60"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62"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To date, the Company has made total mesh liability payments of approximately $3.5 billion, $221.6 million of which remains in the QSFs as of September 30, 2019. We currently expect to fund into the QSFs the remaining payments under all settlement agreements during 2019 and 2020. As the funds are disbursed out of the QSFs from time to time, the liability accrual will be reduced accordingly with a corresponding reduction to restricted cash and cash equivalents. In addition, we may pay cash distributions to settle disputes separate from the QSFs, which will also decrease the liability accrual and decrease cash and cash equivalents.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We were contacted in October 2012 regarding a civil investigation initiated by various state attorneys general into mesh products, including transvaginal surgical mesh products designed to treat POP and SUI. In November 2013, we received a subpoena relating to this investigation from the state of California, and we have subsequently received additional subpoenas from California and other states. We are cooperating with the investigations.</w:t>
      </w:r>
    </w:p>
    <w:p>
      <w:pPr>
        <w:spacing w:after="0" w:line="39"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73"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Although the Company believes it has appropriately estimated the probable total amount of loss associated with all mesh-related matters as of the date of this report, litigation is ongoing in certain cases that have not settled, trials may occur as early as December 2019, and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79" w:lineRule="exact"/>
        <w:rPr>
          <w:sz w:val="20"/>
          <w:szCs w:val="20"/>
          <w:color w:val="auto"/>
        </w:rPr>
      </w:pPr>
    </w:p>
    <w:p>
      <w:pPr>
        <w:ind w:firstLine="486"/>
        <w:spacing w:after="0" w:line="230" w:lineRule="auto"/>
        <w:rPr>
          <w:sz w:val="20"/>
          <w:szCs w:val="20"/>
          <w:color w:val="auto"/>
        </w:rPr>
      </w:pPr>
      <w:r>
        <w:rPr>
          <w:rFonts w:ascii="Arial" w:cs="Arial" w:eastAsia="Arial" w:hAnsi="Arial"/>
          <w:sz w:val="17"/>
          <w:szCs w:val="17"/>
          <w:b w:val="1"/>
          <w:bCs w:val="1"/>
          <w:i w:val="1"/>
          <w:iCs w:val="1"/>
          <w:color w:val="auto"/>
        </w:rPr>
        <w:t xml:space="preserve">Testosterone. </w:t>
      </w:r>
      <w:r>
        <w:rPr>
          <w:rFonts w:ascii="Arial" w:cs="Arial" w:eastAsia="Arial" w:hAnsi="Arial"/>
          <w:sz w:val="17"/>
          <w:szCs w:val="17"/>
          <w:color w:val="auto"/>
        </w:rPr>
        <w:t>Various manufacturers of prescription medications containing testosterone, including our subsidiaries Endo Pharmaceuticals Inc. (EPI)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Auxilium Pharmaceuticals, Inc. (subsequently converted to Auxilium Pharmaceuticals, LLC and hereinafter referred to as Auxilium), have been named as defendants in multiple lawsuits alleging personal injury resulting from the use of such medications, including FORTESTA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Gel, DELATESTRYL</w:t>
      </w:r>
      <w:r>
        <w:rPr>
          <w:rFonts w:ascii="Arial" w:cs="Arial" w:eastAsia="Arial" w:hAnsi="Arial"/>
          <w:sz w:val="24"/>
          <w:szCs w:val="24"/>
          <w:color w:val="auto"/>
          <w:vertAlign w:val="superscript"/>
        </w:rPr>
        <w:t>®</w:t>
      </w:r>
      <w:r>
        <w:rPr>
          <w:rFonts w:ascii="Arial" w:cs="Arial" w:eastAsia="Arial" w:hAnsi="Arial"/>
          <w:sz w:val="17"/>
          <w:szCs w:val="17"/>
          <w:color w:val="auto"/>
        </w:rPr>
        <w:t>, TESTIM</w:t>
      </w:r>
      <w:r>
        <w:rPr>
          <w:rFonts w:ascii="Arial" w:cs="Arial" w:eastAsia="Arial" w:hAnsi="Arial"/>
          <w:sz w:val="24"/>
          <w:szCs w:val="24"/>
          <w:color w:val="auto"/>
          <w:vertAlign w:val="superscript"/>
        </w:rPr>
        <w:t>®</w:t>
      </w:r>
      <w:r>
        <w:rPr>
          <w:rFonts w:ascii="Arial" w:cs="Arial" w:eastAsia="Arial" w:hAnsi="Arial"/>
          <w:sz w:val="17"/>
          <w:szCs w:val="17"/>
          <w:color w:val="auto"/>
        </w:rPr>
        <w:t>, TESTOPEL</w:t>
      </w:r>
      <w:r>
        <w:rPr>
          <w:rFonts w:ascii="Arial" w:cs="Arial" w:eastAsia="Arial" w:hAnsi="Arial"/>
          <w:sz w:val="24"/>
          <w:szCs w:val="24"/>
          <w:color w:val="auto"/>
          <w:vertAlign w:val="superscript"/>
        </w:rPr>
        <w:t>®</w:t>
      </w:r>
      <w:r>
        <w:rPr>
          <w:rFonts w:ascii="Arial" w:cs="Arial" w:eastAsia="Arial" w:hAnsi="Arial"/>
          <w:sz w:val="17"/>
          <w:szCs w:val="17"/>
          <w:color w:val="auto"/>
        </w:rPr>
        <w:t>, AVEED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STRIANT</w:t>
      </w:r>
      <w:r>
        <w:rPr>
          <w:rFonts w:ascii="Arial" w:cs="Arial" w:eastAsia="Arial" w:hAnsi="Arial"/>
          <w:sz w:val="24"/>
          <w:szCs w:val="24"/>
          <w:color w:val="auto"/>
          <w:vertAlign w:val="superscript"/>
        </w:rPr>
        <w:t>®</w:t>
      </w:r>
      <w:r>
        <w:rPr>
          <w:rFonts w:ascii="Arial" w:cs="Arial" w:eastAsia="Arial" w:hAnsi="Arial"/>
          <w:sz w:val="17"/>
          <w:szCs w:val="17"/>
          <w:color w:val="auto"/>
        </w:rPr>
        <w:t>. Plaintiffs in these suits have generally alleged various personal injuries, including pulmonary embolism, stroke or other vascular and/or cardiac injuries, and sought compensatory and/or punitive damages, where available.</w:t>
      </w:r>
    </w:p>
    <w:p>
      <w:pPr>
        <w:spacing w:after="0" w:line="9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As of October 29, 2019, we were aware of approximately 882 testosterone cases (some of which may have been filed on behalf of multiple plaintiffs) pending against one or more of our subsidiaries. These cases have been coordinated in a federal MDL pending in the U.S. District Court for the Northern District of Illinois (MDL No. 2545).</w:t>
      </w:r>
    </w:p>
    <w:p>
      <w:pPr>
        <w:spacing w:after="0" w:line="73"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In June 2018, counsel for plaintiffs, on the one hand, and Auxilium and EPI, on the other, executed an MSA allowing for the resolution of all known testosterone replacement therapy product liability claims against our subsidiaries. The MSA was solely by way of compromise and settlement and was not in any way an admission of fault by us or any of our subsidiaries.</w:t>
      </w:r>
    </w:p>
    <w:p>
      <w:pPr>
        <w:spacing w:after="0" w:line="73"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MSA is subject to a process that includes guidelines and procedures for administering the settlement and the release of funds. Among other things, the MSA provides for the creation of a QSF into which the settlement funds will be deposited, establishes participation requirements and allows for a reduction of the total settlement payment in the event the participation threshold is not met. Distribution of funds to any individual claimant is conditioned upon the receipt of documentation substantiating product use and injury as determined by a third-party special master,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w:t>
      </w:r>
    </w:p>
    <w:p>
      <w:pPr>
        <w:spacing w:after="0" w:line="70"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MDL also included a lawsuit filed in November 2014 in the U.S. District for the Northern District of Illinois against EPI, Auxilium and various other manufacturers of testosterone products on behalf of a proposed class of health insurance companies and other third party payers. This lawsuit is not part of the settlement described above. After a series of motions to dismiss, plaintiff filed a third amended complaint in April 2016, asserting civil claims for alleged violations of the Racketeer Influenced and Corrupt Organizations Act and negligent misrepresentation based on defendants’ marketing of certain testosterone products. The court denied a motion to dismiss this complaint in August 2016. In July 2018, the court denied plaintiff’s motion for class certification. In February 2019, the court granted defendants’ motion for summary judgment. Plaintiff’s appeal to the U.S. Court of Appeals for the Seventh Circuit remains pending.</w:t>
      </w:r>
    </w:p>
    <w:p>
      <w:pPr>
        <w:spacing w:after="0" w:line="81"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73" w:lineRule="exact"/>
        <w:rPr>
          <w:sz w:val="20"/>
          <w:szCs w:val="20"/>
          <w:color w:val="auto"/>
        </w:rPr>
      </w:pPr>
    </w:p>
    <w:p>
      <w:pPr>
        <w:jc w:val="both"/>
        <w:ind w:right="180" w:firstLine="486"/>
        <w:spacing w:after="0" w:line="286" w:lineRule="auto"/>
        <w:rPr>
          <w:sz w:val="20"/>
          <w:szCs w:val="20"/>
          <w:color w:val="auto"/>
        </w:rPr>
      </w:pPr>
      <w:r>
        <w:rPr>
          <w:rFonts w:ascii="Arial" w:cs="Arial" w:eastAsia="Arial" w:hAnsi="Arial"/>
          <w:sz w:val="17"/>
          <w:szCs w:val="17"/>
          <w:color w:val="auto"/>
        </w:rPr>
        <w:t>Although the Company believes it has appropriately estimated the probable total amount of loss associated with testosterone-related matters as of the date of this report,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Opioid-Related Matters</w:t>
      </w:r>
    </w:p>
    <w:p>
      <w:pPr>
        <w:spacing w:after="0" w:line="117"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Since 2014, multiple U.S. states, counties, other governmental persons or entities and private plaintiffs have filed suit against us and/or certain of our subsidiaries, including Endo Health Solutions Inc. (EHSI), EPI, PPI, Par Pharmaceutical Companies, Inc. (PPCI), Endo Generics Holdings, Inc. (EGHI), Vintage Pharmaceuticals, LLC, Generics Bidco I, LLC and DAVA Pharmaceuticals, LLC, as well as various other manufacturers, distributors, pharmacies and/or others, asserting claims relating to defendants’ alleged sales, marketing and/or distribution practices with respect to prescription opioid medications, including certain of our products. As of October 29, 2019, the cases of which we were aware include, but are not limited to, approximately 18 cases filed by or on behalf of states; approximately 2,500 cases filed by counties, cities, Native American tribes and/or other government-related persons or entities; approximately 240 cases filed by hospitals, health systems, unions, health and welfare funds or other third-party payers and approximately 140 cases filed by individuals. Certain of the cases have been filed as putative class actions. In addition to the litigation in the U.S., in August 2018, an action against Paladin Labs Inc., EPI, the Company and various other manufacturers and distributors was commenced in British Columbia on behalf of a proposed class of all federal, provincial and territorial governments and agencies in Canada that paid healthcare, pharmaceutical and treatment costs related to opioids. In May 2019, two putative class actions were filed in Canada, seeking relief on behalf of Canadian residents who were prescribed opioid medications. One of the actions (filed in Ontario Superior Court) names Paladin Labs Inc., the Company and EPI along with several other defendants, and the other action (filed in Quebec Superior Court) names Paladin Labs Inc. along with several other defendants. In the Quebec action, an amended application was filed in October 2019; among other things, the amended application substituted in a new plaintiff.</w:t>
      </w:r>
    </w:p>
    <w:p>
      <w:pPr>
        <w:spacing w:after="0" w:line="64" w:lineRule="exact"/>
        <w:rPr>
          <w:sz w:val="20"/>
          <w:szCs w:val="20"/>
          <w:color w:val="auto"/>
        </w:rPr>
      </w:pPr>
    </w:p>
    <w:p>
      <w:pPr>
        <w:ind w:firstLine="486"/>
        <w:spacing w:after="0" w:line="256" w:lineRule="auto"/>
        <w:rPr>
          <w:sz w:val="20"/>
          <w:szCs w:val="20"/>
          <w:color w:val="auto"/>
        </w:rPr>
      </w:pPr>
      <w:r>
        <w:rPr>
          <w:rFonts w:ascii="Arial" w:cs="Arial" w:eastAsia="Arial" w:hAnsi="Arial"/>
          <w:sz w:val="17"/>
          <w:szCs w:val="17"/>
          <w:color w:val="auto"/>
        </w:rPr>
        <w:t>Many of the U.S. cases have been coordinated in a federal MDL pending in the U.S. District Court for the Northern District of Ohio (MDL No. 2804). In March 2018, the U.S. Department of Justice (DOJ) filed a statement of interest in the case, and in April 2018 it filed a motion to participate in settlement discussions as a friend of the court, which the MDL court granted. The MDL court has issued various case management and substantive orders in certain cases. The first MDL trial, relating to the claims of two Ohio counties (Track One plaintiffs), was set for October 2019 but did not go forward after most defendants settled. In September 2019, EPI, EHSI, PPI and PPCI executed a settlement agreement with the Track One plaintiffs providing for payments totaling $10 million and up to $1 million of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and/or ADRENALIN</w:t>
      </w:r>
      <w:r>
        <w:rPr>
          <w:rFonts w:ascii="Arial" w:cs="Arial" w:eastAsia="Arial" w:hAnsi="Arial"/>
          <w:sz w:val="24"/>
          <w:szCs w:val="24"/>
          <w:color w:val="auto"/>
          <w:vertAlign w:val="superscript"/>
        </w:rPr>
        <w:t>®</w:t>
      </w:r>
      <w:r>
        <w:rPr>
          <w:rFonts w:ascii="Arial" w:cs="Arial" w:eastAsia="Arial" w:hAnsi="Arial"/>
          <w:sz w:val="17"/>
          <w:szCs w:val="17"/>
          <w:color w:val="auto"/>
        </w:rPr>
        <w:t>. Under the settlement agreement, the Track One plaintiffs may be entitled to additional payments in the event of a comprehensive resolution of government-related opioid claims. The settlement agreement was solely by way of compromise and settlement and was not in any way an admission of fault by us or any of our subsidiaries.</w:t>
      </w:r>
    </w:p>
    <w:p>
      <w:pPr>
        <w:spacing w:after="0" w:line="83"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Other cases remain pending in various state courts. In some jurisdictions, certain state court cases have been transferred to a single court within their respective state court systems for coordinated pretrial proceedings. The state cases are generally at the pleading and/or discovery stage with certain of these cases scheduled for trial beginning in 2020.</w:t>
      </w:r>
    </w:p>
    <w:p>
      <w:pPr>
        <w:spacing w:after="0" w:line="73"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The complaints in the cases assert a variety of claims including, but not limited to, claims for alleged violations of public nuisance, consumer protection, unfair trade practices, racketeering, Medicaid fraud and/or drug dealer liability statutes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an alleged failure to take adequate steps to prevent abuse and diversion. Plaintiffs generally seek declaratory and/or injunctive relief; compensatory, punitive and/or treble damages; restitution, disgorgement, civil penalties, abatement, attorneys’ fees, costs and/or other relief.</w:t>
      </w:r>
    </w:p>
    <w:p>
      <w:pPr>
        <w:spacing w:after="0" w:line="85"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to the lawsuits described above, the Company and/or its subsidiaries have received certain subpoenas, civil investigative demands (CIDs)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informal requests for information concerning the sale, marketing and/or distribution of prescription opioid medications, including the following:</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Various state attorneys general have served subpoenas and/or CIDs on EHSI and/or EPI. We are cooperating with the investigations.</w:t>
      </w:r>
    </w:p>
    <w:p>
      <w:pPr>
        <w:spacing w:after="0" w:line="117"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In January 2018, our subsidiary EPI received a federal grand jury subpoena from the U.S. District Court for the Southern District of Florida in connection with an investigation being conducted by the U.S. Attorney’s Office for the Southern District of Florida. The subpoena seeks information related to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other oxymorphone products and marketing of opioid medications. We are cooperating with the investigation.</w:t>
      </w:r>
    </w:p>
    <w:p>
      <w:pPr>
        <w:spacing w:after="0" w:line="2" w:lineRule="exact"/>
        <w:rPr>
          <w:sz w:val="20"/>
          <w:szCs w:val="20"/>
          <w:color w:val="auto"/>
        </w:rPr>
      </w:pPr>
    </w:p>
    <w:p>
      <w:pPr>
        <w:ind w:right="240" w:firstLine="486"/>
        <w:spacing w:after="0" w:line="261" w:lineRule="auto"/>
        <w:rPr>
          <w:sz w:val="20"/>
          <w:szCs w:val="20"/>
          <w:color w:val="auto"/>
        </w:rPr>
      </w:pPr>
      <w:r>
        <w:rPr>
          <w:rFonts w:ascii="Arial" w:cs="Arial" w:eastAsia="Arial" w:hAnsi="Arial"/>
          <w:sz w:val="18"/>
          <w:szCs w:val="18"/>
          <w:color w:val="auto"/>
        </w:rPr>
        <w:t>In September 2019, EPI, EHSI, PPI and PPCI received subpoenas from the New York State Department of Financial Services seeking production of certain documents and information regarding the marketing, sale and distribution of opioid medications in New York. We are providing information responsive to these subpoenas.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18" w:right="2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Generic Drug Pricing Matters</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December 2014, we received a grand jury subpoena from the Antitrust Division of the DOJ issued by the U.S. District Court for the Eastern District of Pennsylvania addressed to Par Pharmaceuticals. The subpoena requested documents and information focused primarily on product and pricing information relating to the authorized generic version of Lanoxin (digoxin) oral tablets and generic doxycycline products, and on communications with competitors and others regarding those products. We are cooperating with the investigation.</w:t>
      </w:r>
    </w:p>
    <w:p>
      <w:pPr>
        <w:spacing w:after="0" w:line="7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73"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 xml:space="preserve">Since March 2016, various private plaintiffs and state attorneys general have filed cases against our subsidiary PPI and/or, in some instances, the Company, Generics Bidco I, LLC, DAVA Pharmaceuticals, LLC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under the caption </w:t>
      </w:r>
      <w:r>
        <w:rPr>
          <w:rFonts w:ascii="Arial" w:cs="Arial" w:eastAsia="Arial" w:hAnsi="Arial"/>
          <w:sz w:val="17"/>
          <w:szCs w:val="17"/>
          <w:i w:val="1"/>
          <w:iCs w:val="1"/>
          <w:color w:val="auto"/>
        </w:rPr>
        <w:t>In re Generic Pharmaceuticals Pricing Antitrust Litigation</w:t>
      </w:r>
      <w:r>
        <w:rPr>
          <w:rFonts w:ascii="Arial" w:cs="Arial" w:eastAsia="Arial" w:hAnsi="Arial"/>
          <w:sz w:val="17"/>
          <w:szCs w:val="17"/>
          <w:color w:val="auto"/>
        </w:rPr>
        <w:t xml:space="preserve"> (MDL No. 2724).</w:t>
      </w:r>
    </w:p>
    <w:p>
      <w:pPr>
        <w:spacing w:after="0" w:line="70"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The various complaints and amended complaints generally assert claims under federal and/or state antitrust law, state consumer protection statutes and/or state common law, and seek damages, treble damages, civil penalties, disgorgement, declaratory and injunctive relief, costs and attorneys’ fees. Some claims are based on alleged product-specific conspiracies. The allegations relating to our subsidiaries in certain of the various complaints focus primarily on one or more of the following products: amitriptyline, baclofen, budesonide, digoxin, divalproex ER, doxycycline hyclate, doxycycline monohydrate, entecavir, fluoxetine, flutamide, hydroxyurea, labetalol, methimazole, nystatin, omega-3-acid ethyl esters, propranolol and/or zoledronic acid. Other claims allege broader, multiple-product conspiracies involving various combinations of these and/or other products. Under these overarching conspiracy theories, plaintiffs seek to hold all alleged participants in a particular conspiracy jointly and severally liable for all harms caused by the alleged conspiracy, not just harms related to the products manufactured and/or sold by a particular defendant.</w:t>
      </w:r>
    </w:p>
    <w:p>
      <w:pPr>
        <w:spacing w:after="0" w:line="7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MDL court has issued various case management and substantive orders, including orders denying certain motions to dismiss, and discovery is ongoing.</w:t>
      </w:r>
    </w:p>
    <w:p>
      <w:pPr>
        <w:spacing w:after="0" w:line="62"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18" w:right="2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Antitrust Matters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7"/>
          <w:szCs w:val="17"/>
          <w:color w:val="auto"/>
        </w:rPr>
        <w:t>Beginning in November 2013, multiple alleged purchasers of LIDODERM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filed a number of cases against our subsidiary EPI and other pharmaceutical companies generally alleging that they had entered into an anticompetitive agreement to restrain trade through the settlement of certain patent infringement litigation. The various complaints asserted claims under Sections 1 and 2 of the Sherman Act, state antitrust and consumer protection statutes and/or state common law. Plaintiffs generally sought damages, treble damages, disgorgement of profits, restitution, injunctive relief and attorneys’ fees. The cases were consolidated and/or coordinated in April 2014 in a federal MDL in the U.S. District Court for the Northern District of California (MDL No. 2521). The MDL court certified classes of direct and indirect purchasers in February 2017. EPI settled with certain opt-out retailer plaintiffs in October 2017. In September 2018, the court approved EPI’s settlement with the class plaintiffs and entered judgment dismissing the class cases with prejudice. In connection with the settlements, several indirect purchasers which previously had opted out were permitted to rejoin the class. The class settlement agreements provide for aggregate payments of approximately $100 million. As of October 29, 2019, EPI had paid approximately $90 million of this total, including approximately $60 million in 2018 and $30 million in the first quarter of 2019. The remaining $10 million is included in our accrual for loss contingencies. In September 2019, Blue Cross Blue Shield of Michigan and Blue Care Network of Michigan filed a complaint against EPI and other pharmaceutical companies in the Third Judicial Circuit Court, Wayne County, Michigan, asserting claims substantially similar to those asserted in the MDL. In October 2019, certain defendants removed the case to federal court.</w:t>
      </w:r>
    </w:p>
    <w:p>
      <w:pPr>
        <w:spacing w:after="0" w:line="88" w:lineRule="exact"/>
        <w:rPr>
          <w:sz w:val="20"/>
          <w:szCs w:val="20"/>
          <w:color w:val="auto"/>
        </w:rPr>
      </w:pPr>
    </w:p>
    <w:p>
      <w:pPr>
        <w:ind w:right="40" w:firstLine="486"/>
        <w:spacing w:after="0" w:line="264" w:lineRule="auto"/>
        <w:rPr>
          <w:sz w:val="20"/>
          <w:szCs w:val="20"/>
          <w:color w:val="auto"/>
        </w:rPr>
      </w:pPr>
      <w:r>
        <w:rPr>
          <w:rFonts w:ascii="Arial" w:cs="Arial" w:eastAsia="Arial" w:hAnsi="Arial"/>
          <w:sz w:val="16"/>
          <w:szCs w:val="16"/>
          <w:color w:val="auto"/>
        </w:rPr>
        <w:t>Beginning in June 2014, multiple alleged purchasers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filed cases against our subsidiaries EHSI and EPI and other pharmaceutical companies, including Impax Laboratories, LLC (formerly Impax Laboratories, Inc. and referred to herein as Impax) and Penwest Pharmaceuticals Co., which our subsidiary EPI had acquired. Some cases were filed on behalf of putative classes of direct and indirect purchasers, while others were filed on behalf of individual retailers or health care benefit plans. All cases have been consolidated and/or coordinated for pretrial proceedings in a federal MDL pending in the U.S. District Court for the Northern District of Illinois (MDL No. 2580). Plaintiffs generally allege that an agreement reached by EPI and Impax to settle patent infringement litigation concerning multiple patents pertaining to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and EPI’s introduction of reformulated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violated antitrust laws. The various complaints assert claims under Sections 1 and 2 of the Sherman Act, state antitrust and consumer protection statutes and/or state common law. Plaintiffs generally seek damages, treble damages, disgorgement of profits, restitution, injunctive relief and attorneys’ fees. In March 2019, direct and indirect purchaser plaintiffs filed motions for class certification, which remain pending. Expert discovery is ongoing.</w:t>
      </w:r>
    </w:p>
    <w:p>
      <w:pPr>
        <w:spacing w:after="0" w:line="80" w:lineRule="exact"/>
        <w:rPr>
          <w:sz w:val="20"/>
          <w:szCs w:val="20"/>
          <w:color w:val="auto"/>
        </w:rPr>
      </w:pPr>
    </w:p>
    <w:p>
      <w:pPr>
        <w:ind w:right="80" w:firstLine="486"/>
        <w:spacing w:after="0" w:line="253" w:lineRule="auto"/>
        <w:rPr>
          <w:sz w:val="20"/>
          <w:szCs w:val="20"/>
          <w:color w:val="auto"/>
        </w:rPr>
      </w:pPr>
      <w:r>
        <w:rPr>
          <w:rFonts w:ascii="Arial" w:cs="Arial" w:eastAsia="Arial" w:hAnsi="Arial"/>
          <w:sz w:val="17"/>
          <w:szCs w:val="17"/>
          <w:color w:val="auto"/>
        </w:rPr>
        <w:t>Beginning in February 2009, the FTC and certain private plaintiffs filed suit against our subsidiary Par Pharmaceutical Companies, Inc. (since June 2016, EGHI) and other pharmaceutical companies alleging violations of antitrust law arising out of their settlement of certain patent litigation concerning the generic version of AndroGel</w:t>
      </w:r>
      <w:r>
        <w:rPr>
          <w:rFonts w:ascii="Arial" w:cs="Arial" w:eastAsia="Arial" w:hAnsi="Arial"/>
          <w:sz w:val="24"/>
          <w:szCs w:val="24"/>
          <w:color w:val="auto"/>
          <w:vertAlign w:val="superscript"/>
        </w:rPr>
        <w:t>®</w:t>
      </w:r>
      <w:r>
        <w:rPr>
          <w:rFonts w:ascii="Arial" w:cs="Arial" w:eastAsia="Arial" w:hAnsi="Arial"/>
          <w:sz w:val="17"/>
          <w:szCs w:val="17"/>
          <w:color w:val="auto"/>
        </w:rPr>
        <w:t>. Generally, the complaints seek damages, treble damages, equitable relief and attorneys’ fees and costs. The cases have been consolidated and/or coordinated for pretrial proceedings in a federal MDL pending in the U.S. District Court for the Northern District of Georgia (MDL No. 2084). In September 2012, the MDL court granted summary judgment to defendants on plaintiffs’ claims of sham litigation. In May 2016, plaintiffs representing a putative class of indirect purchasers voluntarily dismissed their claims with prejudice. In February 2017, the FTC voluntarily dismissed its claims against EGHI with prejudice. Claims by certain alleged direct purchasers or their assignees are still pending against EGHI and other defendants. In June 2018, the MDL court granted in part and denied in part various summary judgment and evidentiary motions filed by defendants. In particular, the court rejected two of direct purchasers’ three causation theories, rejected damages claims related to AndroGel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1.62% and granted in part a motion seeking to exclude part of plaintiffs’ proposed manufacturing expert’s opinions. The motions were denied in all other respects. In July 2018, the court denied certain plaintiffs’ motion for certification of a direct purchaser class. The MDL court has scheduled a trial for February 2020. In August 2019, following the MDL court’s denial of class certification, several alleged direct purchasers filed a separate suit in the U.S. District Court for the Eastern District of Pennsylvania asserting claims substantially similar to those asserted in the MDL, as well as additional claims against other defendants relating to other patent settlement agreements. In September 2019, the defendants filed a motion to transfer venue to the Northern District of Georgia to permit coordination with the MDL. That motion remains pending.</w:t>
      </w:r>
    </w:p>
    <w:p>
      <w:pPr>
        <w:spacing w:after="0" w:line="8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7"/>
          <w:szCs w:val="17"/>
          <w:color w:val="auto"/>
        </w:rPr>
        <w:t>Beginning in May 2018, multiple complaints were filed in the U.S. District Court for the Southern District of New York against PPI, EPI and/or us, as well as other pharmaceutical companies alleging violations of antitrust law arising out of their settlement of certain patent litigation concerning the generic version of Exforge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 which was granted in August 2019. The case is currently in discovery.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18" w:right="2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60" w:firstLine="486"/>
        <w:spacing w:after="0" w:line="277" w:lineRule="auto"/>
        <w:rPr>
          <w:sz w:val="20"/>
          <w:szCs w:val="20"/>
          <w:color w:val="auto"/>
        </w:rPr>
      </w:pPr>
      <w:r>
        <w:rPr>
          <w:rFonts w:ascii="Arial" w:cs="Arial" w:eastAsia="Arial" w:hAnsi="Arial"/>
          <w:sz w:val="16"/>
          <w:szCs w:val="16"/>
          <w:color w:val="auto"/>
        </w:rPr>
        <w:t>Beginning in February 2018, several alleged indirect purchasers filed proposed class actions against our subsidiary PPI and other pharmaceutical companies alleging violations of antitrust law arising out of their settlement of certain patent litigation concerning the generic version of Zetia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(ezetimibe). The various complaints assert claims under Sections 1 and 2 of the Sherman Act, state antitrust and consumer protection statutes and/or state common law. Plaintiffs generally seek injunctive relief, damages, treble damages, attorneys’ fees and costs. In June 2018, these and other related cases, including proposed direct purchaser class actions in which PPI was not named as a defendant, were consolidated and/or coordinated for pretrial proceedings in a federal MDL pending in the U.S. District Court for the Eastern District of Virginia (MDL No. 2836). In September 2018, the indirect purchaser plaintiffs dismissed their claims against PPI without prejudice. In May 2019, the direct purchaser plaintiffs filed a motion seeking leave of court to file an amended consolidated class complaint adding PPI as a defendant in the direct purchaser actions, which leave was granted in June 2019; certain retailer plaintiffs filed a similar motion, which was granted in July 2019. In July 2019, PPI entered into settlement agreements with both the direct purchaser plaintiffs and the retailer plaintiffs. The direct purchaser settlement is subject to court approval. The settlement agreements involve no admission of liability and no monetary payment.</w:t>
      </w:r>
    </w:p>
    <w:p>
      <w:pPr>
        <w:spacing w:after="0" w:line="66" w:lineRule="exact"/>
        <w:rPr>
          <w:sz w:val="20"/>
          <w:szCs w:val="20"/>
          <w:color w:val="auto"/>
        </w:rPr>
      </w:pPr>
    </w:p>
    <w:p>
      <w:pPr>
        <w:ind w:right="240" w:firstLine="486"/>
        <w:spacing w:after="0" w:line="275" w:lineRule="auto"/>
        <w:rPr>
          <w:sz w:val="20"/>
          <w:szCs w:val="20"/>
          <w:color w:val="auto"/>
        </w:rPr>
      </w:pPr>
      <w:r>
        <w:rPr>
          <w:rFonts w:ascii="Arial" w:cs="Arial" w:eastAsia="Arial" w:hAnsi="Arial"/>
          <w:sz w:val="16"/>
          <w:szCs w:val="16"/>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(extended 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October 2019, the defendants filed various motions to dismiss and, in the alternative, moved to transfer the litigation to the U.S. District Court for the District of Delaware.</w:t>
      </w:r>
    </w:p>
    <w:p>
      <w:pPr>
        <w:spacing w:after="0" w:line="71" w:lineRule="exact"/>
        <w:rPr>
          <w:sz w:val="20"/>
          <w:szCs w:val="20"/>
          <w:color w:val="auto"/>
        </w:rPr>
      </w:pPr>
    </w:p>
    <w:p>
      <w:pPr>
        <w:ind w:firstLine="486"/>
        <w:spacing w:after="0" w:line="269" w:lineRule="auto"/>
        <w:rPr>
          <w:sz w:val="20"/>
          <w:szCs w:val="20"/>
          <w:color w:val="auto"/>
        </w:rPr>
      </w:pPr>
      <w:r>
        <w:rPr>
          <w:rFonts w:ascii="Arial" w:cs="Arial" w:eastAsia="Arial" w:hAnsi="Arial"/>
          <w:sz w:val="16"/>
          <w:szCs w:val="16"/>
          <w:color w:val="auto"/>
        </w:rPr>
        <w:t>In November 2014, EPI received a CID from Florida’s Office of the Attorney General seeking documents and other information concerning EPI’s agreement with Actavis settling the LIDODERM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patent litigation, as well as information concerning marketing and sales of LIDODERM</w:t>
      </w:r>
      <w:r>
        <w:rPr>
          <w:rFonts w:ascii="Arial" w:cs="Arial" w:eastAsia="Arial" w:hAnsi="Arial"/>
          <w:sz w:val="22"/>
          <w:szCs w:val="22"/>
          <w:color w:val="auto"/>
          <w:vertAlign w:val="superscript"/>
        </w:rPr>
        <w:t>®</w:t>
      </w:r>
      <w:r>
        <w:rPr>
          <w:rFonts w:ascii="Arial" w:cs="Arial" w:eastAsia="Arial" w:hAnsi="Arial"/>
          <w:sz w:val="16"/>
          <w:szCs w:val="16"/>
          <w:color w:val="auto"/>
        </w:rPr>
        <w:t>. EPI and/or EHSI later received similar CIDs from Alaska and South Carolina. In May 2019, we and EPI entered into a settlement with the state of California resolving potential antitrust and consumer protection claims concerning EPI’s agreement with Actavis settling the LIDODERM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patent litigation, and in July 2019, we and EPI entered into a similar settlement with 18 additional states: Alabama, Arkansas, Florida, Hawaii, Idaho, Illinois, Indiana, Iowa, Maryland, Minnesota, Mississippi, Missouri, Ohio, Oklahoma, Utah, Virginia, Washington and Wisconsin. The settlements involve no admission of liability, and payments provided for in the settlements are not material to the Company. As part of the settlements, we agreed to certain covenants relating to the future settlement of patent infringement litigation through February 2027. These covenants, which are consistent with Endo’s current practices in settling patent infringement cases and consistent with the settlement agreement we reached with the Federal Trade Commission in January 2017, include a prohibition on patent settlement agreements that prevent the marketing of authorized generic products or that involve certain payments to generic manufacturers. The covenants are included in stipulated orders subject to approval by the U.S. District Court for the Northern District of California. The court approved the stipulated order relating to the California settlement in June 2019; with respect to the other settlement, the court approved the stipulated order in August 2019.</w:t>
      </w:r>
    </w:p>
    <w:p>
      <w:pPr>
        <w:spacing w:after="0" w:line="7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right="60" w:firstLine="486"/>
        <w:spacing w:after="0" w:line="268" w:lineRule="auto"/>
        <w:rPr>
          <w:sz w:val="20"/>
          <w:szCs w:val="20"/>
          <w:color w:val="auto"/>
        </w:rPr>
      </w:pPr>
      <w:r>
        <w:rPr>
          <w:rFonts w:ascii="Arial" w:cs="Arial" w:eastAsia="Arial" w:hAnsi="Arial"/>
          <w:sz w:val="16"/>
          <w:szCs w:val="16"/>
          <w:color w:val="auto"/>
        </w:rPr>
        <w:t>In February 2015, EGHI and affiliates received a CID from the Office of the Attorney General for the state of Alaska seeking production of certain documents and information regarding EGHI’s settlement of AndroGel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patent litigation as well as documents produced in the aforementioned litigation filed by the FTC. Also in February 2015, EHSI received a CID from Alaska’s Office of the Attorney General seeking production of certain documents and information concerning agreements with Actavis and Impax settling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patent litigation. We are cooperating with the investigations.</w:t>
      </w:r>
    </w:p>
    <w:p>
      <w:pPr>
        <w:spacing w:after="0" w:line="1" w:lineRule="exact"/>
        <w:rPr>
          <w:sz w:val="20"/>
          <w:szCs w:val="20"/>
          <w:color w:val="auto"/>
        </w:rPr>
      </w:pPr>
    </w:p>
    <w:p>
      <w:pPr>
        <w:ind w:right="280" w:firstLine="486"/>
        <w:spacing w:after="0" w:line="261" w:lineRule="auto"/>
        <w:rPr>
          <w:sz w:val="20"/>
          <w:szCs w:val="20"/>
          <w:color w:val="auto"/>
        </w:rPr>
      </w:pPr>
      <w:r>
        <w:rPr>
          <w:rFonts w:ascii="Arial" w:cs="Arial" w:eastAsia="Arial" w:hAnsi="Arial"/>
          <w:sz w:val="18"/>
          <w:szCs w:val="18"/>
          <w:color w:val="auto"/>
        </w:rPr>
        <w:t>In July 2019, EPI received a CID from the Federal Trade Commission seeking production of certain documents and information regarding oxymorphone ER and EPI’s settlement of a contract dispute with Impax Laboratories (now Amneal Pharmaceuticals) in August 2017. We are cooperating with the investigation.</w:t>
      </w:r>
    </w:p>
    <w:p>
      <w:pPr>
        <w:spacing w:after="0" w:line="76"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18" w:right="2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 xml:space="preserve">In February 2017, a putative class action entitled </w:t>
      </w:r>
      <w:r>
        <w:rPr>
          <w:rFonts w:ascii="Arial" w:cs="Arial" w:eastAsia="Arial" w:hAnsi="Arial"/>
          <w:sz w:val="16"/>
          <w:szCs w:val="16"/>
          <w:i w:val="1"/>
          <w:iCs w:val="1"/>
          <w:color w:val="auto"/>
        </w:rPr>
        <w:t>Public Employees’ Retirement System of Mississippi v. Endo International plc</w:t>
      </w:r>
      <w:r>
        <w:rPr>
          <w:rFonts w:ascii="Arial" w:cs="Arial" w:eastAsia="Arial" w:hAnsi="Arial"/>
          <w:sz w:val="16"/>
          <w:szCs w:val="16"/>
          <w:color w:val="auto"/>
        </w:rPr>
        <w:t xml:space="preserve"> was filed in the Court of Common Pleas of Chester County, Pennsylvania by an institutional purchaser of shares in our June 2, 2015 public offering. The complaint alleged violations of Sections 11, 12(a)(2) and 15 of the Securities Act of 1933 against Endo, certain of its current and former directors and officers, and the underwriters who participated in the offering, based on certain disclosures about Endo’s generics business. In June 2019, the parties entered into a settlement, subject to court approval, which provides for a $50 million payment to the investor class in exchange for a release of their claims. The court preliminarily approved the settlement in July 2019; a final approval hearing is set for November 2019. As a result of the settlement, during the first quarter of 2019, the Company recorded an increase of approximately $50 million to its accrual for loss contingencies. As the Company’s insurers agreed to fund the settlement, the Company also recorded a corresponding insurance receivable of approximately $50 million during the first quarter of 2019, which was recorded as Prepaid expenses and other current assets in the Condensed Consolidated Balance Sheets. The Company’s insurers funded the settlement during the third quarter of 2019, resulting in corresponding decreases to the Company’s accrual for loss contingencies and insurance receivable.</w:t>
      </w:r>
    </w:p>
    <w:p>
      <w:pPr>
        <w:spacing w:after="0" w:line="61" w:lineRule="exact"/>
        <w:rPr>
          <w:sz w:val="20"/>
          <w:szCs w:val="20"/>
          <w:color w:val="auto"/>
        </w:rPr>
      </w:pPr>
    </w:p>
    <w:p>
      <w:pPr>
        <w:ind w:right="160" w:firstLine="486"/>
        <w:spacing w:after="0" w:line="268" w:lineRule="auto"/>
        <w:rPr>
          <w:sz w:val="20"/>
          <w:szCs w:val="20"/>
          <w:color w:val="auto"/>
        </w:rPr>
      </w:pPr>
      <w:r>
        <w:rPr>
          <w:rFonts w:ascii="Arial" w:cs="Arial" w:eastAsia="Arial" w:hAnsi="Arial"/>
          <w:sz w:val="17"/>
          <w:szCs w:val="17"/>
          <w:color w:val="auto"/>
        </w:rPr>
        <w:t xml:space="preserve">In April 2017, a putative class action entitled </w:t>
      </w:r>
      <w:r>
        <w:rPr>
          <w:rFonts w:ascii="Arial" w:cs="Arial" w:eastAsia="Arial" w:hAnsi="Arial"/>
          <w:sz w:val="17"/>
          <w:szCs w:val="17"/>
          <w:i w:val="1"/>
          <w:iCs w:val="1"/>
          <w:color w:val="auto"/>
        </w:rPr>
        <w:t>Phaedra A. Makris v. Endo International plc, Rajiv Kanishka Liyanaarchchie de Silva and Suketu 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Upadhyay </w:t>
      </w:r>
      <w:r>
        <w:rPr>
          <w:rFonts w:ascii="Arial" w:cs="Arial" w:eastAsia="Arial" w:hAnsi="Arial"/>
          <w:sz w:val="17"/>
          <w:szCs w:val="17"/>
          <w:color w:val="auto"/>
        </w:rPr>
        <w:t>was filed in the Superior Court of Justice in Ontario, Canada by an individual shareholder on behalf of herself and similarly-situated Canadian-based investors who purchased Endo’s securities between January 11 and May 5, 2016. The original statement of claim generally sought class certification, declaratory relief, damages, interest and costs based on alleged violations of the Ontario Securities Act. The original statement of claim alleged negligent misrepresentations concerning the Company’s revenues, profit margins and earnings per share; its receipt of a subpoena from the state of Connecticut regarding doxycycline hyclate, amitriptyline hydrochloride, doxazosin mesylate, methotrexate sodium and oxybutynin chloride; and the erosion of the Company’s U.S. generic pharmaceuticals business. In January 2019, plaintiff amended her statement of claim to add a claim on behalf of herself and similarly-situated Canadian investors who purchased Endo’s securities between January 11, 2016 and June 8, 2017. This additional claim is based on the Company’s decision to remove reformulated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from the market.</w:t>
      </w:r>
    </w:p>
    <w:p>
      <w:pPr>
        <w:spacing w:after="0" w:line="3" w:lineRule="exact"/>
        <w:rPr>
          <w:sz w:val="20"/>
          <w:szCs w:val="20"/>
          <w:color w:val="auto"/>
        </w:rPr>
      </w:pPr>
    </w:p>
    <w:p>
      <w:pPr>
        <w:ind w:right="20" w:firstLine="486"/>
        <w:spacing w:after="0" w:line="260" w:lineRule="auto"/>
        <w:rPr>
          <w:sz w:val="20"/>
          <w:szCs w:val="20"/>
          <w:color w:val="auto"/>
        </w:rPr>
      </w:pPr>
      <w:r>
        <w:rPr>
          <w:rFonts w:ascii="Arial" w:cs="Arial" w:eastAsia="Arial" w:hAnsi="Arial"/>
          <w:sz w:val="17"/>
          <w:szCs w:val="17"/>
          <w:color w:val="auto"/>
        </w:rPr>
        <w:t xml:space="preserve">In August 2017, an alleged individual shareholder filed a putative class action entitled </w:t>
      </w:r>
      <w:r>
        <w:rPr>
          <w:rFonts w:ascii="Arial" w:cs="Arial" w:eastAsia="Arial" w:hAnsi="Arial"/>
          <w:sz w:val="17"/>
          <w:szCs w:val="17"/>
          <w:i w:val="1"/>
          <w:iCs w:val="1"/>
          <w:color w:val="auto"/>
        </w:rPr>
        <w:t>Bier v. Endo International plc, et al.</w:t>
      </w:r>
      <w:r>
        <w:rPr>
          <w:rFonts w:ascii="Arial" w:cs="Arial" w:eastAsia="Arial" w:hAnsi="Arial"/>
          <w:sz w:val="17"/>
          <w:szCs w:val="17"/>
          <w:color w:val="auto"/>
        </w:rPr>
        <w:t xml:space="preserve"> in the U.S. District Court for the Eastern District of Pennsylvania. The original complaint alleged violations of Sections 10(b) and 20(a) of the Exchange Act against Endo and four current and former directors and officers, based on the Company’s decision to remove reformulated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from the market. In December 2017, the court appointed SEB Investment Management AB lead plaintiff in the action. In February 2018, the lead plaintiff filed an amended complaint, which added claims alleging violations of Sections 11 and 15 of the Securities Act in connection with the June 2015 offering. The amended complaint named the Company, EHSI and 20 current and former directors, officers and employees of Endo as defendants. In December 2018, the court dismissed the plaintiff’s claims against four individual defendants. In May 2019, the parties stipulated to the dismissal of the claims brought pursuant to Sections 11 and 15 of the Securities Act, which the court accordingly dismissed without prejudice. In August 2019, the parties entered into a settlement, subject to court approval, which provides for a payment of $82.5 million to the investor class in exchange for a release of their claims. The court preliminarily approved the settlement in September 2019 and scheduled a final approval hearing for December 2019. As a result of the settlement, during the second quarter of 2019, the Company recorded an increase of approximately $82.5 million to its accrual for loss contingencies. As the Company’s insurers agreed to fund the settlement, the Company also recorded a corresponding insurance receivable of approximately $82.5 million during the second quarter of 2019, which was recorded as Prepaid expenses and other current assets in the Condensed Consolidated Balance Sheets. The Company’s insurers funded $20.0 million of the settlement amount during the third quarter of 2019, resulting in corresponding decreases to the Company’s accrual for loss contingencies and insurance receivable. The Company’s insurers funded the remainder in October 2019.</w:t>
      </w:r>
    </w:p>
    <w:p>
      <w:pPr>
        <w:spacing w:after="0" w:line="8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 xml:space="preserve">In November 2017, a putative class action entitled </w:t>
      </w:r>
      <w:r>
        <w:rPr>
          <w:rFonts w:ascii="Arial" w:cs="Arial" w:eastAsia="Arial" w:hAnsi="Arial"/>
          <w:sz w:val="18"/>
          <w:szCs w:val="18"/>
          <w:i w:val="1"/>
          <w:iCs w:val="1"/>
          <w:color w:val="auto"/>
        </w:rPr>
        <w:t>Pelletier v. Endo International plc, Rajiv Kanishka Liyanaarchchie De Silva, Suketu P. Upadhyay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Paul V. Campanelli </w:t>
      </w:r>
      <w:r>
        <w:rPr>
          <w:rFonts w:ascii="Arial" w:cs="Arial" w:eastAsia="Arial" w:hAnsi="Arial"/>
          <w:sz w:val="18"/>
          <w:szCs w:val="18"/>
          <w:color w:val="auto"/>
        </w:rPr>
        <w:t>was filed in the U.S. District Court for the Eastern District of Pennsylvania by an individual shareholder on behalf of himself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similarly situated shareholders. The lawsuit alleges violations of Section 10(b) and 20(a) of the Exchange Act relating to the pricing of various generic pharmaceutical products. In June 2018, the court appointed Park Employees’ Annuity and Benefit Fund of Chicago lead plaintiff in the action. In August 2018, the lead plaintiff filed an amended complaint. In September 2018, the defendants moved to dismiss the amended complaint. That motion remains pending.</w:t>
      </w:r>
    </w:p>
    <w:p>
      <w:pPr>
        <w:spacing w:after="0" w:line="8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118" w:right="31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VASOSTRICT</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Related Matters</w:t>
      </w:r>
    </w:p>
    <w:p>
      <w:pPr>
        <w:spacing w:after="0" w:line="41" w:lineRule="exact"/>
        <w:rPr>
          <w:sz w:val="20"/>
          <w:szCs w:val="20"/>
          <w:color w:val="auto"/>
        </w:rPr>
      </w:pPr>
    </w:p>
    <w:p>
      <w:pPr>
        <w:ind w:right="20" w:firstLine="486"/>
        <w:spacing w:after="0"/>
        <w:rPr>
          <w:sz w:val="20"/>
          <w:szCs w:val="20"/>
          <w:color w:val="auto"/>
        </w:rPr>
      </w:pPr>
      <w:r>
        <w:rPr>
          <w:rFonts w:ascii="Arial" w:cs="Arial" w:eastAsia="Arial" w:hAnsi="Arial"/>
          <w:sz w:val="18"/>
          <w:szCs w:val="18"/>
          <w:color w:val="auto"/>
        </w:rPr>
        <w:t>In July 2016, Fresenius Kabi USA, LLC (Fresenius) filed a complaint against PPCI and its affiliate Par Sterile Products, LLC (PSP) in the U.S. District Court for the District of New Jersey alleging that PPCI and its affiliate engaged in an anticompetitive scheme to exclude competition for PPCI’s VASOSTRICT</w:t>
      </w:r>
      <w:r>
        <w:rPr>
          <w:rFonts w:ascii="Arial" w:cs="Arial" w:eastAsia="Arial" w:hAnsi="Arial"/>
          <w:sz w:val="25"/>
          <w:szCs w:val="25"/>
          <w:color w:val="auto"/>
          <w:vertAlign w:val="superscript"/>
        </w:rPr>
        <w:t>®</w:t>
      </w:r>
      <w:r>
        <w:rPr>
          <w:rFonts w:ascii="Arial" w:cs="Arial" w:eastAsia="Arial" w:hAnsi="Arial"/>
          <w:sz w:val="18"/>
          <w:szCs w:val="18"/>
          <w:color w:val="auto"/>
        </w:rPr>
        <w:t>, a vasopressin-based cardiopulmonary drug. The complaint alleges violations of Sections 1 and 2 of the Sherman Antitrust Act, as well as state antitrust and common law, based on assertions that PPCI and its affiliate entered into exclusive supply agreements with one or more active pharmaceutical ingredient (API) manufacturers and that, as a result, Fresenius could not obtain vasopressin API in order to file an Abbreviated New Drug Application (ANDA) to obtain U.S. Food and Drug Administration (FDA) approval for its own vasopressin product. Fresenius seeks actual, treble and punitive damages, attorneys’ fees and costs and injunctive relief. The parties filed cross-motions for summary judgment in July 2019; those motions remain pending.</w:t>
      </w:r>
    </w:p>
    <w:p>
      <w:pPr>
        <w:spacing w:after="0" w:line="96" w:lineRule="exact"/>
        <w:rPr>
          <w:sz w:val="20"/>
          <w:szCs w:val="20"/>
          <w:color w:val="auto"/>
        </w:rPr>
      </w:pPr>
    </w:p>
    <w:p>
      <w:pPr>
        <w:ind w:firstLine="486"/>
        <w:spacing w:after="0" w:line="280" w:lineRule="auto"/>
        <w:rPr>
          <w:sz w:val="20"/>
          <w:szCs w:val="20"/>
          <w:color w:val="auto"/>
        </w:rPr>
      </w:pPr>
      <w:r>
        <w:rPr>
          <w:rFonts w:ascii="Arial" w:cs="Arial" w:eastAsia="Arial" w:hAnsi="Arial"/>
          <w:sz w:val="16"/>
          <w:szCs w:val="16"/>
          <w:color w:val="auto"/>
        </w:rPr>
        <w:t>In August 2017, our subsidiaries PPI and PSP filed a complaint for actual, exemplary and punitive damages, injunctive relief and other relief against QuVa Pharma, Inc. (QuVa), Stuart Hinchen, Peter Jenkins and Mike Rutkowski in the U.S. District Court for the District of New Jersey. The complaint alleges misappropriation in violation of the federal Defend Trade Secrets Act, New Jersey’s Trade Secrets Act and New Jersey common law, as well as unfair competition, breach of contract, breach of fiduciary duty, breach of the duty of loyalty, tortious interference with contractual relations and breach of the duty of confidence in connection with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November 2017, we filed a motion for preliminary injunction seeking various forms of relief. In January 2018, we filed a first amended complaint adding four former employees and one former consultant of PSP as defendants and numerous causes of action against some or all of those individuals, including misappropriation under the federal Defend Trade Secrets Act, New Jersey’s Trade Secrets Act and New Jersey common law, as well as breach of contract, breach of the duty of loyalty and breach of the duty of confidence. In March 2018, the court granted in part our motion for preliminary injunction and enjoined QuVa from marketing and releasing its planned vasopressin product through the conclusion of trial. We subsequently deposited a bond to the court’s interest-bearing account to secure the preliminary injunction. Defendants filed a motion asking the court to reconsider the bond amount, which the court denied. Also in March 2018, QuVa and seven of the individual defendants filed a motion to dismiss the New Jersey common law claims, four of the individual defendants filed a motion to dismiss for lack of personal jurisdiction and one of the individuals filed a motion to dismiss the breach of contract claim. In April 2018, another individual defendant filed a motion to dismiss asserting numerous arguments, including lack of personal jurisdiction, improper venue and choice of law. Discovery began in May 2018. Also in May 2018, defendants filed a notice of appeal to the Third Circuit Court of Appeals indicating intent to appeal the court’s preliminary injunction. The parties completed appellate briefing in January 2019. Also in January 2019, the court denied all four of defendants’ pending motions to dismiss. In February 2019, the defendants filed their answers and affirmative defenses and certain defendants also filed counterclaims for defamation, tortious interference with contract, tortious interference with prospective business relations and witness interference. The counterclaims seek actual, exemplary and punitive damages and other relief. In March 2019, we filed a motion to dismiss all of the defendants’ counterclaims. This motion is still pending. In April 2019, the Third Circuit Court of Appeals affirmed the court’s preliminary injunction but remanded for additional fact-finding concerning the duration of the preliminary injunction and, if needed, consideration of the additional trade secrets raised in our motion for preliminary injunction but not addressed by the preliminary injunction order. The parties completed remand briefing in June 2019 and, following oral argument in July 2019, the court took the issue under submission. In September 2019, following the decision in the </w:t>
      </w:r>
      <w:r>
        <w:rPr>
          <w:rFonts w:ascii="Arial" w:cs="Arial" w:eastAsia="Arial" w:hAnsi="Arial"/>
          <w:sz w:val="16"/>
          <w:szCs w:val="16"/>
          <w:i w:val="1"/>
          <w:iCs w:val="1"/>
          <w:color w:val="auto"/>
        </w:rPr>
        <w:t>Athenex</w:t>
      </w:r>
      <w:r>
        <w:rPr>
          <w:rFonts w:ascii="Arial" w:cs="Arial" w:eastAsia="Arial" w:hAnsi="Arial"/>
          <w:sz w:val="16"/>
          <w:szCs w:val="16"/>
          <w:color w:val="auto"/>
        </w:rPr>
        <w:t xml:space="preserve"> matter upholding the FDA’s determination that there is no clinical need for outsourcing facilities to compound drugs using bulk vasopressin (described below), the parties submitted a proposed consent order to the district court agreeing to a lifting of the preliminary injunction against QuVa but reserving PPI and PSP’s right to seek return or reduction of the bond. The court has not yet ruled on PPI and PSP’s request for return or reduction of the bond.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80" w:lineRule="auto"/>
        <w:rPr>
          <w:sz w:val="20"/>
          <w:szCs w:val="20"/>
          <w:color w:val="auto"/>
        </w:rPr>
      </w:pPr>
      <w:r>
        <w:rPr>
          <w:rFonts w:ascii="Arial" w:cs="Arial" w:eastAsia="Arial" w:hAnsi="Arial"/>
          <w:sz w:val="16"/>
          <w:szCs w:val="16"/>
          <w:color w:val="auto"/>
        </w:rPr>
        <w:t xml:space="preserve">In October 2017, Endo Par Innovation Company, LLC (EPIC) and PSP filed a complaint in the U.S. District Court for the District of Columbia challenging the legality of the FDA’s </w:t>
      </w:r>
      <w:r>
        <w:rPr>
          <w:rFonts w:ascii="Arial" w:cs="Arial" w:eastAsia="Arial" w:hAnsi="Arial"/>
          <w:sz w:val="16"/>
          <w:szCs w:val="16"/>
          <w:i w:val="1"/>
          <w:iCs w:val="1"/>
          <w:color w:val="auto"/>
        </w:rPr>
        <w:t>Interim Policy on Compounding Using Bulk Drug Substances Under Section 503B of the Federal Food, Drug,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Cosmetic Act </w:t>
      </w:r>
      <w:r>
        <w:rPr>
          <w:rFonts w:ascii="Arial" w:cs="Arial" w:eastAsia="Arial" w:hAnsi="Arial"/>
          <w:sz w:val="16"/>
          <w:szCs w:val="16"/>
          <w:color w:val="auto"/>
        </w:rPr>
        <w:t>(January 2017) with respect to the listing of vasopressin in Category 1 of the</w:t>
      </w:r>
      <w:r>
        <w:rPr>
          <w:rFonts w:ascii="Arial" w:cs="Arial" w:eastAsia="Arial" w:hAnsi="Arial"/>
          <w:sz w:val="16"/>
          <w:szCs w:val="16"/>
          <w:i w:val="1"/>
          <w:iCs w:val="1"/>
          <w:color w:val="auto"/>
        </w:rPr>
        <w:t xml:space="preserve"> Interim Policy</w:t>
      </w:r>
      <w:r>
        <w:rPr>
          <w:rFonts w:ascii="Arial" w:cs="Arial" w:eastAsia="Arial" w:hAnsi="Arial"/>
          <w:sz w:val="16"/>
          <w:szCs w:val="16"/>
          <w:color w:val="auto"/>
        </w:rPr>
        <w:t>. The complaint contends that the</w:t>
      </w:r>
      <w:r>
        <w:rPr>
          <w:rFonts w:ascii="Arial" w:cs="Arial" w:eastAsia="Arial" w:hAnsi="Arial"/>
          <w:sz w:val="16"/>
          <w:szCs w:val="16"/>
          <w:i w:val="1"/>
          <w:iCs w:val="1"/>
          <w:color w:val="auto"/>
        </w:rPr>
        <w:t xml:space="preserve"> Interim Policy </w:t>
      </w:r>
      <w:r>
        <w:rPr>
          <w:rFonts w:ascii="Arial" w:cs="Arial" w:eastAsia="Arial" w:hAnsi="Arial"/>
          <w:sz w:val="16"/>
          <w:szCs w:val="16"/>
          <w:color w:val="auto"/>
        </w:rPr>
        <w:t>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unlawful because it is inconsistent with the Federal Food, Drug, and Cosmetic Act, including, but not limited to, Section 503B of that Act. The complaint sought (i) a declaration that FDA’s </w:t>
      </w:r>
      <w:r>
        <w:rPr>
          <w:rFonts w:ascii="Arial" w:cs="Arial" w:eastAsia="Arial" w:hAnsi="Arial"/>
          <w:sz w:val="16"/>
          <w:szCs w:val="16"/>
          <w:i w:val="1"/>
          <w:iCs w:val="1"/>
          <w:color w:val="auto"/>
        </w:rPr>
        <w:t>Interim Policy</w:t>
      </w:r>
      <w:r>
        <w:rPr>
          <w:rFonts w:ascii="Arial" w:cs="Arial" w:eastAsia="Arial" w:hAnsi="Arial"/>
          <w:sz w:val="16"/>
          <w:szCs w:val="16"/>
          <w:color w:val="auto"/>
        </w:rPr>
        <w:t xml:space="preserve"> and its listing of vasopressin in Category 1 of the </w:t>
      </w:r>
      <w:r>
        <w:rPr>
          <w:rFonts w:ascii="Arial" w:cs="Arial" w:eastAsia="Arial" w:hAnsi="Arial"/>
          <w:sz w:val="16"/>
          <w:szCs w:val="16"/>
          <w:i w:val="1"/>
          <w:iCs w:val="1"/>
          <w:color w:val="auto"/>
        </w:rPr>
        <w:t>Interim Policy</w:t>
      </w:r>
      <w:r>
        <w:rPr>
          <w:rFonts w:ascii="Arial" w:cs="Arial" w:eastAsia="Arial" w:hAnsi="Arial"/>
          <w:sz w:val="16"/>
          <w:szCs w:val="16"/>
          <w:color w:val="auto"/>
        </w:rPr>
        <w:t xml:space="preserve"> are unlawful and (ii) an order enjoining and vacating the </w:t>
      </w:r>
      <w:r>
        <w:rPr>
          <w:rFonts w:ascii="Arial" w:cs="Arial" w:eastAsia="Arial" w:hAnsi="Arial"/>
          <w:sz w:val="16"/>
          <w:szCs w:val="16"/>
          <w:i w:val="1"/>
          <w:iCs w:val="1"/>
          <w:color w:val="auto"/>
        </w:rPr>
        <w:t>Interim Policy</w:t>
      </w:r>
      <w:r>
        <w:rPr>
          <w:rFonts w:ascii="Arial" w:cs="Arial" w:eastAsia="Arial" w:hAnsi="Arial"/>
          <w:sz w:val="16"/>
          <w:szCs w:val="16"/>
          <w:color w:val="auto"/>
        </w:rPr>
        <w:t xml:space="preserve"> and the FDA’s listing of vasopressin in Category 1 of the </w:t>
      </w:r>
      <w:r>
        <w:rPr>
          <w:rFonts w:ascii="Arial" w:cs="Arial" w:eastAsia="Arial" w:hAnsi="Arial"/>
          <w:sz w:val="16"/>
          <w:szCs w:val="16"/>
          <w:i w:val="1"/>
          <w:iCs w:val="1"/>
          <w:color w:val="auto"/>
        </w:rPr>
        <w:t>Interim Policy</w:t>
      </w:r>
      <w:r>
        <w:rPr>
          <w:rFonts w:ascii="Arial" w:cs="Arial" w:eastAsia="Arial" w:hAnsi="Arial"/>
          <w:sz w:val="16"/>
          <w:szCs w:val="16"/>
          <w:color w:val="auto"/>
        </w:rPr>
        <w:t>. In January 2018, EPIC and PSP agreed to a temporary 60-day stay of the litigation in light of the FDA’s announcement that forthcoming guidance would address the concerns set forth in the Company’s complaint. In March 2018, the FDA released new draft guidance for industry entitled “Evaluation of Bulk Drug Substances Nominated for Use in Compounding Under Section 503B of the Federal Food, Drug, and Cosmetic Act.” Shortly thereafter, the parties agreed to extend the temporary stay for an additional 180 days. In August 2018, before the 180-day stay period expired, Athenex Pharma Solutions, LLC and Athenex Pharmaceutical Division, LLC announced they had commenced bulk compounding of vasopressin, and moved to intervene in EPIC and PSP’s case against the FDA. Later that month, EPIC and PSP invoked their ability to terminate the stay and filed a motion for preliminary injunction. Before responding to the motion for preliminary injunction, the FDA issued a notice containing a proposed finding that there is no clinical need to bulk compound vasopressin under Section 503B in August 2018. In September 2018, the FDA advised EPIC and PSP that it would agree to use its best efforts to finalize the vasopressin clinical need rulemaking by December 31, 2018, if the case were again stayed. EPIC and PSP agreed to the requested stay. In December 2018, the appropriations act that had been funding the DOJ and components of the FDA expired, resulting in a lapse of appropriations; therefore, the FDA moved the court for a further stay of the case until appropriations were restored. The court granted the motion in January 2019, ordering the FDA to file a notification with the court within three business days of DOJ operations resuming. After government appropriations were restored, the FDA advised that it would use its best efforts to finalize the vasopressin clinical need determination by March 15, 2019. The FDA finalized the vasopressin clinical need determination in March 2019, finding that because of VASOSTRICT</w:t>
      </w:r>
      <w:r>
        <w:rPr>
          <w:rFonts w:ascii="Arial" w:cs="Arial" w:eastAsia="Arial" w:hAnsi="Arial"/>
          <w:sz w:val="22"/>
          <w:szCs w:val="22"/>
          <w:color w:val="auto"/>
          <w:vertAlign w:val="superscript"/>
        </w:rPr>
        <w:t>®</w:t>
      </w:r>
      <w:r>
        <w:rPr>
          <w:rFonts w:ascii="Arial" w:cs="Arial" w:eastAsia="Arial" w:hAnsi="Arial"/>
          <w:sz w:val="16"/>
          <w:szCs w:val="16"/>
          <w:color w:val="auto"/>
        </w:rPr>
        <w:t>’s availability, there is no clinical need for outsourcing facilities to compound drugs using bulk vasopressin. That same day, Athenex, Inc., Athenex Pharma Solutions, LLC, and Athenex Pharmaceutical Division, LLC filed a complaint in the U.S. District Court for the District of Columbia, challenging the FDA’s clinical need determination for vasopressin. EPIC and PSP intervened as defendants in the action. The parties and the court agreed to an expedited summary judgment briefing, and a hearing on cross-motions for summary judgment was held in April 2019. In August 2019, the court granted defendants’ motion for summary judgment and denied plaintiffs’ motion for summary judgment. The court subsequently denied plaintiffs’ motion for a stay or injunction of the court’s order pending appeal to the United States Court of Appeals for the District of Columbia Circuit (D.C. Circuit). Plaintiffs then withdrew their appeal and the D.C. Circuit dismissed the case. In September 2019, all parties also stipulated to the dismissal without prejudice of EPIC and PSP’s suit against the FDA, and that case was closed.</w:t>
      </w:r>
    </w:p>
    <w:p>
      <w:pPr>
        <w:spacing w:after="0" w:line="281" w:lineRule="exact"/>
        <w:rPr>
          <w:sz w:val="20"/>
          <w:szCs w:val="20"/>
          <w:color w:val="auto"/>
        </w:rPr>
      </w:pPr>
    </w:p>
    <w:p>
      <w:pPr>
        <w:ind w:right="40" w:firstLine="486"/>
        <w:spacing w:after="0" w:line="235" w:lineRule="auto"/>
        <w:rPr>
          <w:sz w:val="20"/>
          <w:szCs w:val="20"/>
          <w:color w:val="auto"/>
        </w:rPr>
      </w:pPr>
      <w:r>
        <w:rPr>
          <w:rFonts w:ascii="Arial" w:cs="Arial" w:eastAsia="Arial" w:hAnsi="Arial"/>
          <w:sz w:val="18"/>
          <w:szCs w:val="18"/>
          <w:color w:val="auto"/>
        </w:rPr>
        <w:t xml:space="preserve">In August 2018, Athenex filed a declaratory judgment action in the U.S. District Court for the Western District of New York, a case styled </w:t>
      </w:r>
      <w:r>
        <w:rPr>
          <w:rFonts w:ascii="Arial" w:cs="Arial" w:eastAsia="Arial" w:hAnsi="Arial"/>
          <w:sz w:val="18"/>
          <w:szCs w:val="18"/>
          <w:i w:val="1"/>
          <w:iCs w:val="1"/>
          <w:color w:val="auto"/>
        </w:rPr>
        <w:t>Athenex v.</w:t>
      </w:r>
      <w:r>
        <w:rPr>
          <w:rFonts w:ascii="Arial" w:cs="Arial" w:eastAsia="Arial" w:hAnsi="Arial"/>
          <w:sz w:val="18"/>
          <w:szCs w:val="18"/>
          <w:color w:val="auto"/>
        </w:rPr>
        <w:t xml:space="preserve"> </w:t>
      </w:r>
      <w:r>
        <w:rPr>
          <w:rFonts w:ascii="Arial" w:cs="Arial" w:eastAsia="Arial" w:hAnsi="Arial"/>
          <w:sz w:val="18"/>
          <w:szCs w:val="18"/>
          <w:i w:val="1"/>
          <w:iCs w:val="1"/>
          <w:color w:val="auto"/>
        </w:rPr>
        <w:t>Par</w:t>
      </w:r>
      <w:r>
        <w:rPr>
          <w:rFonts w:ascii="Arial" w:cs="Arial" w:eastAsia="Arial" w:hAnsi="Arial"/>
          <w:sz w:val="18"/>
          <w:szCs w:val="18"/>
          <w:color w:val="auto"/>
        </w:rPr>
        <w:t>, alleging non-infringement and/or invalidity of the patents the Company has listed in the Orange Book in view of VASOSTRICT</w:t>
      </w:r>
      <w:r>
        <w:rPr>
          <w:rFonts w:ascii="Arial" w:cs="Arial" w:eastAsia="Arial" w:hAnsi="Arial"/>
          <w:sz w:val="25"/>
          <w:szCs w:val="25"/>
          <w:color w:val="auto"/>
          <w:vertAlign w:val="superscript"/>
        </w:rPr>
        <w:t>®</w:t>
      </w:r>
      <w:r>
        <w:rPr>
          <w:rFonts w:ascii="Arial" w:cs="Arial" w:eastAsia="Arial" w:hAnsi="Arial"/>
          <w:sz w:val="18"/>
          <w:szCs w:val="18"/>
          <w:color w:val="auto"/>
        </w:rPr>
        <w:t>. The Company moved</w:t>
      </w:r>
      <w:r>
        <w:rPr>
          <w:rFonts w:ascii="Arial" w:cs="Arial" w:eastAsia="Arial" w:hAnsi="Arial"/>
          <w:sz w:val="18"/>
          <w:szCs w:val="18"/>
          <w:i w:val="1"/>
          <w:iCs w:val="1"/>
          <w:color w:val="auto"/>
        </w:rPr>
        <w:t xml:space="preserve"> </w:t>
      </w:r>
      <w:r>
        <w:rPr>
          <w:rFonts w:ascii="Arial" w:cs="Arial" w:eastAsia="Arial" w:hAnsi="Arial"/>
          <w:sz w:val="18"/>
          <w:szCs w:val="18"/>
          <w:color w:val="auto"/>
        </w:rPr>
        <w:t>to dismiss Athenex’s case on multiple grounds in October 2018, which motion was opposed by Athenex in December 2018. The Company responded to this opposition in December 2018. In July 2019, the court granted our motion and dismissed Athenex’s declaratory judgment action and the time for Athenex to appeal has expired. This matter is now closed.</w:t>
      </w:r>
    </w:p>
    <w:p>
      <w:pPr>
        <w:spacing w:after="0" w:line="96" w:lineRule="exact"/>
        <w:rPr>
          <w:sz w:val="20"/>
          <w:szCs w:val="20"/>
          <w:color w:val="auto"/>
        </w:rPr>
      </w:pPr>
    </w:p>
    <w:p>
      <w:pPr>
        <w:ind w:firstLine="486"/>
        <w:spacing w:after="0" w:line="256" w:lineRule="auto"/>
        <w:rPr>
          <w:sz w:val="20"/>
          <w:szCs w:val="20"/>
          <w:color w:val="auto"/>
        </w:rPr>
      </w:pPr>
      <w:r>
        <w:rPr>
          <w:rFonts w:ascii="Arial" w:cs="Arial" w:eastAsia="Arial" w:hAnsi="Arial"/>
          <w:sz w:val="17"/>
          <w:szCs w:val="17"/>
          <w:color w:val="auto"/>
        </w:rPr>
        <w:t>In April 2018, PSP and PPI received a notice letter from Eagle Pharmaceuticals, Inc. (Eagle) advising of the filing by such company of an ANDA for a generic version of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(vasopressin IV solution (infusion)) 20 units/ml. In May 2018, PSP and PPI received a second notice letter from Eagle advising of the same filing, but adding an additional patent. The Paragraph IV notices refer to U.S. Patent Nos. 9,375,478; 9,687,526; 9,744,209; 9,744,239; 9,750,785 and 9,937,223, which variously cover either vasopressin-containing pharmaceutical compositions or methods of using a vasopressin-containing dosage form to increase blood pressure in humans. In May 2018, PPI, PSP and EPIC filed a lawsuit against Eagle in the U.S. District Court for the District of Delaware within the 45-day deadline to invoke a 30-month stay of FDA approval pursuant to the Hatch-Waxman legislative scheme. In August 2018, Eagle filed an answer and a counterclaim for non-infringement and invalidity of asserted patents. A claim construction hearing was held in May 2019 and a bench trial is scheduled for May 2020.</w:t>
      </w:r>
    </w:p>
    <w:p>
      <w:pPr>
        <w:spacing w:after="0" w:line="83" w:lineRule="exact"/>
        <w:rPr>
          <w:sz w:val="20"/>
          <w:szCs w:val="20"/>
          <w:color w:val="auto"/>
        </w:rPr>
      </w:pPr>
    </w:p>
    <w:p>
      <w:pPr>
        <w:ind w:right="40" w:firstLine="486"/>
        <w:spacing w:after="0" w:line="256" w:lineRule="auto"/>
        <w:rPr>
          <w:sz w:val="20"/>
          <w:szCs w:val="20"/>
          <w:color w:val="auto"/>
        </w:rPr>
      </w:pPr>
      <w:r>
        <w:rPr>
          <w:rFonts w:ascii="Arial" w:cs="Arial" w:eastAsia="Arial" w:hAnsi="Arial"/>
          <w:sz w:val="16"/>
          <w:szCs w:val="16"/>
          <w:color w:val="auto"/>
        </w:rPr>
        <w:t>In September 2018, PSP and PPI received a notice letter from Sandoz Inc. (Sandoz) advising of the filing by such company of an ANDA for a generic version of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(vasopressin IV solution (infusion)) 200 units/10 ml. In October 2018, PPI, PSP and EPIC filed a lawsuit against Sandoz in the U.S. District Court for the District of New Jersey within the 45-day deadline to invoke a 30-month stay of FDA approval pursuant to the Hatch-Waxman legislative scheme. In October 2018, PSP and PPI received an additional notice letter from Sandoz advising of the filing by such company of an ANDA for a generic version of the 20 units/1 ml presentation for VASOSTRICT</w:t>
      </w:r>
      <w:r>
        <w:rPr>
          <w:rFonts w:ascii="Arial" w:cs="Arial" w:eastAsia="Arial" w:hAnsi="Arial"/>
          <w:sz w:val="22"/>
          <w:szCs w:val="22"/>
          <w:color w:val="auto"/>
          <w:vertAlign w:val="superscript"/>
        </w:rPr>
        <w:t>®</w:t>
      </w:r>
      <w:r>
        <w:rPr>
          <w:rFonts w:ascii="Arial" w:cs="Arial" w:eastAsia="Arial" w:hAnsi="Arial"/>
          <w:sz w:val="16"/>
          <w:szCs w:val="16"/>
          <w:color w:val="auto"/>
        </w:rPr>
        <w:t>. In November 2018, the complaint was amended to add a claim for the additional notice letter, within the 45-day deadline to invoke a 30-month stay of FDA approval pursuant to the Hatch-Waxman legislative scheme.</w:t>
      </w:r>
    </w:p>
    <w:p>
      <w:pPr>
        <w:spacing w:after="0" w:line="80" w:lineRule="exact"/>
        <w:rPr>
          <w:sz w:val="20"/>
          <w:szCs w:val="20"/>
          <w:color w:val="auto"/>
        </w:rPr>
      </w:pPr>
    </w:p>
    <w:p>
      <w:pPr>
        <w:ind w:right="20" w:firstLine="486"/>
        <w:spacing w:after="0" w:line="232" w:lineRule="auto"/>
        <w:rPr>
          <w:sz w:val="20"/>
          <w:szCs w:val="20"/>
          <w:color w:val="auto"/>
        </w:rPr>
      </w:pPr>
      <w:r>
        <w:rPr>
          <w:rFonts w:ascii="Arial" w:cs="Arial" w:eastAsia="Arial" w:hAnsi="Arial"/>
          <w:sz w:val="18"/>
          <w:szCs w:val="18"/>
          <w:color w:val="auto"/>
        </w:rPr>
        <w:t>In November 2018, PSP and PPI received a notice letter from Amphastar Pharmaceuticals, Inc. (Amphastar) advising of the filing by such company of an ANDA for a generic version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(vasopressin IV solution (infusion)) 20 units/1 ml. In December 2018, PPI, PSP and EPIC filed a lawsuit against Amphastar in the U.S. District Court for the District of Delaware within the 45-day deadline to invoke a 30-month stay of FDA approval pursuant to the Hatch-Waxman legislative scheme. A trial is scheduled for January 2021.</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18" w:right="2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60" w:firstLine="486"/>
        <w:spacing w:after="0" w:line="232" w:lineRule="auto"/>
        <w:rPr>
          <w:sz w:val="20"/>
          <w:szCs w:val="20"/>
          <w:color w:val="auto"/>
        </w:rPr>
      </w:pPr>
      <w:r>
        <w:rPr>
          <w:rFonts w:ascii="Arial" w:cs="Arial" w:eastAsia="Arial" w:hAnsi="Arial"/>
          <w:sz w:val="18"/>
          <w:szCs w:val="18"/>
          <w:color w:val="auto"/>
        </w:rPr>
        <w:t>In March 2019, PSP and PPI received a notice letter from Amneal Pharmaceuticals LLC (Amneal) advising of the filing by such company of an ANDA for a generic version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(vasopressin IV solution (infusion)) 20 units/1 ml and 200 units/10 ml. In April 2019, PPI, PSP and EPIC filed a lawsuit against Amneal in the U.S. District Court for the District of Delaware within the 45-day deadline to invoke a 30-month stay of FDA approval pursuant to the Hatch-Waxman legislative scheme. A trial is scheduled for January 2021.</w:t>
      </w:r>
    </w:p>
    <w:p>
      <w:pPr>
        <w:spacing w:after="0" w:line="94" w:lineRule="exact"/>
        <w:rPr>
          <w:sz w:val="20"/>
          <w:szCs w:val="20"/>
          <w:color w:val="auto"/>
        </w:rPr>
      </w:pPr>
    </w:p>
    <w:p>
      <w:pPr>
        <w:ind w:right="60" w:firstLine="486"/>
        <w:spacing w:after="0" w:line="232" w:lineRule="auto"/>
        <w:rPr>
          <w:sz w:val="20"/>
          <w:szCs w:val="20"/>
          <w:color w:val="auto"/>
        </w:rPr>
      </w:pPr>
      <w:r>
        <w:rPr>
          <w:rFonts w:ascii="Arial" w:cs="Arial" w:eastAsia="Arial" w:hAnsi="Arial"/>
          <w:sz w:val="18"/>
          <w:szCs w:val="18"/>
          <w:color w:val="auto"/>
        </w:rPr>
        <w:t>In June 2019, PSP and PPI received a notice letter from American Regent advising of the filing by such company of an ANDA for a generic version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(vasopressin IV solution (infusion)) 20 units/1 ml. In August 2019, PPI, PSP and EPIC filed a lawsuit against American Regent in the U.S. District Court for the District of Delaware within the 45-day deadline to invoke a 30-month stay of FDA approval pursuant to the Hatch-Waxman legislative scheme. A trial is scheduled for January 2021.</w:t>
      </w:r>
    </w:p>
    <w:p>
      <w:pPr>
        <w:spacing w:after="0" w:line="94" w:lineRule="exact"/>
        <w:rPr>
          <w:sz w:val="20"/>
          <w:szCs w:val="20"/>
          <w:color w:val="auto"/>
        </w:rPr>
      </w:pPr>
    </w:p>
    <w:p>
      <w:pPr>
        <w:ind w:right="40" w:firstLine="486"/>
        <w:spacing w:after="0" w:line="232" w:lineRule="auto"/>
        <w:rPr>
          <w:sz w:val="20"/>
          <w:szCs w:val="20"/>
          <w:color w:val="auto"/>
        </w:rPr>
      </w:pPr>
      <w:r>
        <w:rPr>
          <w:rFonts w:ascii="Arial" w:cs="Arial" w:eastAsia="Arial" w:hAnsi="Arial"/>
          <w:sz w:val="18"/>
          <w:szCs w:val="18"/>
          <w:color w:val="auto"/>
        </w:rPr>
        <w:t>In September 2019, PSP and PPI received a notice letter from Fresenius Kabi advising of the filing by such company of an ANDA for a generic version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(vasopressin IV solution (infusion)) 20 units/1 ml and 200 units/10 ml. In October 2019, PPI, PSP and EPIC filed a lawsuit against Fresenius Kabi in the U.S. District Court for the District of Delaware within the 45-day deadline to invoke a 30-month stay of FDA approval pursuant to the Hatch-Waxman legislative scheme.</w:t>
      </w:r>
    </w:p>
    <w:p>
      <w:pPr>
        <w:spacing w:after="0" w:line="94" w:lineRule="exact"/>
        <w:rPr>
          <w:sz w:val="20"/>
          <w:szCs w:val="20"/>
          <w:color w:val="auto"/>
        </w:rPr>
      </w:pPr>
    </w:p>
    <w:p>
      <w:pPr>
        <w:ind w:right="40" w:firstLine="486"/>
        <w:spacing w:after="0" w:line="237" w:lineRule="auto"/>
        <w:rPr>
          <w:sz w:val="20"/>
          <w:szCs w:val="20"/>
          <w:color w:val="auto"/>
        </w:rPr>
      </w:pPr>
      <w:r>
        <w:rPr>
          <w:rFonts w:ascii="Arial" w:cs="Arial" w:eastAsia="Arial" w:hAnsi="Arial"/>
          <w:sz w:val="18"/>
          <w:szCs w:val="18"/>
          <w:color w:val="auto"/>
        </w:rPr>
        <w:t>The Company’s accrual for loss contingencies includes, among other things, an estimated accrual for certain VASOSTRICT</w:t>
      </w:r>
      <w:r>
        <w:rPr>
          <w:rFonts w:ascii="Arial" w:cs="Arial" w:eastAsia="Arial" w:hAnsi="Arial"/>
          <w:sz w:val="25"/>
          <w:szCs w:val="25"/>
          <w:color w:val="auto"/>
          <w:vertAlign w:val="superscript"/>
        </w:rPr>
        <w:t>®</w:t>
      </w:r>
      <w:r>
        <w:rPr>
          <w:rFonts w:ascii="Arial" w:cs="Arial" w:eastAsia="Arial" w:hAnsi="Arial"/>
          <w:sz w:val="18"/>
          <w:szCs w:val="18"/>
          <w:color w:val="auto"/>
        </w:rPr>
        <w:t>-related matters. We will continue to vigorously defend or prosecute the foregoing matters as appropriate, to protect our intellectual property rights, to pursue all available legal and regulatory avenues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Proceedings and Investigations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COMPREHENSIVE INCOME (LOSS)</w:t>
      </w:r>
    </w:p>
    <w:p>
      <w:pPr>
        <w:spacing w:after="0" w:line="12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There were no tax effects allocated to any component of Other comprehensive (loss) income for the three and nine months ended September 30, 2019 and 2018. Substantially all of the Company’s Accumulated other comprehensive loss balances at September 30, 2019 and December 31, 2018 consist of Foreign currency translation loss.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SHAREHOLDERS' DEFICIT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 reconciliation of the beginning and ending balances in Total shareholders' deficit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Euro Deferred</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Ordinary</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Additional Paid-in</w:t>
            </w: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1460" w:type="dxa"/>
            <w:vAlign w:val="bottom"/>
            <w:gridSpan w:val="3"/>
            <w:vMerge w:val="continue"/>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 Loss</w:t>
            </w: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BALANCE, DECEMBER 31, 2018, PRIOR</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THE ADOPTION OF ASC 842 (1)</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8,855,810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(9,124,932)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(229,229)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(498,283)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Effect of adopting ASC 842 (1)</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2019</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8,855,810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(9,129,578)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(502,929)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0"/>
              </w:rPr>
              <w:t>Compensation related to share-based awards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24,733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24,733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options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Tax withholding for restricted shares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MARCH 31, 2019</w:t>
            </w: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8,878,133</w:t>
            </w:r>
          </w:p>
        </w:tc>
        <w:tc>
          <w:tcPr>
            <w:tcW w:w="1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(9,148,151)</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(224,499)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(494,450)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Compensation related to share-based awards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Tax withholding for restricted shares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JUNE 30, 2019</w:t>
            </w: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8,883,720</w:t>
            </w:r>
          </w:p>
        </w:tc>
        <w:tc>
          <w:tcPr>
            <w:tcW w:w="1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(9,254,156)</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(220,104)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(590,472)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(79,415)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Compensation related to share-based awards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Tax withholding for restricted shares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BALANCE, SEPTEMBER 30, 2019</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8,894,646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(9,333,571)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(222,619)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(661,477)</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Refer to Note 2. Summary of Significant Accounting Policies for further description of ASC 842.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presents a reconciliation of the beginning and ending balances in Total shareholders' equity (deficit) for the three and nine months ended September 30, 2018 (in thousands):</w:t>
      </w:r>
    </w:p>
    <w:p>
      <w:pPr>
        <w:spacing w:after="0" w:line="108" w:lineRule="exact"/>
        <w:rPr>
          <w:sz w:val="20"/>
          <w:szCs w:val="20"/>
          <w:color w:val="auto"/>
        </w:rPr>
      </w:pPr>
    </w:p>
    <w:p>
      <w:pPr>
        <w:jc w:val="right"/>
        <w:ind w:right="80"/>
        <w:spacing w:after="0"/>
        <w:tabs>
          <w:tab w:leader="none" w:pos="6600" w:val="left"/>
          <w:tab w:leader="none" w:pos="5560" w:val="left"/>
          <w:tab w:leader="none" w:pos="2660" w:val="left"/>
          <w:tab w:leader="none" w:pos="1180" w:val="left"/>
        </w:tabs>
        <w:rPr>
          <w:sz w:val="20"/>
          <w:szCs w:val="20"/>
          <w:color w:val="auto"/>
        </w:rPr>
      </w:pPr>
      <w:r>
        <w:rPr>
          <w:rFonts w:ascii="Arial" w:cs="Arial" w:eastAsia="Arial" w:hAnsi="Arial"/>
          <w:sz w:val="14"/>
          <w:szCs w:val="14"/>
          <w:b w:val="1"/>
          <w:bCs w:val="1"/>
          <w:color w:val="auto"/>
        </w:rPr>
        <w:t>Euro Deferred</w:t>
      </w:r>
      <w:r>
        <w:rPr>
          <w:sz w:val="20"/>
          <w:szCs w:val="20"/>
          <w:color w:val="auto"/>
        </w:rPr>
        <w:tab/>
      </w:r>
      <w:r>
        <w:rPr>
          <w:rFonts w:ascii="Arial" w:cs="Arial" w:eastAsia="Arial" w:hAnsi="Arial"/>
          <w:sz w:val="14"/>
          <w:szCs w:val="14"/>
          <w:b w:val="1"/>
          <w:bCs w:val="1"/>
          <w:color w:val="auto"/>
        </w:rPr>
        <w:t>Ordinary</w:t>
      </w:r>
      <w:r>
        <w:rPr>
          <w:sz w:val="20"/>
          <w:szCs w:val="20"/>
          <w:color w:val="auto"/>
        </w:rPr>
        <w:tab/>
      </w:r>
      <w:r>
        <w:rPr>
          <w:rFonts w:ascii="Arial" w:cs="Arial" w:eastAsia="Arial" w:hAnsi="Arial"/>
          <w:sz w:val="14"/>
          <w:szCs w:val="14"/>
          <w:b w:val="1"/>
          <w:bCs w:val="1"/>
          <w:color w:val="auto"/>
        </w:rPr>
        <w:t>Additional Paid-in</w:t>
      </w:r>
      <w:r>
        <w:rPr>
          <w:sz w:val="20"/>
          <w:szCs w:val="20"/>
          <w:color w:val="auto"/>
        </w:rPr>
        <w:tab/>
      </w:r>
      <w:r>
        <w:rPr>
          <w:rFonts w:ascii="Arial" w:cs="Arial" w:eastAsia="Arial" w:hAnsi="Arial"/>
          <w:sz w:val="14"/>
          <w:szCs w:val="14"/>
          <w:b w:val="1"/>
          <w:bCs w:val="1"/>
          <w:color w:val="auto"/>
        </w:rPr>
        <w:t>Accumulated Other</w:t>
      </w:r>
      <w:r>
        <w:rPr>
          <w:sz w:val="20"/>
          <w:szCs w:val="20"/>
          <w:color w:val="auto"/>
        </w:rPr>
        <w:tab/>
      </w:r>
      <w:r>
        <w:rPr>
          <w:rFonts w:ascii="Arial" w:cs="Arial" w:eastAsia="Arial" w:hAnsi="Arial"/>
          <w:sz w:val="12"/>
          <w:szCs w:val="12"/>
          <w:b w:val="1"/>
          <w:bCs w:val="1"/>
          <w:color w:val="auto"/>
        </w:rPr>
        <w:t>Total Shareholders'</w:t>
      </w:r>
    </w:p>
    <w:p>
      <w:pPr>
        <w:spacing w:after="0" w:line="4" w:lineRule="exact"/>
        <w:rPr>
          <w:sz w:val="20"/>
          <w:szCs w:val="20"/>
          <w:color w:val="auto"/>
        </w:rPr>
      </w:pPr>
    </w:p>
    <w:p>
      <w:pPr>
        <w:ind w:left="3660"/>
        <w:spacing w:after="0"/>
        <w:tabs>
          <w:tab w:leader="none" w:pos="4800" w:val="left"/>
          <w:tab w:leader="none" w:pos="6080" w:val="left"/>
          <w:tab w:leader="none" w:pos="7140" w:val="left"/>
          <w:tab w:leader="none" w:pos="8600" w:val="left"/>
          <w:tab w:leader="none" w:pos="1024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Capital</w:t>
      </w:r>
      <w:r>
        <w:rPr>
          <w:sz w:val="20"/>
          <w:szCs w:val="20"/>
          <w:color w:val="auto"/>
        </w:rPr>
        <w:tab/>
      </w:r>
      <w:r>
        <w:rPr>
          <w:rFonts w:ascii="Arial" w:cs="Arial" w:eastAsia="Arial" w:hAnsi="Arial"/>
          <w:sz w:val="14"/>
          <w:szCs w:val="14"/>
          <w:b w:val="1"/>
          <w:bCs w:val="1"/>
          <w:color w:val="auto"/>
        </w:rPr>
        <w:t>Accumulated Deficit</w:t>
        <w:tab/>
        <w:t>Comprehensive Loss</w:t>
      </w:r>
      <w:r>
        <w:rPr>
          <w:sz w:val="20"/>
          <w:szCs w:val="20"/>
          <w:color w:val="auto"/>
        </w:rPr>
        <w:tab/>
      </w:r>
      <w:r>
        <w:rPr>
          <w:rFonts w:ascii="Arial" w:cs="Arial" w:eastAsia="Arial" w:hAnsi="Arial"/>
          <w:sz w:val="13"/>
          <w:szCs w:val="13"/>
          <w:b w:val="1"/>
          <w:bCs w:val="1"/>
          <w:color w:val="auto"/>
        </w:rPr>
        <w:t>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300" w:type="dxa"/>
            <w:vAlign w:val="bottom"/>
          </w:tcPr>
          <w:p>
            <w:pPr>
              <w:spacing w:after="0"/>
              <w:rPr>
                <w:sz w:val="20"/>
                <w:szCs w:val="20"/>
                <w:color w:val="auto"/>
              </w:rPr>
            </w:pPr>
            <w:r>
              <w:rPr>
                <w:rFonts w:ascii="Arial" w:cs="Arial" w:eastAsia="Arial" w:hAnsi="Arial"/>
                <w:sz w:val="18"/>
                <w:szCs w:val="18"/>
                <w:color w:val="auto"/>
                <w:w w:val="96"/>
              </w:rPr>
              <w:t>BALANCE, DECEMBER 31, 2017, PRIOR</w:t>
            </w:r>
          </w:p>
        </w:tc>
        <w:tc>
          <w:tcPr>
            <w:tcW w:w="4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TO THE ADOPTION OF ASC 606 (1)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Effect of adopting ASC 606 (1)</w:t>
            </w:r>
          </w:p>
        </w:tc>
        <w:tc>
          <w:tcPr>
            <w:tcW w:w="44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
        </w:trPr>
        <w:tc>
          <w:tcPr>
            <w:tcW w:w="3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BALANCE, JANUARY 1, 2018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44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w w:val="90"/>
              </w:rPr>
              <w:t>Compensation related to share-based awards</w:t>
            </w:r>
          </w:p>
        </w:tc>
        <w:tc>
          <w:tcPr>
            <w:tcW w:w="44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Tax withholding for restricted shares</w:t>
            </w:r>
          </w:p>
        </w:tc>
        <w:tc>
          <w:tcPr>
            <w:tcW w:w="44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
        </w:trPr>
        <w:tc>
          <w:tcPr>
            <w:tcW w:w="3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BALANCE, MARCH 31, 2018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44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w w:val="90"/>
              </w:rPr>
              <w:t>Compensation related to share-based awards</w:t>
            </w:r>
          </w:p>
        </w:tc>
        <w:tc>
          <w:tcPr>
            <w:tcW w:w="44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Tax withholding for restricted shares</w:t>
            </w:r>
          </w:p>
        </w:tc>
        <w:tc>
          <w:tcPr>
            <w:tcW w:w="44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
        </w:trPr>
        <w:tc>
          <w:tcPr>
            <w:tcW w:w="3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BALANCE, JUNE 30, 2018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4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w w:val="90"/>
              </w:rPr>
              <w:t>Compensation related to share-based awards</w:t>
            </w:r>
          </w:p>
        </w:tc>
        <w:tc>
          <w:tcPr>
            <w:tcW w:w="44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Exercise of options</w:t>
            </w:r>
          </w:p>
        </w:tc>
        <w:tc>
          <w:tcPr>
            <w:tcW w:w="44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Tax withholding for restricted shares</w:t>
            </w:r>
          </w:p>
        </w:tc>
        <w:tc>
          <w:tcPr>
            <w:tcW w:w="44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
        </w:trPr>
        <w:tc>
          <w:tcPr>
            <w:tcW w:w="3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30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-3121025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-2778125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-2074545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8890</wp:posOffset>
            </wp:positionV>
            <wp:extent cx="1397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7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-1388745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-2434590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-3481070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8,791,170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(8,096,539)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(209,821)</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484,880</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3,076</w:t>
            </w:r>
          </w:p>
        </w:tc>
      </w:tr>
      <w:tr>
        <w:trPr>
          <w:trHeight w:val="27"/>
        </w:trPr>
        <w:tc>
          <w:tcPr>
            <w:tcW w:w="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8,791,170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(8,093,463)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(209,821)</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487,956</w:t>
            </w:r>
          </w:p>
        </w:tc>
      </w:tr>
      <w:tr>
        <w:trPr>
          <w:trHeight w:val="27"/>
        </w:trPr>
        <w:tc>
          <w:tcPr>
            <w:tcW w:w="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(505,489)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(505,489)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(5,797)</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17,890</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17,890</w:t>
            </w:r>
          </w:p>
        </w:tc>
      </w:tr>
      <w:tr>
        <w:trPr>
          <w:trHeight w:val="270"/>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(1,642)</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(1,642)</w:t>
            </w:r>
          </w:p>
        </w:tc>
      </w:tr>
      <w:tr>
        <w:trPr>
          <w:trHeight w:val="270"/>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8,807,406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(8,598,952)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(215,618)</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(7,093)</w:t>
            </w:r>
          </w:p>
        </w:tc>
      </w:tr>
      <w:tr>
        <w:trPr>
          <w:trHeight w:val="27"/>
        </w:trPr>
        <w:tc>
          <w:tcPr>
            <w:tcW w:w="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(60,867)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(60,867)</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(5,971)</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12,096</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12,096</w:t>
            </w:r>
          </w:p>
        </w:tc>
      </w:tr>
      <w:tr>
        <w:trPr>
          <w:trHeight w:val="270"/>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0"/>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8,819,262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(8,659,819)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(221,589)</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(62,077)</w:t>
            </w:r>
          </w:p>
        </w:tc>
      </w:tr>
      <w:tr>
        <w:trPr>
          <w:trHeight w:val="27"/>
        </w:trPr>
        <w:tc>
          <w:tcPr>
            <w:tcW w:w="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(173,205)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(173,205)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4,735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13,736</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13,736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0"/>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(3,206)</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8,830,351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(8,833,024)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(216,854)</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17145</wp:posOffset>
            </wp:positionV>
            <wp:extent cx="36703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7030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-162560</wp:posOffset>
            </wp:positionV>
            <wp:extent cx="866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-1200150</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-2245995</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-3292475</wp:posOffset>
            </wp:positionV>
            <wp:extent cx="866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5760" w:space="420"/>
            <w:col w:w="5240"/>
          </w:cols>
          <w:pgMar w:left="240" w:top="118" w:right="2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-98425</wp:posOffset>
            </wp:positionV>
            <wp:extent cx="5137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580" w:right="40" w:hanging="329"/>
        <w:spacing w:after="0" w:line="248" w:lineRule="auto"/>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Company adopted ASC 606 on January 1, 2018 using the modified retrospective method for all revenue-generating contracts, including modifications thereto, that were not completed contracts at the date of adoption. As a result of adopting ASC 606, the Company recorded a net decrease of $3.1 million to its accumulated deficit at January 1, 2018, representing the cumulative impact of adopting ASC 606.</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220" w:firstLine="486"/>
        <w:spacing w:after="0" w:line="312" w:lineRule="auto"/>
        <w:rPr>
          <w:sz w:val="20"/>
          <w:szCs w:val="20"/>
          <w:color w:val="auto"/>
        </w:rPr>
      </w:pPr>
      <w:r>
        <w:rPr>
          <w:rFonts w:ascii="Arial" w:cs="Arial" w:eastAsia="Arial" w:hAnsi="Arial"/>
          <w:sz w:val="16"/>
          <w:szCs w:val="16"/>
          <w:color w:val="auto"/>
        </w:rPr>
        <w:t>The Company recognized share-based compensation expense of $11.6 million and $13.7 million during the three months ended September 30, 2019 and 2018, respectively, and $48.9 million and $43.7 million during the nine months ended September 30, 2019 and 2018, respectively. As of September 30, 2019, the total remaining unrecognized compensation cost related to non-vested share-based compensation awards amounted to $61.6 million.</w:t>
      </w:r>
    </w:p>
    <w:p>
      <w:pPr>
        <w:spacing w:after="0" w:line="39"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As of September 30, 2019, the weighted average remaining requisite service period for non-vested stock options was 1.1 years and for non-vested restricted stock units was 1.8 years.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 EXPENSE (INCOME),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Other expense (income), net for the three and nine months ended September 30, 2019 and 2018 are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on sale of business and other assets (1)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loss (gain), net (2)</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4,336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our investments in the equity of other companies (3)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miscellaneous, net (4)</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17,366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16,627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(5,786)</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16,203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20,408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(33,216)</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80" w:hanging="329"/>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primarily relate to the sales of various ANDAs.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relate to the remeasurement of the Company’s foreign currency denominated assets and liabilities.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relate to the income statement impacts of our investments in the equity of other companies, including investments accounted for under the equity method.</w:t>
      </w:r>
    </w:p>
    <w:p>
      <w:pPr>
        <w:spacing w:after="0" w:line="1" w:lineRule="exact"/>
        <w:rPr>
          <w:rFonts w:ascii="Arial" w:cs="Arial" w:eastAsia="Arial" w:hAnsi="Arial"/>
          <w:sz w:val="14"/>
          <w:szCs w:val="14"/>
          <w:color w:val="auto"/>
        </w:rPr>
      </w:pPr>
    </w:p>
    <w:p>
      <w:pPr>
        <w:ind w:left="580" w:right="140" w:hanging="329"/>
        <w:spacing w:after="0" w:line="255" w:lineRule="auto"/>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during the three and nine months ended September 30, 2019 primarily relate to $17.5 million of contract termination costs incurred as a result of certain product discontinuation activities in our International Pharmaceuticals segment.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following table displays our Loss from continuing operations before income tax, Income tax expense and Effective tax rate for the three and nine months ended September 30, 2019 and 2018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(24,070)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(143,068)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(120,363)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(671,559)</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17,361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31,732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24,729</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Effective tax rate</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(3.7)%</w:t>
            </w:r>
          </w:p>
        </w:tc>
      </w:tr>
      <w:tr>
        <w:trPr>
          <w:trHeight w:val="27"/>
        </w:trPr>
        <w:tc>
          <w:tcPr>
            <w:tcW w:w="5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income tax expense for the three months ended September 30, 2019 primarily relates to accrued interest on uncertain tax positions as well as the geographic mix of pre-tax earnings. As of September 30, 2019, we had valuation allowances established against our deferred tax assets in most jurisdictions in which we operate, with the exception of Canada and India. The income tax expense for the comparable 2018 period primarily relates to the geographic mix of pre-tax earnings.</w:t>
      </w:r>
    </w:p>
    <w:p>
      <w:pPr>
        <w:spacing w:after="0" w:line="7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income tax expense for the nine months ended September 30, 2019 primarily relates to a taxable gain arising from the extinguishment of debt in the March 2019 Refinancing Transactions, the geographic mix of pre-tax earnings and accrued interest on uncertain tax positions. The income tax expense for the comparable 2018 period primarily relates to the geographic mix of pre-tax earnings and discrete tax expense incurred in connection with an intercompany asset restructuring.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NET LOSS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is a reconciliation of the numerator and denominator of basic and diluted net loss per share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(41,431)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(146,071)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(152,095)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(696,288)</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(43,273)</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(79,415)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(173,205)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(203,993)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(739,561)</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 basic per share data—weighted average shares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226,598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224,132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225,804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223,829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ordinary share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For diluted per share data—weighted average shares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226,598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224,132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225,804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223,829</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18" w:right="239" w:bottom="1440" w:gutter="0" w:footer="0" w:header="0"/>
          <w:type w:val="continuous"/>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Basic net loss per share amounts are computed based on the weighted average number of ordinary shares outstanding during the period. Diluted net loss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73" w:lineRule="exact"/>
        <w:rPr>
          <w:sz w:val="20"/>
          <w:szCs w:val="20"/>
          <w:color w:val="auto"/>
        </w:rPr>
      </w:pPr>
    </w:p>
    <w:p>
      <w:pPr>
        <w:ind w:right="200" w:firstLine="446"/>
        <w:spacing w:after="0" w:line="308" w:lineRule="auto"/>
        <w:rPr>
          <w:sz w:val="20"/>
          <w:szCs w:val="20"/>
          <w:color w:val="auto"/>
        </w:rPr>
      </w:pPr>
      <w:r>
        <w:rPr>
          <w:rFonts w:ascii="Arial" w:cs="Arial" w:eastAsia="Arial" w:hAnsi="Arial"/>
          <w:sz w:val="17"/>
          <w:szCs w:val="17"/>
          <w:color w:val="auto"/>
        </w:rPr>
        <w:t>The dilutive effect of ordinary share equivalents is measured using the treasury stock method. Stock options and awards that have been issued but for which a grant date has not yet been established are not considered in the calculation of basic or diluted weighted average shares.</w:t>
      </w:r>
    </w:p>
    <w:p>
      <w:pPr>
        <w:spacing w:after="0" w:line="38" w:lineRule="exact"/>
        <w:rPr>
          <w:sz w:val="20"/>
          <w:szCs w:val="20"/>
          <w:color w:val="auto"/>
        </w:rPr>
      </w:pPr>
    </w:p>
    <w:p>
      <w:pPr>
        <w:ind w:right="480" w:firstLine="446"/>
        <w:spacing w:after="0" w:line="277" w:lineRule="auto"/>
        <w:rPr>
          <w:sz w:val="20"/>
          <w:szCs w:val="20"/>
          <w:color w:val="auto"/>
        </w:rPr>
      </w:pPr>
      <w:r>
        <w:rPr>
          <w:rFonts w:ascii="Arial" w:cs="Arial" w:eastAsia="Arial" w:hAnsi="Arial"/>
          <w:sz w:val="18"/>
          <w:szCs w:val="18"/>
          <w:color w:val="auto"/>
        </w:rPr>
        <w:t>All potentially dilutive items were excluded from the diluted share calculation for the three and nine months ended September 30, 2019 and 2018 because their effect would have been anti-dilutive, as the Company was in a loss position.</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81"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financial information and transactions of Endo International plc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Our quarterly results have fluctuated in the past, and may continue to fluctuate. These fluctuations are primarily due to (1) the timing of new product launches, (2) purchasing patterns of our customers, (3) market acceptance of our products, (4) the impact of competitive products and products we recently acquired, (5) pricing of our products, (6) the timing of mergers, acquisitions, divestitures and other related activity and (7) other actions taken by the Company which may impact the availability of our products. These fluctuations are also attributable to charges incurred for compensation related to share-based payments, amortization of intangible assets, asset impairment charges, litigation-related charges, restructuring charges and certain upfront, milestone and other payments made or accrued pursuant to acquisition or licensing agreements. Additionally, the Company adopted ASC 842 on January 1, 2019 for leases that existed on that date. The Company has elected to apply the provisions of ASC 842 retrospectively at January 1, 2019 through a cumulative-effect adjustment. Prior period results continue to be presented under ASC 840 based on the accounting standards originally in effect for such periods. Refer to Note</w:t>
      </w:r>
    </w:p>
    <w:p>
      <w:pPr>
        <w:spacing w:after="0" w:line="1"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Summary of Significant Accounting Policies of the Condensed Consolidated Financial Statements included in Part I, Item 1 for additional information.</w:t>
      </w:r>
    </w:p>
    <w:p>
      <w:pPr>
        <w:spacing w:after="0" w:line="24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37</w:t>
      </w:r>
    </w:p>
    <w:p>
      <w:pPr>
        <w:sectPr>
          <w:pgSz w:w="11900" w:h="16838" w:orient="portrait"/>
          <w:cols w:equalWidth="0" w:num="1">
            <w:col w:w="11400"/>
          </w:cols>
          <w:pgMar w:left="240" w:top="118" w:right="2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Review</w:t>
      </w:r>
    </w:p>
    <w:p>
      <w:pPr>
        <w:spacing w:after="0" w:line="12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following table displays our revenue, gross margin, gross margin percentage and other pre-tax expense or income for the three and nine months ended September 30, 2019 and 2018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8"/>
              </w:rPr>
              <w:t>Nine Months Ended September 30,</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 vs. 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729,426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745,466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2,149,564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2,160,689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389,165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412,965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1,169,282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1,198,468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340,261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332,501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980,282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962,221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8"/>
                <w:szCs w:val="18"/>
                <w:i w:val="1"/>
                <w:iCs w:val="1"/>
                <w:color w:val="auto"/>
              </w:rPr>
              <w:t>Gross margin percentage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46.6%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44.6%</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45.6%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44.5%</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168,329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163,791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471,749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478,615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36,519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39,683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96,353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160,431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Litigation-related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contingencies, net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(14,414)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15,370</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Asset impairment charges</w:t>
            </w:r>
          </w:p>
        </w:tc>
        <w:tc>
          <w:tcPr>
            <w:tcW w:w="22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4,766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142,217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258,652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613,400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and integration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items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16,025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(26,983)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13,284</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136,903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131,847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404,387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385,896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(119,828)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16,203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20,408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(33,216)</w:t>
            </w:r>
          </w:p>
        </w:tc>
        <w:tc>
          <w:tcPr>
            <w:tcW w:w="120" w:type="dxa"/>
            <w:vAlign w:val="bottom"/>
          </w:tcPr>
          <w:p>
            <w:pPr>
              <w:spacing w:after="0"/>
              <w:rPr>
                <w:sz w:val="21"/>
                <w:szCs w:val="21"/>
                <w:color w:val="auto"/>
              </w:rPr>
            </w:pP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(24,070)</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(143,068)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(120,363)</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(671,559)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before income tax</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-98425</wp:posOffset>
            </wp:positionV>
            <wp:extent cx="4596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101" w:lineRule="exact"/>
        <w:rPr>
          <w:sz w:val="20"/>
          <w:szCs w:val="20"/>
          <w:color w:val="auto"/>
        </w:rPr>
      </w:pPr>
    </w:p>
    <w:p>
      <w:pPr>
        <w:ind w:right="100" w:firstLine="486"/>
        <w:spacing w:after="0" w:line="222" w:lineRule="auto"/>
        <w:rPr>
          <w:sz w:val="20"/>
          <w:szCs w:val="20"/>
          <w:color w:val="auto"/>
        </w:rPr>
      </w:pPr>
      <w:r>
        <w:rPr>
          <w:rFonts w:ascii="Arial" w:cs="Arial" w:eastAsia="Arial" w:hAnsi="Arial"/>
          <w:sz w:val="17"/>
          <w:szCs w:val="17"/>
          <w:b w:val="1"/>
          <w:bCs w:val="1"/>
          <w:i w:val="1"/>
          <w:iCs w:val="1"/>
          <w:color w:val="auto"/>
        </w:rPr>
        <w:t xml:space="preserve">Total revenues, net. </w:t>
      </w:r>
      <w:r>
        <w:rPr>
          <w:rFonts w:ascii="Arial" w:cs="Arial" w:eastAsia="Arial" w:hAnsi="Arial"/>
          <w:sz w:val="17"/>
          <w:szCs w:val="17"/>
          <w:color w:val="auto"/>
        </w:rPr>
        <w:t>Revenues from our Sterile Injectables segment, including VASOSTRICT</w:t>
      </w:r>
      <w:r>
        <w:rPr>
          <w:rFonts w:ascii="Arial" w:cs="Arial" w:eastAsia="Arial" w:hAnsi="Arial"/>
          <w:sz w:val="24"/>
          <w:szCs w:val="24"/>
          <w:color w:val="auto"/>
          <w:vertAlign w:val="superscript"/>
        </w:rPr>
        <w:t>®</w:t>
      </w:r>
      <w:r>
        <w:rPr>
          <w:rFonts w:ascii="Arial" w:cs="Arial" w:eastAsia="Arial" w:hAnsi="Arial"/>
          <w:sz w:val="17"/>
          <w:szCs w:val="17"/>
          <w:color w:val="auto"/>
        </w:rPr>
        <w:t>, ADRENALIN</w:t>
      </w:r>
      <w:r>
        <w:rPr>
          <w:rFonts w:ascii="Arial" w:cs="Arial" w:eastAsia="Arial" w:hAnsi="Arial"/>
          <w:sz w:val="24"/>
          <w:szCs w:val="24"/>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APLISOL</w:t>
      </w:r>
      <w:r>
        <w:rPr>
          <w:rFonts w:ascii="Arial" w:cs="Arial" w:eastAsia="Arial" w:hAnsi="Arial"/>
          <w:sz w:val="24"/>
          <w:szCs w:val="24"/>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Branded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Pharmaceuticals segment’s Specialty Products portfolio, led by XIAFLEX</w:t>
      </w:r>
      <w:r>
        <w:rPr>
          <w:rFonts w:ascii="Arial" w:cs="Arial" w:eastAsia="Arial" w:hAnsi="Arial"/>
          <w:sz w:val="24"/>
          <w:szCs w:val="24"/>
          <w:color w:val="auto"/>
          <w:vertAlign w:val="superscript"/>
        </w:rPr>
        <w:t>®</w:t>
      </w:r>
      <w:r>
        <w:rPr>
          <w:rFonts w:ascii="Arial" w:cs="Arial" w:eastAsia="Arial" w:hAnsi="Arial"/>
          <w:sz w:val="17"/>
          <w:szCs w:val="17"/>
          <w:color w:val="auto"/>
        </w:rPr>
        <w:t>, and recent product launches such as colchicine tablets, the authorized generic of Colcrys</w:t>
      </w:r>
      <w:r>
        <w:rPr>
          <w:rFonts w:ascii="Arial" w:cs="Arial" w:eastAsia="Arial" w:hAnsi="Arial"/>
          <w:sz w:val="24"/>
          <w:szCs w:val="24"/>
          <w:color w:val="auto"/>
          <w:vertAlign w:val="superscript"/>
        </w:rPr>
        <w:t>®</w:t>
      </w:r>
      <w:r>
        <w:rPr>
          <w:rFonts w:ascii="Arial" w:cs="Arial" w:eastAsia="Arial" w:hAnsi="Arial"/>
          <w:sz w:val="17"/>
          <w:szCs w:val="17"/>
          <w:color w:val="auto"/>
        </w:rPr>
        <w:t>, increased during both the three and nine months ended September 30, 2019. Revenues from our Branded Pharmaceuticals segment’s Established Products portfolio and our Generic Pharmaceuticals segment decreased during both the three and nine months ended September 30, 2019. Additionally, revenues from our International Pharmaceuticals segment decreased during the nine months ended September 30, 2019. Our revenues are further disaggregated and described below under the heading “Business Segment Results Review.”</w:t>
      </w:r>
    </w:p>
    <w:p>
      <w:pPr>
        <w:spacing w:after="0" w:line="96" w:lineRule="exact"/>
        <w:rPr>
          <w:sz w:val="20"/>
          <w:szCs w:val="20"/>
          <w:color w:val="auto"/>
        </w:rPr>
      </w:pPr>
    </w:p>
    <w:p>
      <w:pPr>
        <w:jc w:val="both"/>
        <w:ind w:right="240" w:firstLine="486"/>
        <w:spacing w:after="0" w:line="286" w:lineRule="auto"/>
        <w:rPr>
          <w:sz w:val="20"/>
          <w:szCs w:val="20"/>
          <w:color w:val="auto"/>
        </w:rPr>
      </w:pPr>
      <w:r>
        <w:rPr>
          <w:rFonts w:ascii="Arial" w:cs="Arial" w:eastAsia="Arial" w:hAnsi="Arial"/>
          <w:sz w:val="17"/>
          <w:szCs w:val="17"/>
          <w:b w:val="1"/>
          <w:bCs w:val="1"/>
          <w:i w:val="1"/>
          <w:iCs w:val="1"/>
          <w:color w:val="auto"/>
        </w:rPr>
        <w:t xml:space="preserve">Cost of revenues and gross margin percentage. </w:t>
      </w:r>
      <w:r>
        <w:rPr>
          <w:rFonts w:ascii="Arial" w:cs="Arial" w:eastAsia="Arial" w:hAnsi="Arial"/>
          <w:sz w:val="17"/>
          <w:szCs w:val="17"/>
          <w:color w:val="auto"/>
        </w:rPr>
        <w:t>During the three and nine months ended September 30, 2019 and 2018, we incurred certain charges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impact the comparability of total Cost of revenues, including those related to amortization expense and retention and separation benefits and other cost reduction initiatives, including restructurings. The following table summarizes such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131,932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161,275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417,949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471,662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w w:val="96"/>
              </w:rPr>
              <w:t>Retention and separation benefits and other cost reduction initiatives (2)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60,254</w:t>
            </w:r>
          </w:p>
        </w:tc>
      </w:tr>
      <w:tr>
        <w:trPr>
          <w:trHeight w:val="182"/>
        </w:trPr>
        <w:tc>
          <w:tcPr>
            <w:tcW w:w="5620" w:type="dxa"/>
            <w:vAlign w:val="bottom"/>
          </w:tcPr>
          <w:p>
            <w:pPr>
              <w:jc w:val="right"/>
              <w:ind w:right="4816"/>
              <w:spacing w:after="0"/>
              <w:rPr>
                <w:sz w:val="20"/>
                <w:szCs w:val="20"/>
                <w:color w:val="auto"/>
              </w:rPr>
            </w:pPr>
            <w:r>
              <w:rPr>
                <w:rFonts w:ascii="Arial" w:cs="Arial" w:eastAsia="Arial" w:hAnsi="Arial"/>
                <w:sz w:val="14"/>
                <w:szCs w:val="14"/>
                <w:color w:val="auto"/>
                <w:w w:val="89"/>
              </w:rPr>
              <w:t>__________</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ind w:left="580" w:hanging="329"/>
        <w:spacing w:after="0" w:line="241" w:lineRule="auto"/>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decreases during both the three and nine months ended September 30, 2019 were primarily driven by asset impairment charges and decreases in the rate of amortization expense for certain assets, partially offset by the impact of certain in-process research and development assets put into service.</w:t>
      </w:r>
    </w:p>
    <w:p>
      <w:pPr>
        <w:spacing w:after="0" w:line="1" w:lineRule="exact"/>
        <w:rPr>
          <w:rFonts w:ascii="Arial" w:cs="Arial" w:eastAsia="Arial" w:hAnsi="Arial"/>
          <w:sz w:val="14"/>
          <w:szCs w:val="14"/>
          <w:color w:val="auto"/>
        </w:rPr>
      </w:pPr>
    </w:p>
    <w:p>
      <w:pPr>
        <w:ind w:left="580" w:right="200" w:hanging="329"/>
        <w:spacing w:after="0" w:line="248" w:lineRule="auto"/>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in 2018 primarily relate to certain accelerated depreciation charges, employee separation costs, charges to increase excess inventory reserves related to restructurings and other cost reduction and restructuring charges. See Note 4. Restructuring of the Condensed Consolidated Financial Statements included in Part I, Item 1 for discussion of our material restructuring initiatives.</w:t>
      </w:r>
    </w:p>
    <w:p>
      <w:pPr>
        <w:spacing w:after="0" w:line="8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Reductions to amortization expense and expenses related to retention and separation benefits and other cost reduction initiatives during both the three and nine months ended September 30, 2019 resulted in decreases to Cost of revenues and increases in gross margin percentage. The overall decreases in revenues described above also contributed to the decreases in Cost of revenues. Partially offsetting these items were changes in product mix. These changes in mix included both the favorable impacts of overall shifts from lower margin Generic Pharmaceuticals and Established Products to higher margin Sterile Injectables and Specialty Products and the unfavorable impacts of increases in sales of certain lower margin authorized generic products launched in the third quarter of 2018.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80" w:firstLine="486"/>
        <w:spacing w:after="0" w:line="250"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The increase for the three months ended September 30, 2019 was primarily due to increases in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our continued investment and promotional efforts behind XIAFLEX</w:t>
      </w:r>
      <w:r>
        <w:rPr>
          <w:rFonts w:ascii="Arial" w:cs="Arial" w:eastAsia="Arial" w:hAnsi="Arial"/>
          <w:sz w:val="24"/>
          <w:szCs w:val="24"/>
          <w:color w:val="auto"/>
          <w:vertAlign w:val="superscript"/>
        </w:rPr>
        <w:t>®</w:t>
      </w:r>
      <w:r>
        <w:rPr>
          <w:rFonts w:ascii="Arial" w:cs="Arial" w:eastAsia="Arial" w:hAnsi="Arial"/>
          <w:sz w:val="17"/>
          <w:szCs w:val="17"/>
          <w:color w:val="auto"/>
        </w:rPr>
        <w:t>, a third-quarter 2019 premium associated with an extended reporting period endorsement on an expiring insurance program and costs related to retention bonuses awarded to certain senior management of the Company in 2019. Partially offsetting these amounts were the impacts of decreased expenses for separation benefits and other cost reduction initiatives and decreases in long-term incentive compensation costs related primarily to the timing of certain 2018 awards.</w:t>
      </w:r>
    </w:p>
    <w:p>
      <w:pPr>
        <w:spacing w:after="0" w:line="87" w:lineRule="exact"/>
        <w:rPr>
          <w:sz w:val="20"/>
          <w:szCs w:val="20"/>
          <w:color w:val="auto"/>
        </w:rPr>
      </w:pPr>
    </w:p>
    <w:p>
      <w:pPr>
        <w:ind w:right="40" w:firstLine="486"/>
        <w:spacing w:after="0" w:line="254" w:lineRule="auto"/>
        <w:rPr>
          <w:sz w:val="20"/>
          <w:szCs w:val="20"/>
          <w:color w:val="auto"/>
        </w:rPr>
      </w:pPr>
      <w:r>
        <w:rPr>
          <w:rFonts w:ascii="Arial" w:cs="Arial" w:eastAsia="Arial" w:hAnsi="Arial"/>
          <w:sz w:val="17"/>
          <w:szCs w:val="17"/>
          <w:color w:val="auto"/>
        </w:rPr>
        <w:t>The decrease for the nine months ended September 30, 2019 was primarily driven by decreases in long-term incentive compensation costs related primarily to the timing of certain 2018 awards, the impact of certain separations, restructurings and other cost reduction initiatives and a lower branded prescription drug fee. These decreases were partially offset by increases in costs related to our continued investment and promotional efforts behind XIAFLEX</w:t>
      </w:r>
      <w:r>
        <w:rPr>
          <w:rFonts w:ascii="Arial" w:cs="Arial" w:eastAsia="Arial" w:hAnsi="Arial"/>
          <w:sz w:val="24"/>
          <w:szCs w:val="24"/>
          <w:color w:val="auto"/>
          <w:vertAlign w:val="superscript"/>
        </w:rPr>
        <w:t>®</w:t>
      </w:r>
      <w:r>
        <w:rPr>
          <w:rFonts w:ascii="Arial" w:cs="Arial" w:eastAsia="Arial" w:hAnsi="Arial"/>
          <w:sz w:val="17"/>
          <w:szCs w:val="17"/>
          <w:color w:val="auto"/>
        </w:rPr>
        <w:t>, a third-quarter 2019 premium associated with an extended reporting period endorsement on an expiring insurance program, increased legal costs related to certain litigation matters and costs related to retention bonuses awarded to certain senior management of the Company in 2019. Our material restructuring initiatives and legal proceedings and other contingent matters are described more fully in Note 4. Restructuring and Note 13. Commitments and Contingencies, respectively, of the Condensed Consolidated Financial Statements included in Part I, Item 1.</w:t>
      </w:r>
    </w:p>
    <w:p>
      <w:pPr>
        <w:spacing w:after="0" w:line="8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We are currently progressing the cellulite treatment development program for collagenase clostridium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histolyticum (CCH). In September 2019, we submitted a Biologics License Application (BLA) to the FDA for CCH for the treatment of cellulite in the buttocks. The submission is based on positive results from two identical Phase 3 clinical trials. Trial subjects receiving CCH showed highly statistically significant levels of improvement in the appearance of cellulite with treatment, as measured by the trials’ primary endpoint. In addition, the RELEASE-1 trial passed 8 out of 8 key secondary endpoints and the RELEASE-2 trial passed 7 out of 8 key secondary endpoints. Finally, CCH was well-tolerated in the actively-treated subjects with most adverse events being mild to moderate in severity and primarily limited to the local injection area. </w:t>
      </w:r>
      <w:r>
        <w:rPr>
          <w:rFonts w:ascii="Arial" w:cs="Arial" w:eastAsia="Arial" w:hAnsi="Arial"/>
          <w:sz w:val="17"/>
          <w:szCs w:val="17"/>
          <w:color w:val="0A0A0A"/>
        </w:rPr>
        <w:t>The FDA has a 60-day</w:t>
      </w:r>
      <w:r>
        <w:rPr>
          <w:rFonts w:ascii="Arial" w:cs="Arial" w:eastAsia="Arial" w:hAnsi="Arial"/>
          <w:sz w:val="17"/>
          <w:szCs w:val="17"/>
          <w:color w:val="auto"/>
        </w:rPr>
        <w:t xml:space="preserve"> </w:t>
      </w:r>
      <w:r>
        <w:rPr>
          <w:rFonts w:ascii="Arial" w:cs="Arial" w:eastAsia="Arial" w:hAnsi="Arial"/>
          <w:sz w:val="17"/>
          <w:szCs w:val="17"/>
          <w:color w:val="0A0A0A"/>
        </w:rPr>
        <w:t>filing review period to determine whether the BLA is complete and acceptable for filing.</w:t>
      </w:r>
    </w:p>
    <w:p>
      <w:pPr>
        <w:spacing w:after="0" w:line="70"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Our remaining pipeline consists mainly of a variety of pharmaceutical products in our Sterile Injectables and Generic Pharmaceuticals segments. Our primary approach to developing products in these segments is to target high-barrier-to-entry product opportunities, including first-to-file or first-to-market opportunities that are difficult to formulate or manufacture or face complex legal and regulatory challenges. We expect such product opportunities to result in products that are either the exclusive generic or have two or fewer generic competitors when launched, which we believe tends to lead to more sustainable market share and profitability for our product portfolio. In our Sterile Injectables business, we also focus on developing branded injectable products with inherent scientific, regulatory, legal and technical complexities and developing other dosage forms and technologies.</w:t>
      </w:r>
    </w:p>
    <w:p>
      <w:pPr>
        <w:spacing w:after="0" w:line="57"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As of September 30, 2019, these two segments are actively pursuing approximately 120 product candidates, which included approximately 65 ANDAs pending with the FDA. Of the 65 ANDAs, approximately half represent first-to-file opportunities or first-to-market opportunities. These numbers do not include five sterile injectable product candidates relating to a second-quarter 2018 development, license and commercialization agreement with Nevakar, Inc. These numbers reflect recent actions taken in connection with our review and management of our pipeline.</w:t>
      </w:r>
    </w:p>
    <w:p>
      <w:pPr>
        <w:spacing w:after="0" w:line="6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decreases for both the three and nine months ended September 30, 2019 were driven in part by reduced costs associated with our clinical trials of CCH and the January 2018 Restructuring Initiative and other cost reduction initiatives. Additionally, R&amp;D expense for the nine months ended September 30, 2018 included the impact of an upfront payment of $35.0 million related to the Nevakar, Inc. agreement described above, which was recorded as Research and development expense during the three months ended June 30, 2018. Partially offsetting these decreases for both periods was the impact of costs associated with certain post-marketing commitments.</w:t>
      </w:r>
    </w:p>
    <w:p>
      <w:pPr>
        <w:spacing w:after="0" w:line="80"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b w:val="1"/>
          <w:bCs w:val="1"/>
          <w:i w:val="1"/>
          <w:iCs w:val="1"/>
          <w:color w:val="auto"/>
        </w:rPr>
        <w:t xml:space="preserve">Litigation-related and other contingencies, net. </w:t>
      </w:r>
      <w:r>
        <w:rPr>
          <w:rFonts w:ascii="Arial" w:cs="Arial" w:eastAsia="Arial" w:hAnsi="Arial"/>
          <w:sz w:val="17"/>
          <w:szCs w:val="17"/>
          <w:color w:val="auto"/>
        </w:rPr>
        <w:t>Included within Litigation-related and other contingencies, net are changes to our accruals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litigation-related settlement charges and certain settlement proceeds related to suits filed by our subsidiaries. Our material legal proceedings and other contingent matters are described in more detail in Note 13. Commitments and Contingencies of the Condensed Consolidated Financial Statements included in Part I, Item 1. As further described therein, adjustments to the corresponding liability accruals may be required in the future. This could have a material adverse effect on our business, financial condition, results of operations and cash flows.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Asset impairment charges. </w:t>
      </w:r>
      <w:r>
        <w:rPr>
          <w:rFonts w:ascii="Arial" w:cs="Arial" w:eastAsia="Arial" w:hAnsi="Arial"/>
          <w:sz w:val="16"/>
          <w:szCs w:val="16"/>
          <w:color w:val="auto"/>
        </w:rPr>
        <w:t>The following table presents the components of our total Asset impairment charges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b w:val="1"/>
                <w:bCs w:val="1"/>
                <w:color w:val="auto"/>
                <w:w w:val="96"/>
              </w:rPr>
              <w:t>2019</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391,000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intangible asset impairment charges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4,261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140,609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104,660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217,576</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impairment charges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4,824</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asset impairment charges</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4,766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142,217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258,652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613,400</w:t>
            </w: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jc w:val="both"/>
        <w:ind w:right="120" w:firstLine="486"/>
        <w:spacing w:after="0" w:line="312" w:lineRule="auto"/>
        <w:rPr>
          <w:sz w:val="20"/>
          <w:szCs w:val="20"/>
          <w:color w:val="auto"/>
        </w:rPr>
      </w:pPr>
      <w:r>
        <w:rPr>
          <w:rFonts w:ascii="Arial" w:cs="Arial" w:eastAsia="Arial" w:hAnsi="Arial"/>
          <w:sz w:val="16"/>
          <w:szCs w:val="16"/>
          <w:color w:val="auto"/>
        </w:rPr>
        <w:t>The factors leading to our material goodwill and intangible asset impairment tests, as well as the results of these tests, are further described in Note 9. Goodwill and Other Intangibles of the Condensed Consolidated Financial Statements included in Part I, Item 1. A discussion of critical accounting estimates made in connection with certain of our impairment tests is included below under the caption “CRITICAL ACCOUNTING ESTIMATES.”</w:t>
      </w:r>
    </w:p>
    <w:p>
      <w:pPr>
        <w:spacing w:after="0" w:line="39"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b w:val="1"/>
          <w:bCs w:val="1"/>
          <w:i w:val="1"/>
          <w:iCs w:val="1"/>
          <w:color w:val="auto"/>
        </w:rPr>
        <w:t xml:space="preserve">Acquisition-related and integration items. </w:t>
      </w:r>
      <w:r>
        <w:rPr>
          <w:rFonts w:ascii="Arial" w:cs="Arial" w:eastAsia="Arial" w:hAnsi="Arial"/>
          <w:sz w:val="17"/>
          <w:szCs w:val="17"/>
          <w:color w:val="auto"/>
        </w:rPr>
        <w:t>Acquisition-related and integration items for the three and nine months ended September 30, 2019 and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consist of the net expense (benefit) from changes in 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6. Fair Value Measurements of the Condensed Consolidated Financial Statements included in Part I, Item 1 for further discussion of our acquisition-related contingent consideration.</w:t>
      </w:r>
    </w:p>
    <w:p>
      <w:pPr>
        <w:spacing w:after="0" w:line="64"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The components of Interest expense, net for the three and nine months ended September 30, 2019 and 2018 are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143,013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419,962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395,681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(9,785)</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136,903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131,847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404,387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385,896</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increases in interest expense for both the three and nine months ended September 30, 2019 were primarily attributable to changes to the London Interbank Offered Rate (LIBOR) that impacted our variable-rate debt, increases to the weighted average interest rate applicable to our senior notes and senior secured notes following the March 2019 Refinancing Transactions and interest expense associated with our June 2019 Revolving Credit Facility draw of $300.0 million. These increases were partially offset by the reductions to the amount of our indebtedness associated with the March 2019 Refinancing Transactions. Refer to Note 12. Debt of the Condensed Consolidated Financial Statements included in Part I, Item 1 for further discussion of these transactions.</w:t>
      </w:r>
    </w:p>
    <w:p>
      <w:pPr>
        <w:spacing w:after="0" w:line="8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Although we cannot predict future interest rates with certainty, absent actions to reduce the weighted average interest rate or the principal amount of our debt, interest expense is likely to continue to increase in 2019 as compared to 2018, primarily as a result of increases in LIBOR, the impact of the March 2019 Refinancing Transactions, which increased our weighted average interest rate and reduced the outstanding principal of our debt, and the June 2019 Revolving Credit Facility draw of $300.0 million.</w:t>
      </w:r>
    </w:p>
    <w:p>
      <w:pPr>
        <w:spacing w:after="0" w:line="79"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Interest income varies primarily based on the amounts of our interest-bearing investments, such as money market funds, as well as changes in the corresponding interest rates.</w:t>
      </w:r>
    </w:p>
    <w:p>
      <w:pPr>
        <w:spacing w:after="0" w:line="62"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b w:val="1"/>
          <w:bCs w:val="1"/>
          <w:i w:val="1"/>
          <w:iCs w:val="1"/>
          <w:color w:val="auto"/>
        </w:rPr>
        <w:t xml:space="preserve">Gain on extinguishment of debt. </w:t>
      </w:r>
      <w:r>
        <w:rPr>
          <w:rFonts w:ascii="Arial" w:cs="Arial" w:eastAsia="Arial" w:hAnsi="Arial"/>
          <w:sz w:val="16"/>
          <w:szCs w:val="16"/>
          <w:color w:val="auto"/>
        </w:rPr>
        <w:t>Gain on extinguishment of debt totaled $119.8 million for the nine months ended September 30, 2019, with no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recorded in any of the other periods presented. The amount during the nine months ended September 30, 2019 related to the March 2019 Refinancing Transactions. Refer to Note 12. Debt of the Condensed Consolidated Financial Statements included in Part I, Item 1 for further discussion.</w:t>
      </w:r>
    </w:p>
    <w:p>
      <w:pPr>
        <w:spacing w:after="0" w:line="3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The components of Other expense (income), net for the three and nine months ended September 30, 2019 and 2018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on sale of business and other assets (1)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loss (gain), net (2)</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4,336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our investments in the equity of other companies (3)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miscellaneous, net (4)</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17,366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16,627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16,203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20,408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(33,216)</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primarily relate to the sales of various ANDAs.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relate to the remeasurement of the Company’s foreign currency denominated assets and liabilities.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relate to the income statement impacts of our investments in the equity of other companies, including investments accounted for under the equity method.</w:t>
      </w:r>
    </w:p>
    <w:p>
      <w:pPr>
        <w:spacing w:after="0" w:line="1" w:lineRule="exact"/>
        <w:rPr>
          <w:rFonts w:ascii="Arial" w:cs="Arial" w:eastAsia="Arial" w:hAnsi="Arial"/>
          <w:sz w:val="14"/>
          <w:szCs w:val="14"/>
          <w:color w:val="auto"/>
        </w:rPr>
      </w:pPr>
    </w:p>
    <w:p>
      <w:pPr>
        <w:ind w:left="580" w:right="140" w:hanging="329"/>
        <w:spacing w:after="0" w:line="255" w:lineRule="auto"/>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during the three and nine months ended September 30, 2019 primarily relate to $17.5 million of contract termination costs incurred as a result of certain product discontinuation activities in our International Pharmaceuticals segment.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The following table displays our Loss from continuing operations before income tax, Income tax expense and Effective tax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and nine months ended September 30, 2019 and 2018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(24,070)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(143,068)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(120,363)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(671,559)</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17,361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31,732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24,729</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Effective tax rate</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(3.7)%</w:t>
            </w:r>
          </w:p>
        </w:tc>
      </w:tr>
      <w:tr>
        <w:trPr>
          <w:trHeight w:val="27"/>
        </w:trPr>
        <w:tc>
          <w:tcPr>
            <w:tcW w:w="5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73"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color w:val="auto"/>
        </w:rPr>
        <w:t>The income tax expense for the three months ended September 30, 2019 primarily relates to accrued interest on uncertain tax positions as well as the geographic mix of pre-tax earnings. The income tax expense for the comparable 2018 period primarily relates to the geographic mix of pre-tax earnings.</w:t>
      </w:r>
    </w:p>
    <w:p>
      <w:pPr>
        <w:spacing w:after="0" w:line="1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income tax expense for the nine months ended September 30, 2019 primarily relates to a taxable gain arising from the extinguishment of debt in the March 2019 Refinancing Transactions, the geographic mix of pre-tax earnings and accrued interest on uncertain tax positions. The income tax expense for the comparable 2018 period primarily relates to the geographic mix of pre-tax earnings and discrete tax expense incurred in connection with an intercompany asset restructuring.</w:t>
      </w:r>
    </w:p>
    <w:p>
      <w:pPr>
        <w:spacing w:after="0" w:line="7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have valuation allowances established against our deferred tax assets in most jurisdictions in which we operate, with the exception of Canada and India. Accordingly, it would be unlikely for future pre-tax losses to create a tax benefit that would be more likely than not to be realized. Although the Company has valuation allowances established against deferred tax assets in most major jurisdictions as of September 30, 2019, it is possible that there could be material reversals, particularly if certain proposed law changes were to be enacted.</w:t>
      </w:r>
    </w:p>
    <w:p>
      <w:pPr>
        <w:spacing w:after="0" w:line="79"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The Internal Revenue Service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worthless stock deduction directly attributable to product liability losses. The IRS may examine our tax returns for other fiscal years and/or for other tax positions. Similarly, other tax authorities including the Canadian Revenue Authority are currently examining our non-U.S. tax returns. Additionally, other jurisdictions where we are not currently under audit remain subject to potential future examination. Such examinations may lead to proposed or actual adjustments to our taxes that may be material, individually or in the aggregate. An adverse outcome of these tax examinations could have a material adverse effect on our business, financial condition, results of operations and cash flows.</w:t>
      </w:r>
    </w:p>
    <w:p>
      <w:pPr>
        <w:spacing w:after="0" w:line="7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For additional information on our income taxes, see Note 17. Income Taxes of the Condensed Consolidated Financial Statements included in Part I, Item 1.</w:t>
      </w:r>
    </w:p>
    <w:p>
      <w:pPr>
        <w:spacing w:after="0" w:line="62"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Discontinued operations, net of tax. </w:t>
      </w:r>
      <w:r>
        <w:rPr>
          <w:rFonts w:ascii="Arial" w:cs="Arial" w:eastAsia="Arial" w:hAnsi="Arial"/>
          <w:sz w:val="18"/>
          <w:szCs w:val="18"/>
          <w:color w:val="auto"/>
        </w:rPr>
        <w:t>The operating results of the Company’s Astora business, which the Board of Directors resolved to wind-down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are reported as Discontinued operations, net of tax in the Condensed Consolidated Statements of Operations for all periods presented. The following table provides the operating results of Astora Discontinued operations, net of tax, for the three and nine months ended September 30, 2019 and 2018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Discontinued operations, net of tax</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(43,273)</w:t>
            </w:r>
          </w:p>
        </w:tc>
      </w:tr>
      <w:tr>
        <w:trPr>
          <w:trHeight w:val="27"/>
        </w:trPr>
        <w:tc>
          <w:tcPr>
            <w:tcW w:w="5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These amounts consist of Litigation-related and other contingencies, net, including third-quarter 2019 and third-quarter 2018 mesh-related charges of $30.0 million and $19.0 million, respectively, mesh-related legal defense costs and certain other items. For additional discussion of mesh-related matters, refer to Note 13. Commitments and Contingencies of the Condensed Consolidated Financial Statements included in Part I, Item 1.</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Key Trends. </w:t>
      </w:r>
      <w:r>
        <w:rPr>
          <w:rFonts w:ascii="Arial" w:cs="Arial" w:eastAsia="Arial" w:hAnsi="Arial"/>
          <w:sz w:val="18"/>
          <w:szCs w:val="18"/>
          <w:color w:val="auto"/>
        </w:rPr>
        <w:t>We estimate that the following factors will impact our 2019 total revenues as compared to 2018:</w:t>
      </w:r>
    </w:p>
    <w:p>
      <w:pPr>
        <w:spacing w:after="0" w:line="23" w:lineRule="exact"/>
        <w:rPr>
          <w:sz w:val="20"/>
          <w:szCs w:val="20"/>
          <w:color w:val="auto"/>
        </w:rPr>
      </w:pPr>
    </w:p>
    <w:p>
      <w:pPr>
        <w:ind w:left="900" w:right="100" w:hanging="244"/>
        <w:spacing w:after="0" w:line="21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in the Specialty Products portfolio of our Branded Pharmaceuticals segment, primarily driven by increased revenues following continued investments in XIAFLEX</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900" w:right="220" w:hanging="244"/>
        <w:spacing w:after="0" w:line="20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in the Sterile Injectables segment, driven by continued performance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the full-year impact of ertapenem for injection, which launched during the third quarter of 2018; and</w:t>
      </w:r>
    </w:p>
    <w:p>
      <w:pPr>
        <w:spacing w:after="0" w:line="1" w:lineRule="exact"/>
        <w:rPr>
          <w:rFonts w:ascii="Arial" w:cs="Arial" w:eastAsia="Arial" w:hAnsi="Arial"/>
          <w:sz w:val="18"/>
          <w:szCs w:val="18"/>
          <w:color w:val="auto"/>
        </w:rPr>
      </w:pPr>
    </w:p>
    <w:p>
      <w:pPr>
        <w:ind w:left="900" w:right="900" w:hanging="244"/>
        <w:spacing w:after="0" w:line="323"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declines in the Generic Pharmaceuticals segment, the Established Products portfolio of the Branded Pharmaceuticals segment and the International Pharmaceuticals segment, primarily driven by continued competitive pressures impacting these product portfolios.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These estimated trends reflect the current expectations of the Company’s management team based on information currently known to them. These estimates are subject to risks and uncertainties that could cause our actual results to differ materially from those indicated by such estimated trends.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Review</w:t>
      </w:r>
    </w:p>
    <w:p>
      <w:pPr>
        <w:spacing w:after="0" w:line="12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During the first quarter of 2019, the Company changed the names of its reportable segments. This change, which was intended to simplify the segments’ names, had no impact on the Company’s unaudited Condensed Consolidated Financial Statements or segment results for any of the periods presented. For further details regarding this change and a discussion of our reportable segments and how we evaluate segment performance, refer to Note 5. Segment Results of the Condensed Consolidated Financial Statements included in Part I, Item 1.</w:t>
      </w:r>
    </w:p>
    <w:p>
      <w:pPr>
        <w:spacing w:after="0" w:line="63"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We refer to adjusted income from continuing operations before income tax, a financial measure not determined in accordance with U.S. GAAP,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Further, we believe that adjusted income from continuing operations before income tax may be useful to investors as we are aware that certain of our significant shareholders utilize adjusted income from continuing operations before income tax to evaluate our financial performance. Finally, adjusted income from continuing operations before income tax is utilized in the calculation of other financial measures not determined in accordance with U.S. GAAP that are used by the Compensation Committee of the Company’s Board of Directors in assessing the performance and compensation of substantially all of our employees, including our executive officers.</w:t>
      </w:r>
    </w:p>
    <w:p>
      <w:pPr>
        <w:spacing w:after="0" w:line="74"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There are limitations to using financial measures such as adjusted income from continuing operations before income tax. Other companies in our industry may define adjusted income from continuing operations before income tax differently than we do. As a result, it may be difficult to use adjusted income from continuing operations before income tax or similarly named adjusted financial measures that other companies may use to compare the performance of those companies to our performance. Because of these limitations, adjusted income from continuing operations before income tax is not intended to represent cash flow from operations as defined by U.S. GAAP and should not be used as an indicator of operating performance, a measure of liquidity or as alternative to net income, cash flows or any other financial measure determined in accordance with U.S. GAAP. We compensate for these limitations by providing reconciliations of our total segment adjusted income from continuing operations before income tax to our Total consolidated loss from continuing operations before income tax, which is determined in accordance with U.S. GAAP and included in our Condensed Consolidated Statements of Operations.</w:t>
      </w:r>
    </w:p>
    <w:p>
      <w:pPr>
        <w:spacing w:after="0" w:line="8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 xml:space="preserve">Revenues, Net. </w:t>
      </w:r>
      <w:r>
        <w:rPr>
          <w:rFonts w:ascii="Arial" w:cs="Arial" w:eastAsia="Arial" w:hAnsi="Arial"/>
          <w:sz w:val="18"/>
          <w:szCs w:val="18"/>
          <w:color w:val="auto"/>
        </w:rPr>
        <w:t>The following table displays our revenue by reportable segment for the three and nine months ended September 30, 2019 and 2018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6"/>
              </w:rPr>
              <w:t>Three Months Ended September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 vs. 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Branded Pharmaceuticals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217,313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220,100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629,851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632,972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Sterile Injectables</w:t>
            </w:r>
          </w:p>
        </w:tc>
        <w:tc>
          <w:tcPr>
            <w:tcW w:w="2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263,635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237,150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777,963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670,847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Generic Pharmaceuticals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218,012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257,969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654,322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748,445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International Pharmaceuticals (1)</w:t>
            </w:r>
          </w:p>
        </w:tc>
        <w:tc>
          <w:tcPr>
            <w:tcW w:w="2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30,466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30,247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87,428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108,425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revenues from external</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729,426</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745,466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2,149,564</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2,160,689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-98425</wp:posOffset>
            </wp:positionV>
            <wp:extent cx="17837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-98425</wp:posOffset>
            </wp:positionV>
            <wp:extent cx="17754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ind w:left="580" w:hanging="329"/>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i w:val="1"/>
          <w:iCs w:val="1"/>
          <w:color w:val="auto"/>
        </w:rPr>
        <w:t>Branded Pharmaceuticals</w:t>
      </w:r>
      <w:r>
        <w:rPr>
          <w:rFonts w:ascii="Arial" w:cs="Arial" w:eastAsia="Arial" w:hAnsi="Arial"/>
          <w:sz w:val="18"/>
          <w:szCs w:val="18"/>
          <w:color w:val="auto"/>
        </w:rPr>
        <w:t>. The following table displays the significant components of our Branded Pharmaceuticals revenues from external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and nine months ended September 30,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2019 vs. 2018</w:t>
            </w:r>
          </w:p>
        </w:tc>
        <w:tc>
          <w:tcPr>
            <w:tcW w:w="240" w:type="dxa"/>
            <w:vAlign w:val="bottom"/>
          </w:tcPr>
          <w:p>
            <w:pPr>
              <w:spacing w:after="0"/>
              <w:rPr>
                <w:sz w:val="22"/>
                <w:szCs w:val="22"/>
                <w:color w:val="auto"/>
              </w:rPr>
            </w:pPr>
          </w:p>
        </w:tc>
        <w:tc>
          <w:tcPr>
            <w:tcW w:w="11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260" w:type="dxa"/>
            <w:vAlign w:val="bottom"/>
          </w:tcPr>
          <w:p>
            <w:pPr>
              <w:jc w:val="right"/>
              <w:ind w:right="142"/>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50"/>
        </w:trPr>
        <w:tc>
          <w:tcPr>
            <w:tcW w:w="3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Specialty Products: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XIAFLEX®</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82,756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64,214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226,118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184,855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SUPPRELIN® LA</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20,408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66,542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60,948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 Specialty (1)</w:t>
            </w: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28,470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27,614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78,397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69,226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Specialty Products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131,998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112,236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371,057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315,029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i w:val="1"/>
                <w:iCs w:val="1"/>
                <w:color w:val="auto"/>
              </w:rPr>
              <w:t>Established Products: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PERCOCET®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30,730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93,539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TESTOPEL®</w:t>
            </w: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13,236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15,962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40,830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44,976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Established (2)</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61,172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129,765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179,428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color w:val="auto"/>
              </w:rPr>
              <w:t>Total Established Products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85,315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107,864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258,794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317,943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Branded Pharmaceuticals (3)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217,313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220,100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629,851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632,972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right="200" w:hanging="329"/>
        <w:spacing w:after="0" w:line="241" w:lineRule="auto"/>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Products included within Other Specialty are NASCOBAL</w:t>
      </w:r>
      <w:r>
        <w:rPr>
          <w:rFonts w:ascii="Arial" w:cs="Arial" w:eastAsia="Arial" w:hAnsi="Arial"/>
          <w:sz w:val="8"/>
          <w:szCs w:val="8"/>
          <w:color w:val="auto"/>
        </w:rPr>
        <w:t>®</w:t>
      </w:r>
      <w:r>
        <w:rPr>
          <w:rFonts w:ascii="Arial" w:cs="Arial" w:eastAsia="Arial" w:hAnsi="Arial"/>
          <w:sz w:val="14"/>
          <w:szCs w:val="14"/>
          <w:color w:val="auto"/>
        </w:rPr>
        <w:t xml:space="preserve"> Nasal Spray and AVEED</w:t>
      </w:r>
      <w:r>
        <w:rPr>
          <w:rFonts w:ascii="Arial" w:cs="Arial" w:eastAsia="Arial" w:hAnsi="Arial"/>
          <w:sz w:val="8"/>
          <w:szCs w:val="8"/>
          <w:color w:val="auto"/>
        </w:rPr>
        <w:t>®</w:t>
      </w:r>
      <w:r>
        <w:rPr>
          <w:rFonts w:ascii="Arial" w:cs="Arial" w:eastAsia="Arial" w:hAnsi="Arial"/>
          <w:sz w:val="14"/>
          <w:szCs w:val="14"/>
          <w:color w:val="auto"/>
        </w:rPr>
        <w:t>. Beginning with our first-quarter 2019 reporting, TESTOPEL</w:t>
      </w:r>
      <w:r>
        <w:rPr>
          <w:rFonts w:ascii="Arial" w:cs="Arial" w:eastAsia="Arial" w:hAnsi="Arial"/>
          <w:sz w:val="8"/>
          <w:szCs w:val="8"/>
          <w:color w:val="auto"/>
        </w:rPr>
        <w:t>®</w:t>
      </w:r>
      <w:r>
        <w:rPr>
          <w:rFonts w:ascii="Arial" w:cs="Arial" w:eastAsia="Arial" w:hAnsi="Arial"/>
          <w:sz w:val="14"/>
          <w:szCs w:val="14"/>
          <w:color w:val="auto"/>
        </w:rPr>
        <w:t>, which was previously included in Other Specialty, has been reclassified and is now included in the Established Products portfolio for all periods presented.</w:t>
      </w:r>
    </w:p>
    <w:p>
      <w:pPr>
        <w:ind w:left="580" w:right="100" w:hanging="329"/>
        <w:spacing w:after="0" w:line="241" w:lineRule="auto"/>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LIDODERM</w:t>
      </w:r>
      <w:r>
        <w:rPr>
          <w:rFonts w:ascii="Arial" w:cs="Arial" w:eastAsia="Arial" w:hAnsi="Arial"/>
          <w:sz w:val="8"/>
          <w:szCs w:val="8"/>
          <w:color w:val="auto"/>
        </w:rPr>
        <w:t>®</w:t>
      </w:r>
      <w:r>
        <w:rPr>
          <w:rFonts w:ascii="Arial" w:cs="Arial" w:eastAsia="Arial" w:hAnsi="Arial"/>
          <w:sz w:val="14"/>
          <w:szCs w:val="14"/>
          <w:color w:val="auto"/>
        </w:rPr>
        <w:t>, VOLTAREN</w:t>
      </w:r>
      <w:r>
        <w:rPr>
          <w:rFonts w:ascii="Arial" w:cs="Arial" w:eastAsia="Arial" w:hAnsi="Arial"/>
          <w:sz w:val="8"/>
          <w:szCs w:val="8"/>
          <w:color w:val="auto"/>
        </w:rPr>
        <w:t>®</w:t>
      </w:r>
      <w:r>
        <w:rPr>
          <w:rFonts w:ascii="Arial" w:cs="Arial" w:eastAsia="Arial" w:hAnsi="Arial"/>
          <w:sz w:val="14"/>
          <w:szCs w:val="14"/>
          <w:color w:val="auto"/>
        </w:rPr>
        <w:t xml:space="preserve"> Gel, EDEX</w:t>
      </w:r>
      <w:r>
        <w:rPr>
          <w:rFonts w:ascii="Arial" w:cs="Arial" w:eastAsia="Arial" w:hAnsi="Arial"/>
          <w:sz w:val="8"/>
          <w:szCs w:val="8"/>
          <w:color w:val="auto"/>
        </w:rPr>
        <w:t>®</w:t>
      </w:r>
      <w:r>
        <w:rPr>
          <w:rFonts w:ascii="Arial" w:cs="Arial" w:eastAsia="Arial" w:hAnsi="Arial"/>
          <w:sz w:val="14"/>
          <w:szCs w:val="14"/>
          <w:color w:val="auto"/>
        </w:rPr>
        <w:t>, FORTESTA</w:t>
      </w:r>
      <w:r>
        <w:rPr>
          <w:rFonts w:ascii="Arial" w:cs="Arial" w:eastAsia="Arial" w:hAnsi="Arial"/>
          <w:sz w:val="8"/>
          <w:szCs w:val="8"/>
          <w:color w:val="auto"/>
        </w:rPr>
        <w:t>®</w:t>
      </w:r>
      <w:r>
        <w:rPr>
          <w:rFonts w:ascii="Arial" w:cs="Arial" w:eastAsia="Arial" w:hAnsi="Arial"/>
          <w:sz w:val="14"/>
          <w:szCs w:val="14"/>
          <w:color w:val="auto"/>
        </w:rPr>
        <w:t xml:space="preserve"> Gel and TESTIM</w:t>
      </w:r>
      <w:r>
        <w:rPr>
          <w:rFonts w:ascii="Arial" w:cs="Arial" w:eastAsia="Arial" w:hAnsi="Arial"/>
          <w:sz w:val="8"/>
          <w:szCs w:val="8"/>
          <w:color w:val="auto"/>
        </w:rPr>
        <w:t>®</w:t>
      </w:r>
      <w:r>
        <w:rPr>
          <w:rFonts w:ascii="Arial" w:cs="Arial" w:eastAsia="Arial" w:hAnsi="Arial"/>
          <w:sz w:val="14"/>
          <w:szCs w:val="14"/>
          <w:color w:val="auto"/>
        </w:rPr>
        <w:t>, including the authorized generics of FORTESTA</w:t>
      </w:r>
      <w:r>
        <w:rPr>
          <w:rFonts w:ascii="Arial" w:cs="Arial" w:eastAsia="Arial" w:hAnsi="Arial"/>
          <w:sz w:val="8"/>
          <w:szCs w:val="8"/>
          <w:color w:val="auto"/>
        </w:rPr>
        <w:t>®</w:t>
      </w:r>
      <w:r>
        <w:rPr>
          <w:rFonts w:ascii="Arial" w:cs="Arial" w:eastAsia="Arial" w:hAnsi="Arial"/>
          <w:sz w:val="14"/>
          <w:szCs w:val="14"/>
          <w:color w:val="auto"/>
        </w:rPr>
        <w:t xml:space="preserve"> Gel and TESTIM</w:t>
      </w:r>
      <w:r>
        <w:rPr>
          <w:rFonts w:ascii="Arial" w:cs="Arial" w:eastAsia="Arial" w:hAnsi="Arial"/>
          <w:sz w:val="8"/>
          <w:szCs w:val="8"/>
          <w:color w:val="auto"/>
        </w:rPr>
        <w:t>®</w:t>
      </w:r>
      <w:r>
        <w:rPr>
          <w:rFonts w:ascii="Arial" w:cs="Arial" w:eastAsia="Arial" w:hAnsi="Arial"/>
          <w:sz w:val="14"/>
          <w:szCs w:val="14"/>
          <w:color w:val="auto"/>
        </w:rPr>
        <w:t>.</w:t>
      </w:r>
    </w:p>
    <w:p>
      <w:pPr>
        <w:ind w:left="580" w:right="140" w:hanging="329"/>
        <w:spacing w:after="0" w:line="255" w:lineRule="auto"/>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either the three or nine months ended September 30, 2019 and/or any product having revenues in excess of $25 million during any quarterly period in 2019 or 2018.</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w:t>
      </w:r>
    </w:p>
    <w:p>
      <w:pPr>
        <w:spacing w:after="0" w:line="117" w:lineRule="exact"/>
        <w:rPr>
          <w:sz w:val="20"/>
          <w:szCs w:val="20"/>
          <w:color w:val="auto"/>
        </w:rPr>
      </w:pPr>
    </w:p>
    <w:p>
      <w:pPr>
        <w:ind w:right="40" w:firstLine="486"/>
        <w:spacing w:after="0" w:line="227" w:lineRule="auto"/>
        <w:rPr>
          <w:sz w:val="20"/>
          <w:szCs w:val="20"/>
          <w:color w:val="auto"/>
        </w:rPr>
      </w:pPr>
      <w:r>
        <w:rPr>
          <w:rFonts w:ascii="Arial" w:cs="Arial" w:eastAsia="Arial" w:hAnsi="Arial"/>
          <w:sz w:val="18"/>
          <w:szCs w:val="18"/>
          <w:color w:val="auto"/>
        </w:rPr>
        <w:t>The increases in XIAFLEX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both the three and nine months ended September 30, 2019 were primarily attributable to demand growth driven by the continued investment and promotional efforts behind XIAFLEX</w:t>
      </w:r>
      <w:r>
        <w:rPr>
          <w:rFonts w:ascii="Arial" w:cs="Arial" w:eastAsia="Arial" w:hAnsi="Arial"/>
          <w:sz w:val="25"/>
          <w:szCs w:val="25"/>
          <w:color w:val="auto"/>
          <w:vertAlign w:val="superscript"/>
        </w:rPr>
        <w:t>®</w:t>
      </w:r>
      <w:r>
        <w:rPr>
          <w:rFonts w:ascii="Arial" w:cs="Arial" w:eastAsia="Arial" w:hAnsi="Arial"/>
          <w:sz w:val="18"/>
          <w:szCs w:val="18"/>
          <w:color w:val="auto"/>
        </w:rPr>
        <w:t>, as well as price.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increase in SUPPRELIN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LA for the nine months ended September 30, 2019 was primarily attributable to increases in both volume and price.</w:t>
      </w:r>
    </w:p>
    <w:p>
      <w:pPr>
        <w:spacing w:after="0" w:line="71" w:lineRule="exact"/>
        <w:rPr>
          <w:sz w:val="20"/>
          <w:szCs w:val="20"/>
          <w:color w:val="auto"/>
        </w:rPr>
      </w:pPr>
    </w:p>
    <w:p>
      <w:pPr>
        <w:ind w:right="140" w:firstLine="486"/>
        <w:spacing w:after="0" w:line="225" w:lineRule="auto"/>
        <w:rPr>
          <w:sz w:val="20"/>
          <w:szCs w:val="20"/>
          <w:color w:val="auto"/>
        </w:rPr>
      </w:pPr>
      <w:r>
        <w:rPr>
          <w:rFonts w:ascii="Arial" w:cs="Arial" w:eastAsia="Arial" w:hAnsi="Arial"/>
          <w:sz w:val="18"/>
          <w:szCs w:val="18"/>
          <w:color w:val="auto"/>
        </w:rPr>
        <w:t>The increases in Other Specialty Products for both the three and nine months ended September 30, 2019 were primarily attributable to increased sales of both NASCOBAL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Nasal Spray and AVEED</w:t>
      </w:r>
      <w:r>
        <w:rPr>
          <w:rFonts w:ascii="Arial" w:cs="Arial" w:eastAsia="Arial" w:hAnsi="Arial"/>
          <w:sz w:val="25"/>
          <w:szCs w:val="25"/>
          <w:color w:val="auto"/>
          <w:vertAlign w:val="superscript"/>
        </w:rPr>
        <w:t>®</w:t>
      </w:r>
      <w:r>
        <w:rPr>
          <w:rFonts w:ascii="Arial" w:cs="Arial" w:eastAsia="Arial" w:hAnsi="Arial"/>
          <w:sz w:val="18"/>
          <w:szCs w:val="18"/>
          <w:color w:val="auto"/>
        </w:rPr>
        <w:t>. When compared to the three and nine months ended September 30, 2018, these products generally benefited from increased volume.</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w:t>
      </w:r>
    </w:p>
    <w:p>
      <w:pPr>
        <w:spacing w:after="0" w:line="117" w:lineRule="exact"/>
        <w:rPr>
          <w:sz w:val="20"/>
          <w:szCs w:val="20"/>
          <w:color w:val="auto"/>
        </w:rPr>
      </w:pPr>
    </w:p>
    <w:p>
      <w:pPr>
        <w:ind w:firstLine="486"/>
        <w:spacing w:after="0" w:line="216" w:lineRule="auto"/>
        <w:rPr>
          <w:sz w:val="20"/>
          <w:szCs w:val="20"/>
          <w:color w:val="auto"/>
        </w:rPr>
      </w:pPr>
      <w:r>
        <w:rPr>
          <w:rFonts w:ascii="Arial" w:cs="Arial" w:eastAsia="Arial" w:hAnsi="Arial"/>
          <w:sz w:val="18"/>
          <w:szCs w:val="18"/>
          <w:color w:val="auto"/>
        </w:rPr>
        <w:t>The decreases in PERCOCET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both the three and nine months ended September 30, 2019 were primarily attributable to volume decreases, partially offset by price increases.</w:t>
      </w:r>
    </w:p>
    <w:p>
      <w:pPr>
        <w:spacing w:after="0" w:line="95" w:lineRule="exact"/>
        <w:rPr>
          <w:sz w:val="20"/>
          <w:szCs w:val="20"/>
          <w:color w:val="auto"/>
        </w:rPr>
      </w:pPr>
    </w:p>
    <w:p>
      <w:pPr>
        <w:ind w:right="400" w:firstLine="486"/>
        <w:spacing w:after="0" w:line="216" w:lineRule="auto"/>
        <w:rPr>
          <w:sz w:val="20"/>
          <w:szCs w:val="20"/>
          <w:color w:val="auto"/>
        </w:rPr>
      </w:pPr>
      <w:r>
        <w:rPr>
          <w:rFonts w:ascii="Arial" w:cs="Arial" w:eastAsia="Arial" w:hAnsi="Arial"/>
          <w:sz w:val="18"/>
          <w:szCs w:val="18"/>
          <w:color w:val="auto"/>
        </w:rPr>
        <w:t>The decreases in TESTOPEL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both the three and nine months ended September 30, 2019 were primarily attributable to both price and volume decreases.</w:t>
      </w:r>
    </w:p>
    <w:p>
      <w:pPr>
        <w:spacing w:after="0" w:line="9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decreases in Other Established Products for both the three and nine months ended September 30, 2019 were primarily attributable to volume decreases as a result of ongoing competitive pressures.</w:t>
      </w:r>
    </w:p>
    <w:p>
      <w:pPr>
        <w:spacing w:after="0" w:line="62"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following table displays the significant components of our Sterile Injectables revenues from external customers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nine months ended September 30, 2019 and 2018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Three Months Ended September 30,</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w w:val="92"/>
              </w:rPr>
              <w:t>Nine Months Ended September 30,</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 vs. 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VASOSTRICT®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129,691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112,333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384,854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332,387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ADRENALIN®</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40,311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35,460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133,468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101,858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APLISOL®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15,992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49,064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Ertapenem for injection</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21,853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25,798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79,619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25,798</w:t>
            </w:r>
          </w:p>
        </w:tc>
        <w:tc>
          <w:tcPr>
            <w:tcW w:w="120" w:type="dxa"/>
            <w:vAlign w:val="bottom"/>
          </w:tcPr>
          <w:p>
            <w:pPr>
              <w:spacing w:after="0"/>
              <w:rPr>
                <w:sz w:val="21"/>
                <w:szCs w:val="21"/>
                <w:color w:val="auto"/>
              </w:rPr>
            </w:pPr>
          </w:p>
        </w:tc>
        <w:tc>
          <w:tcPr>
            <w:tcW w:w="1020" w:type="dxa"/>
            <w:vAlign w:val="bottom"/>
          </w:tcPr>
          <w:p>
            <w:pPr>
              <w:jc w:val="right"/>
              <w:ind w:right="16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Sterile Injectables (1)</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47,567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161,740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4300" w:type="dxa"/>
            <w:vAlign w:val="bottom"/>
          </w:tcPr>
          <w:p>
            <w:pPr>
              <w:ind w:left="180"/>
              <w:spacing w:after="0"/>
              <w:rPr>
                <w:sz w:val="20"/>
                <w:szCs w:val="20"/>
                <w:color w:val="auto"/>
              </w:rPr>
            </w:pPr>
            <w:r>
              <w:rPr>
                <w:rFonts w:ascii="Arial" w:cs="Arial" w:eastAsia="Arial" w:hAnsi="Arial"/>
                <w:sz w:val="18"/>
                <w:szCs w:val="18"/>
                <w:color w:val="auto"/>
              </w:rPr>
              <w:t>Total Sterile Injectables (2)</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263,635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237,150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777,963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670,847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3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6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1" w:lineRule="exact"/>
        <w:rPr>
          <w:sz w:val="20"/>
          <w:szCs w:val="20"/>
          <w:color w:val="auto"/>
        </w:rPr>
      </w:pPr>
    </w:p>
    <w:p>
      <w:pPr>
        <w:ind w:left="580" w:hanging="329"/>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ephedrine sulfate injection and others.</w:t>
      </w:r>
    </w:p>
    <w:p>
      <w:pPr>
        <w:sectPr>
          <w:pgSz w:w="11900" w:h="16838" w:orient="portrait"/>
          <w:cols w:equalWidth="0" w:num="1">
            <w:col w:w="11420"/>
          </w:cols>
          <w:pgMar w:left="240" w:top="118"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18" w:right="239" w:bottom="1440" w:gutter="0" w:footer="0" w:header="0"/>
          <w:type w:val="continuous"/>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7" w:lineRule="exact"/>
        <w:rPr>
          <w:sz w:val="20"/>
          <w:szCs w:val="20"/>
          <w:color w:val="auto"/>
        </w:rPr>
      </w:pPr>
    </w:p>
    <w:p>
      <w:pPr>
        <w:ind w:left="580" w:right="120" w:hanging="329"/>
        <w:spacing w:after="0" w:line="273" w:lineRule="auto"/>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within the Sterile Injectables segment for either the three or nine months ended September 30, 2019 and/or any product having revenues in excess of $25 million during any quarterly period in 2019 or 2018.</w:t>
      </w:r>
    </w:p>
    <w:p>
      <w:pPr>
        <w:spacing w:after="0" w:line="70" w:lineRule="exact"/>
        <w:rPr>
          <w:sz w:val="20"/>
          <w:szCs w:val="20"/>
          <w:color w:val="auto"/>
        </w:rPr>
      </w:pPr>
    </w:p>
    <w:p>
      <w:pPr>
        <w:ind w:right="20" w:firstLine="486"/>
        <w:spacing w:after="0" w:line="196" w:lineRule="auto"/>
        <w:rPr>
          <w:sz w:val="20"/>
          <w:szCs w:val="20"/>
          <w:color w:val="auto"/>
        </w:rPr>
      </w:pPr>
      <w:r>
        <w:rPr>
          <w:rFonts w:ascii="Arial" w:cs="Arial" w:eastAsia="Arial" w:hAnsi="Arial"/>
          <w:sz w:val="17"/>
          <w:szCs w:val="17"/>
          <w:color w:val="auto"/>
        </w:rPr>
        <w:t>The increases in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the three and nine months ended September 30, 2019 were primarily attributable to changes in volume, price and mix of business. As of September 30, 2019, we have six patents for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listed in the Orange Book and additional patents pending with the U.S. Patent and Trademark Office. The FDA requires any applicant seeking FDA approval for vasopressin prior to patent expiry and relying on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as the Reference Listed Drug to notify us of its filing before the FDA will issue an approval. We are aware of certain competitive actions taken by other pharmaceutical companies related to VASOSTRICT</w:t>
      </w:r>
      <w:r>
        <w:rPr>
          <w:rFonts w:ascii="Arial" w:cs="Arial" w:eastAsia="Arial" w:hAnsi="Arial"/>
          <w:sz w:val="24"/>
          <w:szCs w:val="24"/>
          <w:color w:val="auto"/>
          <w:vertAlign w:val="superscript"/>
        </w:rPr>
        <w:t>®</w:t>
      </w:r>
      <w:r>
        <w:rPr>
          <w:rFonts w:ascii="Arial" w:cs="Arial" w:eastAsia="Arial" w:hAnsi="Arial"/>
          <w:sz w:val="17"/>
          <w:szCs w:val="17"/>
          <w:color w:val="auto"/>
        </w:rPr>
        <w:t>. These matters are further discussed in Note 13. Commitments and Contingencies of the Condensed Consolidated Financial Statements included in Part I, Item 1 under the heading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Related Matters.” We have taken and plan to continue to take actions in our best interest to protect our rights with respect to VASOSTRICT</w:t>
      </w:r>
      <w:r>
        <w:rPr>
          <w:rFonts w:ascii="Arial" w:cs="Arial" w:eastAsia="Arial" w:hAnsi="Arial"/>
          <w:sz w:val="24"/>
          <w:szCs w:val="24"/>
          <w:color w:val="auto"/>
          <w:vertAlign w:val="superscript"/>
        </w:rPr>
        <w:t>®</w:t>
      </w:r>
      <w:r>
        <w:rPr>
          <w:rFonts w:ascii="Arial" w:cs="Arial" w:eastAsia="Arial" w:hAnsi="Arial"/>
          <w:sz w:val="17"/>
          <w:szCs w:val="17"/>
          <w:color w:val="auto"/>
        </w:rPr>
        <w:t>. The introduction of any competing versions of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could result in reductions to our market share, revenues, profitability and cash flows.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increases in ADRENALIN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three and nine months ended September 30, 2019 were primarily attributable to increased price and volume.</w:t>
      </w:r>
    </w:p>
    <w:p>
      <w:pPr>
        <w:spacing w:after="0" w:line="76" w:lineRule="exact"/>
        <w:rPr>
          <w:sz w:val="20"/>
          <w:szCs w:val="20"/>
          <w:color w:val="auto"/>
        </w:rPr>
      </w:pPr>
    </w:p>
    <w:p>
      <w:pPr>
        <w:ind w:right="40" w:firstLine="486"/>
        <w:spacing w:after="0" w:line="214" w:lineRule="auto"/>
        <w:rPr>
          <w:sz w:val="20"/>
          <w:szCs w:val="20"/>
          <w:color w:val="auto"/>
        </w:rPr>
      </w:pPr>
      <w:r>
        <w:rPr>
          <w:rFonts w:ascii="Arial" w:cs="Arial" w:eastAsia="Arial" w:hAnsi="Arial"/>
          <w:sz w:val="18"/>
          <w:szCs w:val="18"/>
          <w:color w:val="auto"/>
        </w:rPr>
        <w:t>The increases in APLISOL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three and nine months ended September 30, 2019 were primarily driven by wholesalers restocking during the three months ended September 30, 2019 after a temporary supply shortage.</w:t>
      </w:r>
    </w:p>
    <w:p>
      <w:pPr>
        <w:spacing w:after="0" w:line="95" w:lineRule="exact"/>
        <w:rPr>
          <w:sz w:val="20"/>
          <w:szCs w:val="20"/>
          <w:color w:val="auto"/>
        </w:rPr>
      </w:pPr>
    </w:p>
    <w:p>
      <w:pPr>
        <w:ind w:right="20" w:firstLine="486"/>
        <w:spacing w:after="0" w:line="226" w:lineRule="auto"/>
        <w:rPr>
          <w:sz w:val="20"/>
          <w:szCs w:val="20"/>
          <w:color w:val="auto"/>
        </w:rPr>
      </w:pPr>
      <w:r>
        <w:rPr>
          <w:rFonts w:ascii="Arial" w:cs="Arial" w:eastAsia="Arial" w:hAnsi="Arial"/>
          <w:sz w:val="18"/>
          <w:szCs w:val="18"/>
          <w:color w:val="auto"/>
        </w:rPr>
        <w:t>Ertapenem for injection, the authorized generic of Invanz</w:t>
      </w:r>
      <w:r>
        <w:rPr>
          <w:rFonts w:ascii="Arial" w:cs="Arial" w:eastAsia="Arial" w:hAnsi="Arial"/>
          <w:sz w:val="25"/>
          <w:szCs w:val="25"/>
          <w:color w:val="auto"/>
          <w:vertAlign w:val="superscript"/>
        </w:rPr>
        <w:t>®</w:t>
      </w:r>
      <w:r>
        <w:rPr>
          <w:rFonts w:ascii="Arial" w:cs="Arial" w:eastAsia="Arial" w:hAnsi="Arial"/>
          <w:sz w:val="18"/>
          <w:szCs w:val="18"/>
          <w:color w:val="auto"/>
        </w:rPr>
        <w:t>, launched during the third quarter of 2018. The decrease for the three months ended September 30, 2019 was primarily attributable to competitive pressures. The increase for the nine months ended September 30, 2019 was driven by the timing of this product’s launch.</w:t>
      </w:r>
    </w:p>
    <w:p>
      <w:pPr>
        <w:spacing w:after="0" w:line="96"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decreases in Other Sterile Injectables for the three and nine months ended September 30, 2019 were primarily driven by certain competitive pressures impacting multiple products in this portfolio.</w:t>
      </w:r>
    </w:p>
    <w:p>
      <w:pPr>
        <w:spacing w:after="0" w:line="62"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decreases for the Generic Pharmaceuticals segment for both the three and nine months ended September 30, 2019 were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continued competitive pressure on commoditized generic products. Partially offsetting the decreases were the impacts of certain recent product launches including, among others, colchicine tablets.</w:t>
      </w:r>
    </w:p>
    <w:p>
      <w:pPr>
        <w:spacing w:after="0" w:line="73" w:lineRule="exact"/>
        <w:rPr>
          <w:sz w:val="20"/>
          <w:szCs w:val="20"/>
          <w:color w:val="auto"/>
        </w:rPr>
      </w:pPr>
    </w:p>
    <w:p>
      <w:pPr>
        <w:ind w:right="580" w:firstLine="486"/>
        <w:spacing w:after="0" w:line="342" w:lineRule="auto"/>
        <w:rPr>
          <w:sz w:val="20"/>
          <w:szCs w:val="20"/>
          <w:color w:val="auto"/>
        </w:rPr>
      </w:pPr>
      <w:r>
        <w:rPr>
          <w:rFonts w:ascii="Arial" w:cs="Arial" w:eastAsia="Arial" w:hAnsi="Arial"/>
          <w:sz w:val="16"/>
          <w:szCs w:val="16"/>
          <w:i w:val="1"/>
          <w:iCs w:val="1"/>
          <w:color w:val="auto"/>
        </w:rPr>
        <w:t>International Pharmaceuticals</w:t>
      </w:r>
      <w:r>
        <w:rPr>
          <w:rFonts w:ascii="Arial" w:cs="Arial" w:eastAsia="Arial" w:hAnsi="Arial"/>
          <w:sz w:val="16"/>
          <w:szCs w:val="16"/>
          <w:color w:val="auto"/>
        </w:rPr>
        <w:t>. The decrease for the International Pharmaceuticals segment for the nine months ended September 30, 2019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attributable to competitive pressures in certain international markets and the impact of certain product discontinuation activities.</w:t>
      </w:r>
    </w:p>
    <w:p>
      <w:pPr>
        <w:spacing w:after="0" w:line="1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Adjusted income from continuing operations before income tax. </w:t>
      </w:r>
      <w:r>
        <w:rPr>
          <w:rFonts w:ascii="Arial" w:cs="Arial" w:eastAsia="Arial" w:hAnsi="Arial"/>
          <w:sz w:val="18"/>
          <w:szCs w:val="18"/>
          <w:color w:val="auto"/>
        </w:rPr>
        <w:t>The following table displays our Adjusted income from continuing operations before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by reportable segment for the three and nine months ended September 30,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6"/>
              </w:rPr>
              <w:t>Three Months Ended September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 vs. 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Branded Pharmaceuticals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91,444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84,891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253,417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262,454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Sterile Injectables</w:t>
            </w:r>
          </w:p>
        </w:tc>
        <w:tc>
          <w:tcPr>
            <w:tcW w:w="24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197,974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170,329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566,345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513,082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Generic Pharmaceuticals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29,433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82,555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128,738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247,137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International Pharmaceuticals</w:t>
            </w:r>
          </w:p>
        </w:tc>
        <w:tc>
          <w:tcPr>
            <w:tcW w:w="24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11,511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13,377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35,053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45,594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Total segment adjusted income from</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continuing operations before income</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330,362</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351,152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983,553</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1,068,267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firstLine="486"/>
        <w:spacing w:after="0" w:line="246" w:lineRule="auto"/>
        <w:rPr>
          <w:sz w:val="20"/>
          <w:szCs w:val="20"/>
          <w:color w:val="auto"/>
        </w:rPr>
      </w:pPr>
      <w:r>
        <w:rPr>
          <w:rFonts w:ascii="Arial" w:cs="Arial" w:eastAsia="Arial" w:hAnsi="Arial"/>
          <w:sz w:val="17"/>
          <w:szCs w:val="17"/>
          <w:i w:val="1"/>
          <w:iCs w:val="1"/>
          <w:color w:val="auto"/>
        </w:rPr>
        <w:t xml:space="preserve">Branded Pharmaceuticals. </w:t>
      </w:r>
      <w:r>
        <w:rPr>
          <w:rFonts w:ascii="Arial" w:cs="Arial" w:eastAsia="Arial" w:hAnsi="Arial"/>
          <w:sz w:val="17"/>
          <w:szCs w:val="17"/>
          <w:color w:val="auto"/>
        </w:rPr>
        <w:t>The increase for the three months ended September 30, 2019 was primarily attributable to decreased Selling,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expenses, including reduced legal costs related to certain litigation matters, partially offset by increased costs related to our continued investment and promotional efforts behind XIAFLEX</w:t>
      </w:r>
      <w:r>
        <w:rPr>
          <w:rFonts w:ascii="Arial" w:cs="Arial" w:eastAsia="Arial" w:hAnsi="Arial"/>
          <w:sz w:val="24"/>
          <w:szCs w:val="24"/>
          <w:color w:val="auto"/>
          <w:vertAlign w:val="superscript"/>
        </w:rPr>
        <w:t>®</w:t>
      </w:r>
      <w:r>
        <w:rPr>
          <w:rFonts w:ascii="Arial" w:cs="Arial" w:eastAsia="Arial" w:hAnsi="Arial"/>
          <w:sz w:val="17"/>
          <w:szCs w:val="17"/>
          <w:color w:val="auto"/>
        </w:rPr>
        <w:t>. Additionally, Research and development expense decreased as a result of reduced costs associated with our clinical trials of CCH, partially offset by increased costs associated with certain post-marketing commitments.</w:t>
      </w:r>
    </w:p>
    <w:p>
      <w:pPr>
        <w:spacing w:after="0" w:line="88" w:lineRule="exact"/>
        <w:rPr>
          <w:sz w:val="20"/>
          <w:szCs w:val="20"/>
          <w:color w:val="auto"/>
        </w:rPr>
      </w:pPr>
    </w:p>
    <w:p>
      <w:pPr>
        <w:ind w:firstLine="486"/>
        <w:spacing w:after="0" w:line="226" w:lineRule="auto"/>
        <w:rPr>
          <w:sz w:val="20"/>
          <w:szCs w:val="20"/>
          <w:color w:val="auto"/>
        </w:rPr>
      </w:pPr>
      <w:r>
        <w:rPr>
          <w:rFonts w:ascii="Arial" w:cs="Arial" w:eastAsia="Arial" w:hAnsi="Arial"/>
          <w:sz w:val="18"/>
          <w:szCs w:val="18"/>
          <w:color w:val="auto"/>
        </w:rPr>
        <w:t>The decrease for the nine months ended September 30, 2019 was primarily attributable to increased costs related to our continued investment and promotional efforts behind XIAFLEX</w:t>
      </w:r>
      <w:r>
        <w:rPr>
          <w:rFonts w:ascii="Arial" w:cs="Arial" w:eastAsia="Arial" w:hAnsi="Arial"/>
          <w:sz w:val="25"/>
          <w:szCs w:val="25"/>
          <w:color w:val="auto"/>
          <w:vertAlign w:val="superscript"/>
        </w:rPr>
        <w:t>®</w:t>
      </w:r>
      <w:r>
        <w:rPr>
          <w:rFonts w:ascii="Arial" w:cs="Arial" w:eastAsia="Arial" w:hAnsi="Arial"/>
          <w:sz w:val="18"/>
          <w:szCs w:val="18"/>
          <w:color w:val="auto"/>
        </w:rPr>
        <w:t>. This was offset by lower Research and development expense resulting from reduced costs associated with our clinical trials of CCH, partially offset by increased costs associated with certain post-marketing commitments.</w:t>
      </w:r>
    </w:p>
    <w:p>
      <w:pPr>
        <w:spacing w:after="0" w:line="96"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i w:val="1"/>
          <w:iCs w:val="1"/>
          <w:color w:val="auto"/>
        </w:rPr>
        <w:t>Sterile Injectables</w:t>
      </w:r>
      <w:r>
        <w:rPr>
          <w:rFonts w:ascii="Arial" w:cs="Arial" w:eastAsia="Arial" w:hAnsi="Arial"/>
          <w:sz w:val="18"/>
          <w:szCs w:val="18"/>
          <w:color w:val="auto"/>
        </w:rPr>
        <w:t>. The increases during the three and nine months ended September 30, 2019 were primarily driven by increased revenues and gross</w:t>
      </w:r>
      <w:r>
        <w:rPr>
          <w:rFonts w:ascii="Arial" w:cs="Arial" w:eastAsia="Arial" w:hAnsi="Arial"/>
          <w:sz w:val="18"/>
          <w:szCs w:val="18"/>
          <w:i w:val="1"/>
          <w:iCs w:val="1"/>
          <w:color w:val="auto"/>
        </w:rPr>
        <w:t xml:space="preserve"> </w:t>
      </w:r>
      <w:r>
        <w:rPr>
          <w:rFonts w:ascii="Arial" w:cs="Arial" w:eastAsia="Arial" w:hAnsi="Arial"/>
          <w:sz w:val="18"/>
          <w:szCs w:val="18"/>
          <w:color w:val="auto"/>
        </w:rPr>
        <w:t>margins resulting from strong performance across several products in this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decreases for both the three and nine months ended September 30, 2019 were primarily attributable to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as described above and the resulting reductions to gross margin. Additionally, gross margin was negatively impacted by changes in product mix resulting from increased sales of certain lower margin authorized generic products. These decreases were partially offset by reduced expenses including, during both the three and nine months ended September 30, 2019, the impact of certain restructuring and other cost saving initiatives and, during the nine months ended September 30, 2019, a lower branded prescription drug fee. Our material restructuring initiatives are described in Note 4. Restructuring of the Condensed Consolidated Financial Statements included in Part I, Item 1.</w:t>
      </w:r>
    </w:p>
    <w:p>
      <w:pPr>
        <w:spacing w:after="0" w:line="8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i w:val="1"/>
          <w:iCs w:val="1"/>
          <w:color w:val="auto"/>
        </w:rPr>
        <w:t xml:space="preserve">International Pharmaceuticals. </w:t>
      </w:r>
      <w:r>
        <w:rPr>
          <w:rFonts w:ascii="Arial" w:cs="Arial" w:eastAsia="Arial" w:hAnsi="Arial"/>
          <w:sz w:val="18"/>
          <w:szCs w:val="18"/>
          <w:color w:val="auto"/>
        </w:rPr>
        <w:t>The decrease for the three months ended September 30, 2019 was primarily attributable to increased Selling,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administrative expenses. The decrease for the nine months ended September 30, 2019 was primarily attributable to decreased revenues as described above and the resulting reductions to gross margin.</w:t>
      </w:r>
    </w:p>
    <w:p>
      <w:pPr>
        <w:spacing w:after="0" w:line="73" w:lineRule="exact"/>
        <w:rPr>
          <w:sz w:val="20"/>
          <w:szCs w:val="20"/>
          <w:color w:val="auto"/>
        </w:rPr>
      </w:pPr>
    </w:p>
    <w:p>
      <w:pPr>
        <w:ind w:right="640" w:firstLine="446"/>
        <w:spacing w:after="0" w:line="264" w:lineRule="auto"/>
        <w:rPr>
          <w:sz w:val="20"/>
          <w:szCs w:val="20"/>
          <w:color w:val="auto"/>
        </w:rPr>
      </w:pPr>
      <w:r>
        <w:rPr>
          <w:rFonts w:ascii="Arial" w:cs="Arial" w:eastAsia="Arial" w:hAnsi="Arial"/>
          <w:sz w:val="18"/>
          <w:szCs w:val="18"/>
          <w:color w:val="auto"/>
        </w:rPr>
        <w:t>The table below provides reconciliations of our Total consolidated loss from continuing operations before income tax, which is determined in accordance with U.S. GAAP, to our total segment adjusted income from continuing operations before income tax for the three and nine months ended September 30, 2019 and 2018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loss from continuing operations before income tax</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(671,559)</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136,903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131,847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404,387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385,896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unallocated costs (1)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124,351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144,693</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131,932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161,275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417,949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471,662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step-up</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Upfront and milestone payments to partners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43,027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Retention and separation benefits and other cost reduction initiatives (2)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82,141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Certain litigation-related and other contingencies, net (3)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 (4)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258,652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613,400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Acquisition-related and integration items (5)</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13,284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5"/>
              </w:rPr>
              <w:t>Foreign currency impact related to the remeasurement of intercompany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debt instruments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 (6)</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(28,348)</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4"/>
              </w:rPr>
              <w:t>Total segment adjusted income from continuing operations before income</w:t>
            </w: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330,362</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351,152</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983,553</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1,068,267</w:t>
            </w: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tax</w:t>
            </w: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-89535</wp:posOffset>
            </wp:positionV>
            <wp:extent cx="36874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80" w:hanging="329"/>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facility and corporate litigation expenses and certain other income and expenses.</w:t>
      </w:r>
    </w:p>
    <w:p>
      <w:pPr>
        <w:spacing w:after="0" w:line="1" w:lineRule="exact"/>
        <w:rPr>
          <w:rFonts w:ascii="Arial" w:cs="Arial" w:eastAsia="Arial" w:hAnsi="Arial"/>
          <w:sz w:val="14"/>
          <w:szCs w:val="14"/>
          <w:color w:val="auto"/>
        </w:rPr>
      </w:pPr>
    </w:p>
    <w:p>
      <w:pPr>
        <w:ind w:left="580" w:right="20" w:hanging="329"/>
        <w:spacing w:after="0" w:line="241" w:lineRule="auto"/>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for both the three and nine months ended September 30, 2019 include $6.7 million of costs associated with retention bonuses awarded to certain senior management of the Company. Other amounts during each of the periods presented related primarily to our restructuring initiatives. Such amounts included employee separation costs of $2.2 million during the nine months ended September 30, 2019 and other charges of $4.4 million and $6.3 million during the three and nine months ended September 30, 2019, respectively. During the three and nine months ended September 30, 2018, such amounts included employee separation costs of $2.1 million and $32.7 million, respectively, charges to increase excess inventory reserves of $0.2 million and $2.8 million, respectively, and other charges of $1.7 million and $11.4 million, respectively. Also included in the amount for the nine months ended September 30, 2018 is accelerated depreciation of $35.2 million. See Note 4. Restructuring of the Condensed Consolidated Financial Statements included in Part I, Item 1 for discussion of our material restructuring initiatives.</w:t>
      </w:r>
    </w:p>
    <w:p>
      <w:pPr>
        <w:spacing w:after="0" w:line="2" w:lineRule="exact"/>
        <w:rPr>
          <w:rFonts w:ascii="Arial" w:cs="Arial" w:eastAsia="Arial" w:hAnsi="Arial"/>
          <w:sz w:val="14"/>
          <w:szCs w:val="14"/>
          <w:color w:val="auto"/>
        </w:rPr>
      </w:pPr>
    </w:p>
    <w:p>
      <w:pPr>
        <w:ind w:left="580" w:right="680" w:hanging="329"/>
        <w:spacing w:after="0" w:line="247" w:lineRule="auto"/>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include adjustments to our accruals for litigation-related settlement charges and certain settlement proceeds related to suits filed by our subsidiaries. Our material legal proceedings and other contingent matters are described in more detail in Note 13. Commitments and Contingencies.</w:t>
      </w:r>
    </w:p>
    <w:p>
      <w:pPr>
        <w:ind w:left="580" w:hanging="329"/>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as further described in Note 9. Goodwill and Other Intangibles.</w:t>
      </w:r>
    </w:p>
    <w:p>
      <w:pPr>
        <w:spacing w:after="0" w:line="6" w:lineRule="exact"/>
        <w:rPr>
          <w:rFonts w:ascii="Arial" w:cs="Arial" w:eastAsia="Arial" w:hAnsi="Arial"/>
          <w:sz w:val="14"/>
          <w:szCs w:val="14"/>
          <w:color w:val="auto"/>
        </w:rPr>
      </w:pPr>
    </w:p>
    <w:p>
      <w:pPr>
        <w:ind w:left="580" w:hanging="329"/>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primarily relate to changes in the fair value of contingent consideration.</w:t>
      </w:r>
    </w:p>
    <w:p>
      <w:pPr>
        <w:spacing w:after="0" w:line="1" w:lineRule="exact"/>
        <w:rPr>
          <w:rFonts w:ascii="Arial" w:cs="Arial" w:eastAsia="Arial" w:hAnsi="Arial"/>
          <w:sz w:val="14"/>
          <w:szCs w:val="14"/>
          <w:color w:val="auto"/>
        </w:rPr>
      </w:pPr>
    </w:p>
    <w:p>
      <w:pPr>
        <w:ind w:left="580" w:hanging="329"/>
        <w:spacing w:after="0" w:line="248" w:lineRule="auto"/>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during the three and nine months ended September 30, 2019 include $17.5 million for contract termination costs incurred as a result of certain product discontinuation activities in our International Pharmaceuticals segment and $14.1 million for a premium associated with an extended reporting period endorsement on an expiring insurance program. The remaining amounts primarily relate to gains on sales of businesses and other assets.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principal source of liquidity is cash generated from operations. Our principal liquidity requirements are primarily for working capital for operations, licenses, milestone payments, capital expenditures, acquisitions, contingent liabilities, debt service payments and litigation-related matters, including vaginal mesh liability payments. The Company’s working capital was $981.4 million at September 30, 2019 compared to working capital of $393.1 million at December 31, 2018. The amounts at September 30, 2019 and December 31, 2018 include restricted cash and cash equivalents of $221.6 million and $299.7 million, respectively, held in QSFs for mesh-related matters. Although these amounts in QSFs are included in working capital, they are required to be used for mesh product liability settlement agreements.</w:t>
      </w:r>
    </w:p>
    <w:p>
      <w:pPr>
        <w:spacing w:after="0" w:line="8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Cash and cash equivalents, which primarily consisted of bank deposits and money market accounts, totaled $1,526.3 million at September 30, 2019 compared to $1,149.1 million at December 31, 2018. We expect our operating cash flows, together with our cash, cash equivalents, restricted cash and restricted cash equivalents to be sufficient to cover our principal liquidity requirements over the next year. However, on a longer 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expenses in connection with our business operations, including expenses related to our ongoing and future legal proceedings and governmental investigations and other contingent liabilities. Furthermore, we may not be successful in implementing, or may face unexpected changes or expenses in connection with our strategic direction, including the potential for opportunistic corporate development transactions. Any of the above could have a material adverse effect on our business, financial condition, results of operations and cash flows.</w:t>
      </w:r>
    </w:p>
    <w:p>
      <w:pPr>
        <w:spacing w:after="0" w:line="70"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From time to time, we may seek to enter into certain transactions to reduce the extent of our leverage and/or interest expense and/or to extend the maturities of our outstanding indebtedness. Such transactions could include, for example, transactions to exchange existing indebtedness for our ordinary shares, to issue equity (including convertible securities) or to repurchase, redeem or refinance our existing indebtedness (including the Credit Agreement). In order to finance any such transactions, we may need to obtain additional funding. Any of these transactions could impact our liquidity.</w:t>
      </w:r>
    </w:p>
    <w:p>
      <w:pPr>
        <w:spacing w:after="0" w:line="6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may also require additional financing to fund our future operational needs or for future corporate transactions, including acquisitions. We have historically had broad access to financial markets that provide liquidity; however, we cannot be certain that funding will be available to us in the future on terms acceptable to us, or at all. Any issuances of equity securities or convertible securities, in connection with an acquisition or otherwise, could have a dilutive effect on the ownership interest of our current shareholders and may adversely impact net income per share in future periods. An acquisition may be accretive or dilutive and, by its nature, involves numerous risks and uncertainties. As a result of acquisition efforts, if any, we are likely to experience significant charges to earnings for merger and related expenses (whether or not the acquisitions are consummated) that may include transaction costs, closure costs or costs of restructuring activities.</w:t>
      </w:r>
    </w:p>
    <w:p>
      <w:pPr>
        <w:spacing w:after="0" w:line="8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Borrowings. </w:t>
      </w:r>
      <w:r>
        <w:rPr>
          <w:rFonts w:ascii="Arial" w:cs="Arial" w:eastAsia="Arial" w:hAnsi="Arial"/>
          <w:sz w:val="18"/>
          <w:szCs w:val="18"/>
          <w:color w:val="auto"/>
        </w:rPr>
        <w:t>The Company and/or certain of its subsidiaries are party to the Credit Agreement, which governs the Credit Facilities, and the indentures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governing our various senior secured and senior unsecured notes. As of September 30, 2019, approximately $3.3 billion was outstanding under the Term Loan Facility, approximately $0.3 billion was outstanding under the Revolving Credit Facility and approximately $4.8 billion was outstanding under the senior secured and senior unsecured notes.</w:t>
      </w:r>
    </w:p>
    <w:p>
      <w:pPr>
        <w:spacing w:after="0" w:line="79"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The $0.3 billion outstanding under the Revolving Credit Facility was borrowed by the Company in June 2019. The proceeds will be used for purposes consistent with the Company’s previously stated capital allocation priorities, including for general corporate purposes. After giving effect to this transaction and previously issued and outstanding letters of credit, approximately $696.8 million of remaining credit was available under the Revolving Credit Facility at September 30, 2019. However, the Company’s debt agreements contain certain conditions that limit the Company’s ability to incur additional secured indebtedness, including borrowings under the Revolving Credit Facility, which significantly restrict the Company’s access to this remaining available credit.</w:t>
      </w:r>
    </w:p>
    <w:p>
      <w:pPr>
        <w:spacing w:after="0" w:line="5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and its subsidiaries, with certain customary exceptions, guarantee or serve as issuers or borrowers of the debt instruments representing substantially all of the Company’s indebtedness at September 30, 2019.</w:t>
      </w:r>
    </w:p>
    <w:p>
      <w:pPr>
        <w:spacing w:after="0" w:line="62"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The Credit Agreement contains affirmative and negative covenants that the Company believes to be usual and customary for a senior secured credit facility of this type. The negative covenants include, among other things, limitations on asset sales, mergers and acquisitions, indebtedness, liens, dividends and other restricted payments, investments and transactions with the Company’s affiliates. As of September 30, 2019 and December 31, 2018, we were in compliance with all such covenants.</w:t>
      </w:r>
    </w:p>
    <w:p>
      <w:pPr>
        <w:spacing w:after="0" w:line="79"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The Company’s notes mature between 2022 and 2027, subject to earlier repurchase or redemption in accordance with the terms of the respective indentures. Interest rates on these notes range from 5.375% to 7.50%. Certain of these notes are senior unsecured obligations of the Company’s subsidiaries party to the applicable indentures governing such notes.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The indentures governing our various senior notes contain affirmative and negative covenants that the Company believes to be usual and customary for similar indentures. Under the senior secured notes indentures, the negative covenants, among other things, restrict the Company’s ability and the ability of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Company or any of its restricted subsidiaries; create certain liens; merge, consolidate or sell all or substantially all of the Company’s assets; enter into certain transactions with affiliates or designate subsidiaries as unrestricted subsidiaries. Under the senior unsecured notes indentures, the negative covenants, among other things, restrict the ability of Endo Designated Activity Company and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issuer or any of the restricted subsidiaries; create certain liens; merge, consolidate or sell all or substantially all of Endo Designated Activity Company’s, its co-issuers’ or guarantors’ assets; enter into certain transactions with affiliates or designate subsidiaries as unrestricted subsidiaries. These covenants are subject to a number of exceptions and qualifications, including the fall away or revision of certain of these covenants and release of collateral in the case of the senior secured notes, upon the notes receiving investment grade credit ratings. As of September 30, 2019 and December 31, 2018, we were in compliance with all such covenants.</w:t>
      </w:r>
    </w:p>
    <w:p>
      <w:pPr>
        <w:spacing w:after="0" w:line="77" w:lineRule="exact"/>
        <w:rPr>
          <w:sz w:val="20"/>
          <w:szCs w:val="20"/>
          <w:color w:val="auto"/>
        </w:rPr>
      </w:pPr>
    </w:p>
    <w:p>
      <w:pPr>
        <w:ind w:right="500" w:firstLine="486"/>
        <w:spacing w:after="0" w:line="264" w:lineRule="auto"/>
        <w:rPr>
          <w:sz w:val="20"/>
          <w:szCs w:val="20"/>
          <w:color w:val="auto"/>
        </w:rPr>
      </w:pPr>
      <w:r>
        <w:rPr>
          <w:rFonts w:ascii="Arial" w:cs="Arial" w:eastAsia="Arial" w:hAnsi="Arial"/>
          <w:sz w:val="18"/>
          <w:szCs w:val="18"/>
          <w:color w:val="auto"/>
        </w:rPr>
        <w:t xml:space="preserve">The obligations under (i) the Credit Agreement and related loan documents and (ii) the indentures governing the senior secured notes and related documents are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by a perfected first priority (subject to certain permitted liens) lien on substantially all of the assets of the borrowers and the guarantors (subject to customary exceptions).</w:t>
      </w:r>
    </w:p>
    <w:p>
      <w:pPr>
        <w:spacing w:after="0" w:line="7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The Company’s corporate credit ratings assigned by Moody’s Investors Service and Standard &amp; Poor’s are B3 with a stable outlook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 with a negative outlook, respectively.</w:t>
      </w:r>
    </w:p>
    <w:p>
      <w:pPr>
        <w:spacing w:after="0" w:line="62"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components of our working capital and our liquidity at September 30, 2019 and December 31, 2018 are below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2,649,135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2,343,150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total current liabilities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1,667,727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1,950,096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981,408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393,054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Current ratio (total current assets divided by total current liabilities)</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w:t>
            </w:r>
          </w:p>
        </w:tc>
      </w:tr>
    </w:tbl>
    <w:p>
      <w:pPr>
        <w:spacing w:after="0" w:line="12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Net working capital increased by $588.4 million from December 31, 2018 to September 30, 2019. This increase primarily reflects the increase to cash of $300.0 million as a result of the June 2019 borrowing under the Revolving Credit Facility and the favorable impact to net current assets resulting from operations during the nine months ended September 30, 2019. This activity was partially offset by certain items that occurred during the nine months ended September 30, 2019 including, but not limited to, the impact of adopting ASC 842, which resulted in a net decrease to working capital of approximately $10.7 million, purchases of property, plant and equipment, excluding capitalized interest, of $47.8 million and our incurrence of financing fees in connection with the March 2019 Refinancing Transactions.</w:t>
      </w:r>
    </w:p>
    <w:p>
      <w:pPr>
        <w:spacing w:after="0" w:line="8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following table summarizes our Condensed Consolidated Statements of Cash Flows for the nine months ended September 30,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119,244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196,992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219,564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(62,808)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in cash, cash equivalents, restricted cash and restricted cash equivalents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294,261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119,894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represents the cash receipts and cash disbursements from all of our activities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activities and financing activities. Changes in cash from operating activities reflect, among other things, the timing of cash collections from customers, payments to suppliers, managed care organizations, government agencies, collaborative partners and employees, as well as tax payments and refunds in the ordinary course of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40" w:firstLine="486"/>
        <w:spacing w:after="0" w:line="274" w:lineRule="auto"/>
        <w:rPr>
          <w:sz w:val="20"/>
          <w:szCs w:val="20"/>
          <w:color w:val="auto"/>
        </w:rPr>
      </w:pPr>
      <w:r>
        <w:rPr>
          <w:rFonts w:ascii="Arial" w:cs="Arial" w:eastAsia="Arial" w:hAnsi="Arial"/>
          <w:sz w:val="16"/>
          <w:szCs w:val="16"/>
          <w:color w:val="auto"/>
        </w:rPr>
        <w:t>The $77.7 million decrease in Net cash provided by operating activities during the nine months ended September 30, 2019 compared to the prior year period was primarily due to our results of operations as described above and the timing of cash collections and cash payments related to our operations. Included within this decrease were the impacts of increased cash outflows for certain mesh-related and LIDODERM</w:t>
      </w:r>
      <w:r>
        <w:rPr>
          <w:rFonts w:ascii="Arial" w:cs="Arial" w:eastAsia="Arial" w:hAnsi="Arial"/>
          <w:sz w:val="22"/>
          <w:szCs w:val="22"/>
          <w:color w:val="auto"/>
          <w:vertAlign w:val="superscript"/>
        </w:rPr>
        <w:t>®</w:t>
      </w:r>
      <w:r>
        <w:rPr>
          <w:rFonts w:ascii="Arial" w:cs="Arial" w:eastAsia="Arial" w:hAnsi="Arial"/>
          <w:sz w:val="16"/>
          <w:szCs w:val="16"/>
          <w:color w:val="auto"/>
        </w:rPr>
        <w:t>-related matters of approximately $14.7 million and $30.0 million, respectively. Additionally, we increased inventory levels during the nine months ended September 30, 2019 in advance of certain recent and planned future product launches, which utilized cash. We expect that payments for previously accrued legal matters, which are further discussed in Note 13. Commitments and Contingencies of the Condensed Consolidated Financial Statements included in Part I, Item 1, and the potential increases to interest expense discussed above will continue to impact our Net cash provided by operating activities in future periods.</w:t>
      </w:r>
    </w:p>
    <w:p>
      <w:pPr>
        <w:spacing w:after="0" w:line="72"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$31.6 million increase in Net cash used in investing activities during the nine months ended September 30, 2019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reflects a decrease in Proceeds from sale of business and other assets, net of $39.0 million, offset in part by a decrease in Purchases of property, plant and equipment, excluding capitalized interest of $8.7 million.</w:t>
      </w:r>
    </w:p>
    <w:p>
      <w:pPr>
        <w:spacing w:after="0" w:line="73" w:lineRule="exact"/>
        <w:rPr>
          <w:sz w:val="20"/>
          <w:szCs w:val="20"/>
          <w:color w:val="auto"/>
        </w:rPr>
      </w:pPr>
    </w:p>
    <w:p>
      <w:pPr>
        <w:ind w:right="380" w:firstLine="486"/>
        <w:spacing w:after="0" w:line="297"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During the nine months ended September 30, 2019, Net cash provided by financing activities related primarily to the $300.0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June 2019 borrowing under the Revolving Credit Facility. The proceeds from this transaction were offset by Repayments of term loans of $25.6 million, Payments for contingent consideration of $11.8 million, Payments of tax withholding for restricted shares of $10.1 million, Repayments of other indebtedness of $7.8 million and the net effect of the March 2019 Refinancing Transactions, which resulted in Proceeds from issuance of notes, net of $1,483.1 million, cash used for Repayments of notes totaling $1,500.0 million and Payments for debt issuance and extinguishment costs of $6.4 million.</w:t>
      </w:r>
    </w:p>
    <w:p>
      <w:pPr>
        <w:spacing w:after="0" w:line="5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During the nine months ended September 30, 2018, Net cash used in financing activities related primarily to Payments for contingent consideration of $28.7 million, Repayments of term loans of $25.6 million and Payments of tax withholding for restricted shares of $5.1 million.</w:t>
      </w:r>
    </w:p>
    <w:p>
      <w:pPr>
        <w:spacing w:after="0" w:line="62"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b w:val="1"/>
          <w:bCs w:val="1"/>
          <w:i w:val="1"/>
          <w:iCs w:val="1"/>
          <w:color w:val="auto"/>
        </w:rPr>
        <w:t xml:space="preserve">Contractual Obligations. </w:t>
      </w:r>
      <w:r>
        <w:rPr>
          <w:rFonts w:ascii="Arial" w:cs="Arial" w:eastAsia="Arial" w:hAnsi="Arial"/>
          <w:sz w:val="16"/>
          <w:szCs w:val="16"/>
          <w:color w:val="auto"/>
        </w:rPr>
        <w:t>As of September 30, 2019, there were no material changes in our contractual obligations from those disclosed in the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 except for those related to the financing transactions described in Note 12. Debt of the Condensed Consolidated Financial Statements included in Part I, Item 1. Additionally, Note 8. Leases of the Condensed Consolidated Financial Statements included in Part I, Item 1 includes the undiscounted amounts of future cash flows included in our lease liabilities at September 30, 2019 for each of the five years subsequent to December 31, 2018 and thereafter.</w:t>
      </w:r>
    </w:p>
    <w:p>
      <w:pPr>
        <w:spacing w:after="0" w:line="46"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b w:val="1"/>
          <w:bCs w:val="1"/>
          <w:i w:val="1"/>
          <w:iCs w:val="1"/>
          <w:color w:val="auto"/>
        </w:rPr>
        <w:t xml:space="preserve">Fluctuations. </w:t>
      </w:r>
      <w:r>
        <w:rPr>
          <w:rFonts w:ascii="Arial" w:cs="Arial" w:eastAsia="Arial" w:hAnsi="Arial"/>
          <w:sz w:val="16"/>
          <w:szCs w:val="16"/>
          <w:color w:val="auto"/>
        </w:rPr>
        <w:t>Our quarterly results have fluctuated in the past and may continue to fluctuate. These fluctuations may be due to the timing of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launches, purchasing patterns of our customers, market acceptance of our products, the impact of competitive products and pricing, certain actions taken by us which may impact the availability of our products, asset impairment charges, litigation-related charges, restructuring costs including separation benefits, business combination transaction costs, the impact of financing transactions, upfront, milestone and certain other payments made or accrued pursuant to licensing agreements and changes in the fair value of financial instruments and contingent assets and liabilities recorded as part of business combinations. Further, a substantial portion of our total revenues are through three wholesale drug distributors who in turn supply our products to pharmacies, hospitals and physicians. Accordingly, we are potentially subject to a concentration of credit risk with respect to our trade receivables.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We do not believe that inflation had a material adverse effect on our financial statements for the periods presented.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 as defined in Item 303(a)(4) of Regulation 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Significant changes to our critical accounting estimates since December 31, 2018 are detailed below. For additional discussion of the Company’s critical accounting estimates, see “Critical Accounting Estimates” in Item 7 of the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further described in Note 9. Goodwill and Other Intangibles of the Condensed Consolidated Financial Statements included in Part I, Item 1, we recorded pre-tax, non-cash goodwill impairment charges relating to our Generic Pharmaceuticals reporting unit of $86.0 million and $65.1 million during the first and second quarters of 2019, respectively. Following the second-quarter 2019 impairment, there was no remaining goodwill associated with this reporting unit.</w:t>
      </w:r>
    </w:p>
    <w:p>
      <w:pPr>
        <w:spacing w:after="0" w:line="79"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 of our reporting units, and could result in the fair value of a reporting unit being less than its carrying amount in the impairment test. Any resulting non-cash impairment charges could be material.</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18" w:right="2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 xml:space="preserve">In August 2019, the Canadian government issued the final draft of the </w:t>
      </w:r>
      <w:r>
        <w:rPr>
          <w:rFonts w:ascii="Arial" w:cs="Arial" w:eastAsia="Arial" w:hAnsi="Arial"/>
          <w:sz w:val="17"/>
          <w:szCs w:val="17"/>
          <w:i w:val="1"/>
          <w:iCs w:val="1"/>
          <w:color w:val="auto"/>
        </w:rPr>
        <w:t>Regulations Amending the Patented Medicines Regulations (Additional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and Information Reporting Requirements)</w:t>
      </w:r>
      <w:r>
        <w:rPr>
          <w:rFonts w:ascii="Arial" w:cs="Arial" w:eastAsia="Arial" w:hAnsi="Arial"/>
          <w:sz w:val="17"/>
          <w:szCs w:val="17"/>
          <w:color w:val="auto"/>
        </w:rPr>
        <w:t>, which will become effective July 1, 2020. Final implementation guidelines are expected in February 2020.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will continue to evaluate what effect, if any, the implementation of these regulations will have on the Company. These regulations could have a material adverse effect on the business, financial condition, results of operations and cash flows of the International Pharmaceuticals segment and could result in pre-tax non-cash asset impairment charges, which could be material. As of September 30, 2019, our International Pharmaceuticals segment had other intangible assets and goodwill of $125.6 million and $55.3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For a discussion of recent accounting pronouncements, refer to Note 2. Summary of Significant Accounting Policies of the Condensed Consolidated Financial Statements included in Part I, Item 1.</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Market risk is the potential loss arising from adverse changes in the financial markets, including interest rates and foreign currency exchange rates.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exposure to interest rate risk relates primarily to our variable-rate indebtedness associated with our Credit Facilities. At September 30, 2019 and December 31, 2018, the aggregate principal amounts of such variable-rate indebtedness were $3,638.2 million and $3,363.8 million, respectively. Borrowings under the Credit Facilities may from time to time bear interest at variable rates, as further described in Note 12. Debt of the Condensed Consolidated Financial Statements included in Part I, Item 1, in certain cases subject to a floor. At September 30, 2019 and December 31, 2018, a hypothetical 1% increase in the applicable rate over the floor would have resulted in $36.4 million and $33.6 million, respectively, of incremental interest expense (representing the annual rate of expense) related to our variable-rate debt borrowings.</w:t>
      </w:r>
    </w:p>
    <w:p>
      <w:pPr>
        <w:spacing w:after="0" w:line="8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To the extent that we utilize additional amounts under the Revolving Credit Facility or otherwise increase the amount of our variable-rate indebtedness, we will be exposed to additional interest rate risk.</w:t>
      </w:r>
    </w:p>
    <w:p>
      <w:pPr>
        <w:spacing w:after="0" w:line="62" w:lineRule="exact"/>
        <w:rPr>
          <w:sz w:val="20"/>
          <w:szCs w:val="20"/>
          <w:color w:val="auto"/>
        </w:rPr>
      </w:pPr>
    </w:p>
    <w:p>
      <w:pPr>
        <w:ind w:left="260" w:right="1760" w:firstLine="243"/>
        <w:spacing w:after="0" w:line="375" w:lineRule="auto"/>
        <w:rPr>
          <w:sz w:val="20"/>
          <w:szCs w:val="20"/>
          <w:color w:val="auto"/>
        </w:rPr>
      </w:pPr>
      <w:r>
        <w:rPr>
          <w:rFonts w:ascii="Arial" w:cs="Arial" w:eastAsia="Arial" w:hAnsi="Arial"/>
          <w:sz w:val="18"/>
          <w:szCs w:val="18"/>
          <w:color w:val="auto"/>
        </w:rPr>
        <w:t xml:space="preserve">As of September 30, 2019 and December 31, 2018, we had no other assets or liabilities with significant interest rate sensitivity. </w:t>
      </w:r>
      <w:r>
        <w:rPr>
          <w:rFonts w:ascii="Arial" w:cs="Arial" w:eastAsia="Arial" w:hAnsi="Arial"/>
          <w:sz w:val="18"/>
          <w:szCs w:val="18"/>
          <w:i w:val="1"/>
          <w:iCs w:val="1"/>
          <w:color w:val="auto"/>
        </w:rPr>
        <w:t>Foreign Currency Exchange Rate Risk</w:t>
      </w:r>
    </w:p>
    <w:p>
      <w:pPr>
        <w:spacing w:after="0" w:line="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the Company’s results of operations.</w:t>
      </w:r>
    </w:p>
    <w:p>
      <w:pPr>
        <w:spacing w:after="0" w:line="81"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All assets and liabilities of our international subsidiaries, which maintain their financial statements in local currency, are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expense (income), net in the Condensed Consolidated Statements of Operations. Refer to Note 16. Other Expense (Income), Net of the Condensed Consolidated Financial Statements included in Part I, Item 1 for the amount of Foreign currency loss (gain), net.</w:t>
      </w:r>
    </w:p>
    <w:p>
      <w:pPr>
        <w:spacing w:after="0" w:line="64" w:lineRule="exact"/>
        <w:rPr>
          <w:sz w:val="20"/>
          <w:szCs w:val="20"/>
          <w:color w:val="auto"/>
        </w:rPr>
      </w:pPr>
    </w:p>
    <w:p>
      <w:pPr>
        <w:ind w:right="300" w:firstLine="486"/>
        <w:spacing w:after="0" w:line="257" w:lineRule="auto"/>
        <w:rPr>
          <w:sz w:val="20"/>
          <w:szCs w:val="20"/>
          <w:color w:val="auto"/>
        </w:rPr>
      </w:pPr>
      <w:r>
        <w:rPr>
          <w:rFonts w:ascii="Arial" w:cs="Arial" w:eastAsia="Arial" w:hAnsi="Arial"/>
          <w:sz w:val="18"/>
          <w:szCs w:val="18"/>
          <w:color w:val="auto"/>
        </w:rPr>
        <w:t>Based on the Company’s significant foreign currency denominated intercompany loans, we separately considered the hypothetical impact of a 10% change in the underlying currencies of our foreign currency denominated intercompany loans, relative to the U.S. Dollar, at September 30, 2019 and December 31, 2018. A 10% change at September 30, 2019 would have resulted in approximately $10 million in incremental foreign currency losses on September 30, 2019. A 10% change at December 31, 2018 would have resulted in approximately $9 million in incremental foreign currency losses on December 31, 2018.</w:t>
      </w:r>
    </w:p>
    <w:p>
      <w:pPr>
        <w:spacing w:after="0" w:line="1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September 30, 2019. Based on that evaluation, the Company’s Chief Executive Officer and Principal Financial Officer concluded that the Company’s disclosure controls and procedures were effective as of September 30, 2019.</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18" w:right="2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ended September 30, 2019 that have materially affected, or are reasonably likely to materially affect, the Company’s internal control over financial reporting.</w:t>
      </w:r>
    </w:p>
    <w:p>
      <w:pPr>
        <w:spacing w:after="0" w:line="1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118" w:right="4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disclosures under Note 13. Commitments and Contingencies of the Condensed Consolidated Financial Statements included in Part I, Item 1 are incorporated into this Part II, Item 1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For a discussion of our risk factors, see the information in Part 1, Item 1A. “Risk Factors” in the Annual Report and the information in Part II, Item 1A under the caption “Risk Factors” of our Quarterly Reports on Form 10-Q for the quarterly periods ended March 31, 2019 and June 30, 2019.</w:t>
      </w:r>
    </w:p>
    <w:p>
      <w:pPr>
        <w:spacing w:after="0" w:line="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purchases or sales of equity securities by the Company during the three months ended September 30, 2019.</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5840" w:type="dxa"/>
            <w:vAlign w:val="bottom"/>
            <w:gridSpan w:val="13"/>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6520" w:type="dxa"/>
            <w:vAlign w:val="bottom"/>
            <w:gridSpan w:val="15"/>
          </w:tcPr>
          <w:p>
            <w:pPr>
              <w:ind w:left="460"/>
              <w:spacing w:after="0"/>
              <w:rPr>
                <w:sz w:val="20"/>
                <w:szCs w:val="20"/>
                <w:color w:val="auto"/>
              </w:rPr>
            </w:pPr>
            <w:r>
              <w:rPr>
                <w:rFonts w:ascii="Arial" w:cs="Arial" w:eastAsia="Arial" w:hAnsi="Arial"/>
                <w:sz w:val="18"/>
                <w:szCs w:val="18"/>
                <w:color w:val="auto"/>
              </w:rPr>
              <w:t>None.</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8"/>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5840" w:type="dxa"/>
            <w:vAlign w:val="bottom"/>
            <w:gridSpan w:val="13"/>
          </w:tcPr>
          <w:p>
            <w:pPr>
              <w:spacing w:after="0"/>
              <w:rPr>
                <w:sz w:val="20"/>
                <w:szCs w:val="20"/>
                <w:color w:val="auto"/>
              </w:rPr>
            </w:pPr>
            <w:r>
              <w:rPr>
                <w:rFonts w:ascii="Arial" w:cs="Arial" w:eastAsia="Arial" w:hAnsi="Arial"/>
                <w:sz w:val="18"/>
                <w:szCs w:val="18"/>
                <w:b w:val="1"/>
                <w:bCs w:val="1"/>
                <w:color w:val="auto"/>
              </w:rPr>
              <w:t>Exhibits</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560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File Number</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680" w:type="dxa"/>
            <w:vAlign w:val="bottom"/>
          </w:tcPr>
          <w:p>
            <w:pPr>
              <w:spacing w:after="0"/>
              <w:rPr>
                <w:sz w:val="20"/>
                <w:szCs w:val="20"/>
                <w:color w:val="auto"/>
              </w:rPr>
            </w:pPr>
            <w:r>
              <w:rPr>
                <w:rFonts w:ascii="Arial" w:cs="Arial" w:eastAsia="Arial" w:hAnsi="Arial"/>
                <w:sz w:val="14"/>
                <w:szCs w:val="14"/>
                <w:b w:val="1"/>
                <w:bCs w:val="1"/>
                <w:color w:val="auto"/>
                <w:w w:val="92"/>
              </w:rPr>
              <w:t>Filing Date</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23"/>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Supplemental Indenture, dated as of March 27, 2019, among Endo Finance</w:t>
              </w:r>
            </w:hyperlink>
          </w:p>
        </w:tc>
        <w:tc>
          <w:tcPr>
            <w:tcW w:w="200" w:type="dxa"/>
            <w:vAlign w:val="bottom"/>
            <w:gridSpan w:val="4"/>
          </w:tcPr>
          <w:p>
            <w:pPr>
              <w:spacing w:after="0"/>
              <w:rPr>
                <w:sz w:val="19"/>
                <w:szCs w:val="19"/>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19"/>
                <w:szCs w:val="19"/>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LLC, Endo Finco Inc., the guarantors named therein and Wells Fargo Bank,</w:t>
              </w:r>
            </w:hyperlink>
          </w:p>
        </w:tc>
        <w:tc>
          <w:tcPr>
            <w:tcW w:w="14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0" w:type="dxa"/>
            <w:vAlign w:val="bottom"/>
            <w:gridSpan w:val="12"/>
          </w:tcPr>
          <w:p>
            <w:pPr>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National Association, as trustee, to the Indenture, dated May 6, 2014</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Supplemental Indenture, dated as of March 27, 2019, among Endo Finance</w:t>
              </w:r>
            </w:hyperlink>
          </w:p>
        </w:tc>
        <w:tc>
          <w:tcPr>
            <w:tcW w:w="200" w:type="dxa"/>
            <w:vAlign w:val="bottom"/>
            <w:gridSpan w:val="4"/>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w:anchor="page93">
              <w:r>
                <w:rPr>
                  <w:rFonts w:ascii="Arial" w:cs="Arial" w:eastAsia="Arial" w:hAnsi="Arial"/>
                  <w:sz w:val="18"/>
                  <w:szCs w:val="18"/>
                  <w:color w:val="0000FF"/>
                  <w:w w:val="90"/>
                </w:rPr>
                <w:t>LLC, Endo Finco Inc., the guarantors named therein and Wells Fargo Bank,</w:t>
              </w:r>
            </w:hyperlink>
          </w:p>
        </w:tc>
        <w:tc>
          <w:tcPr>
            <w:tcW w:w="14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6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w:anchor="page93">
              <w:r>
                <w:rPr>
                  <w:rFonts w:ascii="Arial" w:cs="Arial" w:eastAsia="Arial" w:hAnsi="Arial"/>
                  <w:sz w:val="18"/>
                  <w:szCs w:val="18"/>
                  <w:color w:val="0000FF"/>
                  <w:w w:val="89"/>
                </w:rPr>
                <w:t>National Association, as trustee, to the Indenture, dated December 19, 2013</w:t>
              </w:r>
            </w:hyperlink>
          </w:p>
        </w:tc>
        <w:tc>
          <w:tcPr>
            <w:tcW w:w="14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4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129">
              <w:r>
                <w:rPr>
                  <w:rFonts w:ascii="Arial" w:cs="Arial" w:eastAsia="Arial" w:hAnsi="Arial"/>
                  <w:sz w:val="18"/>
                  <w:szCs w:val="18"/>
                  <w:color w:val="0000FF"/>
                  <w:w w:val="91"/>
                </w:rPr>
                <w:t>Certification of the President and Chief Executive Officer of Endo pursuant</w:t>
              </w:r>
            </w:hyperlink>
          </w:p>
        </w:tc>
        <w:tc>
          <w:tcPr>
            <w:tcW w:w="160" w:type="dxa"/>
            <w:vAlign w:val="bottom"/>
            <w:gridSpan w:val="3"/>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w:anchor="page129">
              <w:r>
                <w:rPr>
                  <w:rFonts w:ascii="Arial" w:cs="Arial" w:eastAsia="Arial" w:hAnsi="Arial"/>
                  <w:sz w:val="18"/>
                  <w:szCs w:val="18"/>
                  <w:color w:val="0000FF"/>
                  <w:w w:val="90"/>
                </w:rPr>
                <w:t>to Section 302 of the Sarbanes-Oxley Act of 2002</w:t>
              </w:r>
            </w:hyperlink>
          </w:p>
        </w:tc>
        <w:tc>
          <w:tcPr>
            <w:tcW w:w="200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6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130">
              <w:r>
                <w:rPr>
                  <w:rFonts w:ascii="Arial" w:cs="Arial" w:eastAsia="Arial" w:hAnsi="Arial"/>
                  <w:sz w:val="18"/>
                  <w:szCs w:val="18"/>
                  <w:color w:val="0000FF"/>
                  <w:w w:val="92"/>
                </w:rPr>
                <w:t>Certification of the Chief Financial Officer of Endo pursuant to Section 302</w:t>
              </w:r>
            </w:hyperlink>
          </w:p>
        </w:tc>
        <w:tc>
          <w:tcPr>
            <w:tcW w:w="140" w:type="dxa"/>
            <w:vAlign w:val="bottom"/>
            <w:gridSpan w:val="2"/>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0" w:type="dxa"/>
            <w:vAlign w:val="bottom"/>
            <w:gridSpan w:val="12"/>
          </w:tcPr>
          <w:p>
            <w:pPr>
              <w:spacing w:after="0" w:line="196" w:lineRule="exact"/>
              <w:rPr>
                <w:rFonts w:ascii="Arial" w:cs="Arial" w:eastAsia="Arial" w:hAnsi="Arial"/>
                <w:sz w:val="18"/>
                <w:szCs w:val="18"/>
                <w:color w:val="0000FF"/>
              </w:rPr>
            </w:pPr>
            <w:hyperlink w:anchor="page130">
              <w:r>
                <w:rPr>
                  <w:rFonts w:ascii="Arial" w:cs="Arial" w:eastAsia="Arial" w:hAnsi="Arial"/>
                  <w:sz w:val="18"/>
                  <w:szCs w:val="18"/>
                  <w:color w:val="0000FF"/>
                </w:rPr>
                <w:t>of the Sarbanes-Oxley Act of 2002</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4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131">
              <w:r>
                <w:rPr>
                  <w:rFonts w:ascii="Arial" w:cs="Arial" w:eastAsia="Arial" w:hAnsi="Arial"/>
                  <w:sz w:val="18"/>
                  <w:szCs w:val="18"/>
                  <w:color w:val="0000FF"/>
                  <w:w w:val="91"/>
                </w:rPr>
                <w:t>Certification of the President and Chief Executive Officer of Endo pursuant</w:t>
              </w:r>
            </w:hyperlink>
          </w:p>
        </w:tc>
        <w:tc>
          <w:tcPr>
            <w:tcW w:w="160" w:type="dxa"/>
            <w:vAlign w:val="bottom"/>
            <w:gridSpan w:val="3"/>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furnished herewith</w:t>
            </w:r>
          </w:p>
        </w:tc>
        <w:tc>
          <w:tcPr>
            <w:tcW w:w="6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0" w:type="dxa"/>
            <w:vAlign w:val="bottom"/>
            <w:gridSpan w:val="12"/>
          </w:tcPr>
          <w:p>
            <w:pPr>
              <w:spacing w:after="0" w:line="196" w:lineRule="exact"/>
              <w:rPr>
                <w:rFonts w:ascii="Arial" w:cs="Arial" w:eastAsia="Arial" w:hAnsi="Arial"/>
                <w:sz w:val="18"/>
                <w:szCs w:val="18"/>
                <w:color w:val="0000FF"/>
              </w:rPr>
            </w:pPr>
            <w:hyperlink w:anchor="page131">
              <w:r>
                <w:rPr>
                  <w:rFonts w:ascii="Arial" w:cs="Arial" w:eastAsia="Arial" w:hAnsi="Arial"/>
                  <w:sz w:val="18"/>
                  <w:szCs w:val="18"/>
                  <w:color w:val="0000FF"/>
                </w:rPr>
                <w:t>to 18 U.S.C. Section 1350, as adopted pursuant to Section 906 of the</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4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131">
              <w:r>
                <w:rPr>
                  <w:rFonts w:ascii="Arial" w:cs="Arial" w:eastAsia="Arial" w:hAnsi="Arial"/>
                  <w:sz w:val="18"/>
                  <w:szCs w:val="18"/>
                  <w:color w:val="0000FF"/>
                </w:rPr>
                <w:t>Sarbanes-Oxley Act of 2002</w:t>
              </w:r>
            </w:hyperlink>
          </w:p>
        </w:tc>
        <w:tc>
          <w:tcPr>
            <w:tcW w:w="66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0" w:type="dxa"/>
            <w:vAlign w:val="bottom"/>
            <w:gridSpan w:val="12"/>
          </w:tcPr>
          <w:p>
            <w:pPr>
              <w:spacing w:after="0"/>
              <w:rPr>
                <w:rFonts w:ascii="Arial" w:cs="Arial" w:eastAsia="Arial" w:hAnsi="Arial"/>
                <w:sz w:val="18"/>
                <w:szCs w:val="18"/>
                <w:color w:val="0000FF"/>
                <w:w w:val="97"/>
              </w:rPr>
            </w:pPr>
            <w:hyperlink w:anchor="page132">
              <w:r>
                <w:rPr>
                  <w:rFonts w:ascii="Arial" w:cs="Arial" w:eastAsia="Arial" w:hAnsi="Arial"/>
                  <w:sz w:val="18"/>
                  <w:szCs w:val="18"/>
                  <w:color w:val="0000FF"/>
                  <w:w w:val="97"/>
                </w:rPr>
                <w:t>Certification of the Chief Financial Officer of Endo pursuant to 18 U.S.C.</w:t>
              </w:r>
            </w:hyperlink>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furnished herewith</w:t>
            </w:r>
          </w:p>
        </w:tc>
        <w:tc>
          <w:tcPr>
            <w:tcW w:w="6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760" w:type="dxa"/>
            <w:vAlign w:val="bottom"/>
            <w:gridSpan w:val="6"/>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0" w:type="dxa"/>
            <w:vAlign w:val="bottom"/>
            <w:gridSpan w:val="12"/>
          </w:tcPr>
          <w:p>
            <w:pPr>
              <w:spacing w:after="0" w:line="196" w:lineRule="exact"/>
              <w:rPr>
                <w:rFonts w:ascii="Arial" w:cs="Arial" w:eastAsia="Arial" w:hAnsi="Arial"/>
                <w:sz w:val="18"/>
                <w:szCs w:val="18"/>
                <w:color w:val="0000FF"/>
                <w:w w:val="90"/>
              </w:rPr>
            </w:pPr>
            <w:hyperlink w:anchor="page132">
              <w:r>
                <w:rPr>
                  <w:rFonts w:ascii="Arial" w:cs="Arial" w:eastAsia="Arial" w:hAnsi="Arial"/>
                  <w:sz w:val="18"/>
                  <w:szCs w:val="18"/>
                  <w:color w:val="0000FF"/>
                  <w:w w:val="90"/>
                </w:rPr>
                <w:t>Section 1350, as adopted pursuant to Section 906 of the Sarbanes-Oxley Act</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5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132">
              <w:r>
                <w:rPr>
                  <w:rFonts w:ascii="Arial" w:cs="Arial" w:eastAsia="Arial" w:hAnsi="Arial"/>
                  <w:sz w:val="18"/>
                  <w:szCs w:val="18"/>
                  <w:color w:val="0000FF"/>
                </w:rPr>
                <w:t>of 2002</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60" w:type="dxa"/>
            <w:vAlign w:val="bottom"/>
            <w:gridSpan w:val="11"/>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6"/>
        </w:trPr>
        <w:tc>
          <w:tcPr>
            <w:tcW w:w="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5600" w:type="dxa"/>
            <w:vAlign w:val="bottom"/>
            <w:gridSpan w:val="12"/>
          </w:tcPr>
          <w:p>
            <w:pPr>
              <w:spacing w:after="0"/>
              <w:rPr>
                <w:sz w:val="20"/>
                <w:szCs w:val="20"/>
                <w:color w:val="auto"/>
              </w:rPr>
            </w:pPr>
            <w:r>
              <w:rPr>
                <w:rFonts w:ascii="Arial" w:cs="Arial" w:eastAsia="Arial" w:hAnsi="Arial"/>
                <w:sz w:val="18"/>
                <w:szCs w:val="18"/>
                <w:color w:val="auto"/>
                <w:w w:val="94"/>
              </w:rPr>
              <w:t>XBRL Instance Document - the instance document does not appear in the</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12"/>
          </w:tcPr>
          <w:p>
            <w:pPr>
              <w:spacing w:after="0"/>
              <w:rPr>
                <w:sz w:val="20"/>
                <w:szCs w:val="20"/>
                <w:color w:val="auto"/>
              </w:rPr>
            </w:pPr>
            <w:r>
              <w:rPr>
                <w:rFonts w:ascii="Arial" w:cs="Arial" w:eastAsia="Arial" w:hAnsi="Arial"/>
                <w:sz w:val="18"/>
                <w:szCs w:val="18"/>
                <w:color w:val="auto"/>
                <w:w w:val="95"/>
              </w:rPr>
              <w:t>interactive data file because its XBRL tags are embedded within the inline</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12"/>
          </w:tcPr>
          <w:p>
            <w:pPr>
              <w:spacing w:after="0"/>
              <w:rPr>
                <w:sz w:val="20"/>
                <w:szCs w:val="20"/>
                <w:color w:val="auto"/>
              </w:rPr>
            </w:pPr>
            <w:r>
              <w:rPr>
                <w:rFonts w:ascii="Arial" w:cs="Arial" w:eastAsia="Arial" w:hAnsi="Arial"/>
                <w:sz w:val="18"/>
                <w:szCs w:val="18"/>
                <w:color w:val="auto"/>
              </w:rPr>
              <w:t>XBRL document.</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0"/>
              </w:rPr>
              <w:t>101.SCH</w:t>
            </w:r>
          </w:p>
        </w:tc>
        <w:tc>
          <w:tcPr>
            <w:tcW w:w="240" w:type="dxa"/>
            <w:vAlign w:val="bottom"/>
          </w:tcPr>
          <w:p>
            <w:pPr>
              <w:spacing w:after="0"/>
              <w:rPr>
                <w:sz w:val="23"/>
                <w:szCs w:val="23"/>
                <w:color w:val="auto"/>
              </w:rPr>
            </w:pPr>
          </w:p>
        </w:tc>
        <w:tc>
          <w:tcPr>
            <w:tcW w:w="56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4"/>
              </w:rPr>
              <w:t>101.CAL</w:t>
            </w:r>
          </w:p>
        </w:tc>
        <w:tc>
          <w:tcPr>
            <w:tcW w:w="240" w:type="dxa"/>
            <w:vAlign w:val="bottom"/>
          </w:tcPr>
          <w:p>
            <w:pPr>
              <w:spacing w:after="0"/>
              <w:rPr>
                <w:sz w:val="23"/>
                <w:szCs w:val="23"/>
                <w:color w:val="auto"/>
              </w:rPr>
            </w:pPr>
          </w:p>
        </w:tc>
        <w:tc>
          <w:tcPr>
            <w:tcW w:w="560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2"/>
              </w:rPr>
              <w:t>101.DEF</w:t>
            </w:r>
          </w:p>
        </w:tc>
        <w:tc>
          <w:tcPr>
            <w:tcW w:w="240" w:type="dxa"/>
            <w:vAlign w:val="bottom"/>
          </w:tcPr>
          <w:p>
            <w:pPr>
              <w:spacing w:after="0"/>
              <w:rPr>
                <w:sz w:val="23"/>
                <w:szCs w:val="23"/>
                <w:color w:val="auto"/>
              </w:rPr>
            </w:pPr>
          </w:p>
        </w:tc>
        <w:tc>
          <w:tcPr>
            <w:tcW w:w="560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5"/>
              </w:rPr>
              <w:t>101.LAB</w:t>
            </w:r>
          </w:p>
        </w:tc>
        <w:tc>
          <w:tcPr>
            <w:tcW w:w="240" w:type="dxa"/>
            <w:vAlign w:val="bottom"/>
          </w:tcPr>
          <w:p>
            <w:pPr>
              <w:spacing w:after="0"/>
              <w:rPr>
                <w:sz w:val="23"/>
                <w:szCs w:val="23"/>
                <w:color w:val="auto"/>
              </w:rPr>
            </w:pPr>
          </w:p>
        </w:tc>
        <w:tc>
          <w:tcPr>
            <w:tcW w:w="560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1"/>
              </w:rPr>
              <w:t>101.PRE</w:t>
            </w:r>
          </w:p>
        </w:tc>
        <w:tc>
          <w:tcPr>
            <w:tcW w:w="240" w:type="dxa"/>
            <w:vAlign w:val="bottom"/>
          </w:tcPr>
          <w:p>
            <w:pPr>
              <w:spacing w:after="0"/>
              <w:rPr>
                <w:sz w:val="23"/>
                <w:szCs w:val="23"/>
                <w:color w:val="auto"/>
              </w:rPr>
            </w:pPr>
          </w:p>
        </w:tc>
        <w:tc>
          <w:tcPr>
            <w:tcW w:w="560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r>
      <w:tr>
        <w:trPr>
          <w:trHeight w:val="486"/>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gridSpan w:val="7"/>
          </w:tcPr>
          <w:p>
            <w:pPr>
              <w:jc w:val="right"/>
              <w:ind w:right="10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60"/>
          </w:cols>
          <w:pgMar w:left="240" w:top="118" w:right="29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45021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48"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(Registrant)</w:t>
      </w:r>
    </w:p>
    <w:p>
      <w:pPr>
        <w:spacing w:after="0" w:line="200" w:lineRule="exact"/>
        <w:rPr>
          <w:sz w:val="20"/>
          <w:szCs w:val="20"/>
          <w:color w:val="auto"/>
        </w:rPr>
      </w:pPr>
    </w:p>
    <w:p>
      <w:pPr>
        <w:spacing w:after="0" w:line="22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45021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39"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Paul V. Campanelli</w:t>
      </w:r>
    </w:p>
    <w:p>
      <w:pPr>
        <w:spacing w:after="0" w:line="51"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President and Chief Executive Officer</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pacing w:after="0" w:line="20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45021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39"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Blaise Coleman</w:t>
      </w:r>
    </w:p>
    <w:p>
      <w:pPr>
        <w:spacing w:after="0" w:line="51"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Executive Vice President, Chief Financial Officer</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(Principal Financial Officer)</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4, 2019</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60"/>
          </w:cols>
          <w:pgMar w:left="240" w:top="118" w:right="39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4.1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SUPPLEMENTAL INDENTURE</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0"/>
          <w:szCs w:val="20"/>
          <w:color w:val="auto"/>
        </w:rPr>
        <w:t>SUPPLEMENTAL INDENTURE (this “</w:t>
      </w:r>
      <w:r>
        <w:rPr>
          <w:rFonts w:ascii="Arial" w:cs="Arial" w:eastAsia="Arial" w:hAnsi="Arial"/>
          <w:sz w:val="20"/>
          <w:szCs w:val="20"/>
          <w:b w:val="1"/>
          <w:bCs w:val="1"/>
          <w:color w:val="auto"/>
        </w:rPr>
        <w:t>Supplemental Indenture</w:t>
      </w:r>
      <w:r>
        <w:rPr>
          <w:rFonts w:ascii="Arial" w:cs="Arial" w:eastAsia="Arial" w:hAnsi="Arial"/>
          <w:sz w:val="20"/>
          <w:szCs w:val="20"/>
          <w:color w:val="auto"/>
        </w:rPr>
        <w:t>”), dated as of March 27, 2019, among Endo Finance LLC (formerly known as Endo Finance Co.), a Delaware limited liability company (the “</w:t>
      </w:r>
      <w:r>
        <w:rPr>
          <w:rFonts w:ascii="Arial" w:cs="Arial" w:eastAsia="Arial" w:hAnsi="Arial"/>
          <w:sz w:val="20"/>
          <w:szCs w:val="20"/>
          <w:b w:val="1"/>
          <w:bCs w:val="1"/>
          <w:color w:val="auto"/>
        </w:rPr>
        <w:t>Company</w:t>
      </w:r>
      <w:r>
        <w:rPr>
          <w:rFonts w:ascii="Arial" w:cs="Arial" w:eastAsia="Arial" w:hAnsi="Arial"/>
          <w:sz w:val="20"/>
          <w:szCs w:val="20"/>
          <w:color w:val="auto"/>
        </w:rPr>
        <w:t>”), Endo Finco Inc., a Delaware corporation (together with the Company, the “</w:t>
      </w:r>
      <w:r>
        <w:rPr>
          <w:rFonts w:ascii="Arial" w:cs="Arial" w:eastAsia="Arial" w:hAnsi="Arial"/>
          <w:sz w:val="20"/>
          <w:szCs w:val="20"/>
          <w:b w:val="1"/>
          <w:bCs w:val="1"/>
          <w:color w:val="auto"/>
        </w:rPr>
        <w:t>Issuers</w:t>
      </w:r>
      <w:r>
        <w:rPr>
          <w:rFonts w:ascii="Arial" w:cs="Arial" w:eastAsia="Arial" w:hAnsi="Arial"/>
          <w:sz w:val="20"/>
          <w:szCs w:val="20"/>
          <w:color w:val="auto"/>
        </w:rPr>
        <w:t>”), the Guarantors (as defined in the Indenture) and Wells Fargo Bank, National Association, as trustee under the Indenture referred to below (the “</w:t>
      </w:r>
      <w:r>
        <w:rPr>
          <w:rFonts w:ascii="Arial" w:cs="Arial" w:eastAsia="Arial" w:hAnsi="Arial"/>
          <w:sz w:val="20"/>
          <w:szCs w:val="20"/>
          <w:b w:val="1"/>
          <w:bCs w:val="1"/>
          <w:color w:val="auto"/>
        </w:rPr>
        <w:t>Trustee</w:t>
      </w:r>
      <w:r>
        <w:rPr>
          <w:rFonts w:ascii="Arial" w:cs="Arial" w:eastAsia="Arial" w:hAnsi="Arial"/>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16"/>
          <w:szCs w:val="16"/>
          <w:color w:val="auto"/>
        </w:rPr>
        <w:t>WHEREAS, the Issuers, have heretofore executed and delivered to the Trustee an indenture, dated as of May 6, 2014, as supplemented by a supplemental indenture, dated as of May 28, 2014, a supplemental indenture, dated as of July 10, 2014, a supplemental indenture, dated as of August 11, 2014, a supplemental indenture, dated as of December 22, 2014, a supplemental indenture, dated as of February 3, 2015, a supplemental indenture, dated as of March 20, 2015, a supplemental indenture, dated as of March 27, 2015, a supplemental indenture, dated as of June 24, 2015, a supplemental indenture, dated as of July 9, 2015, a supplemental indenture, dated as of September 30, 2015, a supplemental indenture, dated as of January 13, 2016, a supplemental indenture, dated as of April 4, 2016, a supplemental indenture, dated as of July 13, 2016, a supplemental indenture, dated as of October 18, 2016, a supplemental indenture, dated as of June 23, 2017, a supplemental indenture, dated as of January 3, 2018, a supplemental indenture, dated as of July 3, 2018, a supplemental indenture, dated as of December 24, 2018 and a supplemental indenture, dated as of March 4, 2019, in each case, among the Issuers, the Guarantors party thereto and the Trustee (as so supplemented, the “</w:t>
      </w:r>
      <w:r>
        <w:rPr>
          <w:rFonts w:ascii="Arial" w:cs="Arial" w:eastAsia="Arial" w:hAnsi="Arial"/>
          <w:sz w:val="16"/>
          <w:szCs w:val="16"/>
          <w:b w:val="1"/>
          <w:bCs w:val="1"/>
          <w:color w:val="auto"/>
        </w:rPr>
        <w:t>Indenture</w:t>
      </w:r>
      <w:r>
        <w:rPr>
          <w:rFonts w:ascii="Arial" w:cs="Arial" w:eastAsia="Arial" w:hAnsi="Arial"/>
          <w:sz w:val="16"/>
          <w:szCs w:val="16"/>
          <w:color w:val="auto"/>
        </w:rPr>
        <w:t>”), providing for the issuance of 7.25% Senior Notes due 2022 (the “</w:t>
      </w:r>
      <w:r>
        <w:rPr>
          <w:rFonts w:ascii="Arial" w:cs="Arial" w:eastAsia="Arial" w:hAnsi="Arial"/>
          <w:sz w:val="16"/>
          <w:szCs w:val="16"/>
          <w:b w:val="1"/>
          <w:bCs w:val="1"/>
          <w:color w:val="auto"/>
        </w:rPr>
        <w:t>Notes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color w:val="auto"/>
        </w:rPr>
        <w:t>WHEREAS, the Company, on behalf of the Issuers, has offered to purchase for cash any and all of the outstanding Notes from the registered holders (the “</w:t>
      </w:r>
      <w:r>
        <w:rPr>
          <w:rFonts w:ascii="Arial" w:cs="Arial" w:eastAsia="Arial" w:hAnsi="Arial"/>
          <w:sz w:val="18"/>
          <w:szCs w:val="18"/>
          <w:b w:val="1"/>
          <w:bCs w:val="1"/>
          <w:color w:val="auto"/>
        </w:rPr>
        <w:t>Holders</w:t>
      </w:r>
      <w:r>
        <w:rPr>
          <w:rFonts w:ascii="Arial" w:cs="Arial" w:eastAsia="Arial" w:hAnsi="Arial"/>
          <w:sz w:val="18"/>
          <w:szCs w:val="18"/>
          <w:color w:val="auto"/>
        </w:rPr>
        <w:t>”) of the Notes (the “</w:t>
      </w:r>
      <w:r>
        <w:rPr>
          <w:rFonts w:ascii="Arial" w:cs="Arial" w:eastAsia="Arial" w:hAnsi="Arial"/>
          <w:sz w:val="18"/>
          <w:szCs w:val="18"/>
          <w:b w:val="1"/>
          <w:bCs w:val="1"/>
          <w:color w:val="auto"/>
        </w:rPr>
        <w:t>Tender Offer</w:t>
      </w:r>
      <w:r>
        <w:rPr>
          <w:rFonts w:ascii="Arial" w:cs="Arial" w:eastAsia="Arial" w:hAnsi="Arial"/>
          <w:sz w:val="18"/>
          <w:szCs w:val="18"/>
          <w:color w:val="auto"/>
        </w:rPr>
        <w:t>”) and, in conjunction with the Tender Offer, has solicited consents from the Holders of the Notes to the amendments to the Indenture contained herein (the “</w:t>
      </w:r>
      <w:r>
        <w:rPr>
          <w:rFonts w:ascii="Arial" w:cs="Arial" w:eastAsia="Arial" w:hAnsi="Arial"/>
          <w:sz w:val="18"/>
          <w:szCs w:val="18"/>
          <w:b w:val="1"/>
          <w:bCs w:val="1"/>
          <w:color w:val="auto"/>
        </w:rPr>
        <w:t>Consent Solicitation</w:t>
      </w:r>
      <w:r>
        <w:rPr>
          <w:rFonts w:ascii="Arial" w:cs="Arial" w:eastAsia="Arial" w:hAnsi="Arial"/>
          <w:sz w:val="18"/>
          <w:szCs w:val="18"/>
          <w:color w:val="auto"/>
        </w:rPr>
        <w:t>”), in each case, upon the terms and subject to the conditions as set forth in the offer to purchase and consent solicitation, dated March 14, 2019, as amended on March 14, 2019;</w:t>
      </w:r>
    </w:p>
    <w:p>
      <w:pPr>
        <w:spacing w:after="0" w:line="37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 xml:space="preserve">WHEREAS,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of the Indenture provides that, subject to certain exceptions inapplicable hereto, the Issuers, the Guarantors and the Trustee may amend or supplement the Indenture with the consent of at least a majority in aggregate principal amount of the outstanding Notes (the “</w:t>
      </w:r>
      <w:r>
        <w:rPr>
          <w:rFonts w:ascii="Arial" w:cs="Arial" w:eastAsia="Arial" w:hAnsi="Arial"/>
          <w:sz w:val="20"/>
          <w:szCs w:val="20"/>
          <w:b w:val="1"/>
          <w:bCs w:val="1"/>
          <w:color w:val="auto"/>
        </w:rPr>
        <w:t>Requisite Consents</w:t>
      </w:r>
      <w:r>
        <w:rPr>
          <w:rFonts w:ascii="Arial" w:cs="Arial" w:eastAsia="Arial" w:hAnsi="Arial"/>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 xml:space="preserve">WHEREAS, the Company has received the Requisite Consents to effect amendments to the Indenture as set forth in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hereof (the “</w:t>
      </w:r>
      <w:r>
        <w:rPr>
          <w:rFonts w:ascii="Arial" w:cs="Arial" w:eastAsia="Arial" w:hAnsi="Arial"/>
          <w:sz w:val="20"/>
          <w:szCs w:val="20"/>
          <w:b w:val="1"/>
          <w:bCs w:val="1"/>
          <w:color w:val="auto"/>
        </w:rPr>
        <w:t>Consented Amendments</w:t>
      </w:r>
      <w:r>
        <w:rPr>
          <w:rFonts w:ascii="Arial" w:cs="Arial" w:eastAsia="Arial" w:hAnsi="Arial"/>
          <w:sz w:val="20"/>
          <w:szCs w:val="20"/>
          <w:color w:val="auto"/>
        </w:rPr>
        <w:t>”), based on reports provided by D.F. King &amp; Co., Inc., as tender agent and information agent in the Tender Offer and Consent Solicitation, and has delivered such Requisite Consents to the Trustee;</w:t>
      </w:r>
    </w:p>
    <w:p>
      <w:pPr>
        <w:sectPr>
          <w:pgSz w:w="11900" w:h="16838" w:orient="portrait"/>
          <w:cols w:equalWidth="0" w:num="1">
            <w:col w:w="11420"/>
          </w:cols>
          <w:pgMar w:left="240" w:top="1049" w:right="239" w:bottom="1440" w:gutter="0" w:footer="0" w:header="0"/>
        </w:sectPr>
      </w:pPr>
    </w:p>
    <w:bookmarkStart w:id="56" w:name="page57"/>
    <w:bookmarkEnd w:id="56"/>
    <w:p>
      <w:pPr>
        <w:jc w:val="both"/>
        <w:ind w:firstLine="648"/>
        <w:spacing w:after="0" w:line="292" w:lineRule="auto"/>
        <w:rPr>
          <w:sz w:val="20"/>
          <w:szCs w:val="20"/>
          <w:color w:val="auto"/>
        </w:rPr>
      </w:pPr>
      <w:r>
        <w:rPr>
          <w:rFonts w:ascii="Arial" w:cs="Arial" w:eastAsia="Arial" w:hAnsi="Arial"/>
          <w:sz w:val="20"/>
          <w:szCs w:val="20"/>
          <w:color w:val="auto"/>
        </w:rPr>
        <w:t>WHEREAS, the execution and delivery of this Supplemental Indenture has been duly authorized by the Issuers, the Guarantors and the Trustee and all conditions and requirements necessary to make this instrument a valid and binding agreement have been duly performed and complied with;</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WHEREAS, this Supplemental Indenture shall be effective upon its signing by the parties hereto, but the provisions of Article II and III will become operative (the “</w:t>
      </w:r>
      <w:r>
        <w:rPr>
          <w:rFonts w:ascii="Arial" w:cs="Arial" w:eastAsia="Arial" w:hAnsi="Arial"/>
          <w:sz w:val="20"/>
          <w:szCs w:val="20"/>
          <w:b w:val="1"/>
          <w:bCs w:val="1"/>
          <w:color w:val="auto"/>
        </w:rPr>
        <w:t>Operative Date</w:t>
      </w:r>
      <w:r>
        <w:rPr>
          <w:rFonts w:ascii="Arial" w:cs="Arial" w:eastAsia="Arial" w:hAnsi="Arial"/>
          <w:sz w:val="20"/>
          <w:szCs w:val="20"/>
          <w:color w:val="auto"/>
        </w:rPr>
        <w:t>”) upon the payment of the applicable consideration (the “</w:t>
      </w:r>
      <w:r>
        <w:rPr>
          <w:rFonts w:ascii="Arial" w:cs="Arial" w:eastAsia="Arial" w:hAnsi="Arial"/>
          <w:sz w:val="20"/>
          <w:szCs w:val="20"/>
          <w:b w:val="1"/>
          <w:bCs w:val="1"/>
          <w:color w:val="auto"/>
        </w:rPr>
        <w:t>Consideration</w:t>
      </w:r>
      <w:r>
        <w:rPr>
          <w:rFonts w:ascii="Arial" w:cs="Arial" w:eastAsia="Arial" w:hAnsi="Arial"/>
          <w:sz w:val="20"/>
          <w:szCs w:val="20"/>
          <w:color w:val="auto"/>
        </w:rPr>
        <w:t>”) in the Tender Offer in respect of all Notes validly tendered and not validly withdrawn and that are accepted for purchase, on the applicable settlement date of the Tender Offer (the “</w:t>
      </w:r>
      <w:r>
        <w:rPr>
          <w:rFonts w:ascii="Arial" w:cs="Arial" w:eastAsia="Arial" w:hAnsi="Arial"/>
          <w:sz w:val="20"/>
          <w:szCs w:val="20"/>
          <w:b w:val="1"/>
          <w:bCs w:val="1"/>
          <w:color w:val="auto"/>
        </w:rPr>
        <w:t>Settlement Date</w:t>
      </w:r>
      <w:r>
        <w:rPr>
          <w:rFonts w:ascii="Arial" w:cs="Arial" w:eastAsia="Arial" w:hAnsi="Arial"/>
          <w:sz w:val="20"/>
          <w:szCs w:val="20"/>
          <w:color w:val="auto"/>
        </w:rPr>
        <w:t>”).</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8"/>
          <w:szCs w:val="18"/>
          <w:color w:val="auto"/>
        </w:rPr>
        <w:t>WHEREAS, if the Tender Offer has been terminated or withdrawn, or if upon the final settlement date of the Tender Offer the Company has not paid the Consideration in respect of all Notes validly tendered and accepted for purchase, the terms hereof shall not become operative, this Supplemental Indenture shall be deemed automatically terminated and the Indenture will remain in effect in its current form.</w:t>
      </w:r>
    </w:p>
    <w:p>
      <w:pPr>
        <w:spacing w:after="0" w:line="36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WHEREAS, the Company, the Co-Obligor and the Guarantors intend to take the position that this Supplemental Indenture does not result in a material modification of the Notes under the Foreign Account Tax Compliance Act.</w:t>
      </w:r>
    </w:p>
    <w:p>
      <w:pPr>
        <w:spacing w:after="0" w:line="39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the Issuers, the Guarantors and the Trustee mutually covenant and agree for the equal and ratable benefit of the Holders of the Notes as follows:</w:t>
      </w:r>
    </w:p>
    <w:p>
      <w:pPr>
        <w:spacing w:after="0" w:line="397"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w:t>
      </w:r>
    </w:p>
    <w:p>
      <w:pPr>
        <w:spacing w:after="0" w:line="40"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DEFINITIONS</w:t>
      </w:r>
    </w:p>
    <w:p>
      <w:pPr>
        <w:spacing w:after="0" w:line="262"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All capitalized terms used but not defined herein shall have the meanings ascribed to such terms in the Indenture. All definitions in the Indenture shall be read in a manner consistent with the terms of this Supplemental Indenture.</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II</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CONSENTED AMENDMENTS</w:t>
      </w:r>
    </w:p>
    <w:p>
      <w:pPr>
        <w:spacing w:after="0" w:line="2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AMENDMENTS TO CERTAIN COVENANTS OF THE INDENTURE</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hereof, the following Sections of the Indenture are hereby amended to read as follows and any and all references to such sections and provisions of the Indenture which are amended, modified, replaced or deleted and any and all obligations thereunder are hereby deleted throughout the Indenture, and such sections and references shall be of no further force or effect:</w:t>
      </w:r>
    </w:p>
    <w:p>
      <w:pPr>
        <w:spacing w:after="0" w:line="376" w:lineRule="exact"/>
        <w:rPr>
          <w:sz w:val="20"/>
          <w:szCs w:val="20"/>
          <w:color w:val="auto"/>
        </w:rPr>
      </w:pPr>
    </w:p>
    <w:p>
      <w:pPr>
        <w:ind w:left="660" w:right="3580" w:hanging="4"/>
        <w:spacing w:after="0" w:line="683" w:lineRule="auto"/>
        <w:tabs>
          <w:tab w:leader="none" w:pos="994"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Section 3.09</w:t>
      </w:r>
      <w:r>
        <w:rPr>
          <w:rFonts w:ascii="Arial" w:cs="Arial" w:eastAsia="Arial" w:hAnsi="Arial"/>
          <w:sz w:val="20"/>
          <w:szCs w:val="20"/>
          <w:color w:val="auto"/>
        </w:rPr>
        <w:t xml:space="preserve"> of the Indenture is hereby amended and restated in its entirety as follows: “SECTION 3.09 [INTENTIONALLY OMITTED]”</w:t>
      </w:r>
    </w:p>
    <w:p>
      <w:pPr>
        <w:spacing w:after="0" w:line="1" w:lineRule="exact"/>
        <w:rPr>
          <w:rFonts w:ascii="Arial" w:cs="Arial" w:eastAsia="Arial" w:hAnsi="Arial"/>
          <w:sz w:val="20"/>
          <w:szCs w:val="20"/>
          <w:color w:val="auto"/>
        </w:rPr>
      </w:pPr>
    </w:p>
    <w:p>
      <w:pPr>
        <w:ind w:left="3900" w:right="3580" w:hanging="3244"/>
        <w:spacing w:after="0" w:line="768" w:lineRule="auto"/>
        <w:tabs>
          <w:tab w:leader="none" w:pos="1003"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Section 4.03</w:t>
      </w:r>
      <w:r>
        <w:rPr>
          <w:rFonts w:ascii="Arial" w:cs="Arial" w:eastAsia="Arial" w:hAnsi="Arial"/>
          <w:sz w:val="20"/>
          <w:szCs w:val="20"/>
          <w:color w:val="auto"/>
        </w:rPr>
        <w:t xml:space="preserve"> of the Indenture is hereby amended and restated in its entirety as follows: 2</w:t>
      </w:r>
    </w:p>
    <w:p>
      <w:pPr>
        <w:sectPr>
          <w:pgSz w:w="11900" w:h="16838" w:orient="portrait"/>
          <w:cols w:equalWidth="0" w:num="1">
            <w:col w:w="11420"/>
          </w:cols>
          <w:pgMar w:left="240" w:top="1055" w:right="239" w:bottom="1440" w:gutter="0" w:footer="0" w:header="0"/>
        </w:sectPr>
      </w:pPr>
    </w:p>
    <w:bookmarkStart w:id="57" w:name="page58"/>
    <w:bookmarkEnd w:id="57"/>
    <w:p>
      <w:pPr>
        <w:spacing w:after="0" w:line="19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0"/>
          <w:szCs w:val="20"/>
          <w:color w:val="auto"/>
        </w:rPr>
        <w:t>“SECTION 4.03</w:t>
      </w:r>
      <w:r>
        <w:rPr>
          <w:sz w:val="20"/>
          <w:szCs w:val="20"/>
          <w:color w:val="auto"/>
        </w:rPr>
        <w:tab/>
      </w:r>
      <w:r>
        <w:rPr>
          <w:rFonts w:ascii="Arial" w:cs="Arial" w:eastAsia="Arial" w:hAnsi="Arial"/>
          <w:sz w:val="16"/>
          <w:szCs w:val="16"/>
          <w:i w:val="1"/>
          <w:iCs w:val="1"/>
          <w:color w:val="auto"/>
        </w:rPr>
        <w:t>Reports.</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 xml:space="preserve">Notwithstanding that the Company may not be subject to the reporting requirements of Section 13 or 15(d) of the Exchange Act or otherwise report on an annual and quarterly basis on forms provided for such annual and quarterly reporting pursuant to rules and regulations promulgated by the SEC, the Company shall file with the Trustee, in accordance with any other rules and regulations that may be prescribed from time to time by the SEC, such of the supplementary and periodic information, documents and reports that may be required pursuant to </w:t>
      </w: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of the Exchange Act, in respect of a security listed on a national securities exchange as may be prescribed from time to time in such rules and regulations.”</w:t>
      </w:r>
    </w:p>
    <w:p>
      <w:pPr>
        <w:spacing w:after="0" w:line="354" w:lineRule="exact"/>
        <w:rPr>
          <w:sz w:val="20"/>
          <w:szCs w:val="20"/>
          <w:color w:val="auto"/>
        </w:rPr>
      </w:pPr>
    </w:p>
    <w:p>
      <w:pPr>
        <w:ind w:left="660" w:right="3580" w:hanging="4"/>
        <w:spacing w:after="0" w:line="683" w:lineRule="auto"/>
        <w:tabs>
          <w:tab w:leader="none" w:pos="994"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Section 4.05</w:t>
      </w:r>
      <w:r>
        <w:rPr>
          <w:rFonts w:ascii="Arial" w:cs="Arial" w:eastAsia="Arial" w:hAnsi="Arial"/>
          <w:sz w:val="20"/>
          <w:szCs w:val="20"/>
          <w:color w:val="auto"/>
        </w:rPr>
        <w:t xml:space="preserve"> of the Indenture is hereby amended and restated in its entirety as follows: “SECTION 4.05 [INTENTIONALLY OMITTED]”</w:t>
      </w:r>
    </w:p>
    <w:p>
      <w:pPr>
        <w:spacing w:after="0" w:line="1" w:lineRule="exact"/>
        <w:rPr>
          <w:rFonts w:ascii="Arial" w:cs="Arial" w:eastAsia="Arial" w:hAnsi="Arial"/>
          <w:sz w:val="20"/>
          <w:szCs w:val="20"/>
          <w:color w:val="auto"/>
        </w:rPr>
      </w:pPr>
    </w:p>
    <w:p>
      <w:pPr>
        <w:ind w:left="660" w:right="3580" w:hanging="4"/>
        <w:spacing w:after="0" w:line="683" w:lineRule="auto"/>
        <w:tabs>
          <w:tab w:leader="none" w:pos="1005"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Section 4.06</w:t>
      </w:r>
      <w:r>
        <w:rPr>
          <w:rFonts w:ascii="Arial" w:cs="Arial" w:eastAsia="Arial" w:hAnsi="Arial"/>
          <w:sz w:val="20"/>
          <w:szCs w:val="20"/>
          <w:color w:val="auto"/>
        </w:rPr>
        <w:t xml:space="preserve"> of the Indenture is hereby amended and restated in its entirety as follows: “SECTION 4.06 [INTENTIONALLY OMITTED]”</w:t>
      </w:r>
    </w:p>
    <w:p>
      <w:pPr>
        <w:spacing w:after="0" w:line="1" w:lineRule="exact"/>
        <w:rPr>
          <w:rFonts w:ascii="Arial" w:cs="Arial" w:eastAsia="Arial" w:hAnsi="Arial"/>
          <w:sz w:val="20"/>
          <w:szCs w:val="20"/>
          <w:color w:val="auto"/>
        </w:rPr>
      </w:pPr>
    </w:p>
    <w:p>
      <w:pPr>
        <w:ind w:left="660" w:right="3580" w:hanging="4"/>
        <w:spacing w:after="0" w:line="683" w:lineRule="auto"/>
        <w:tabs>
          <w:tab w:leader="none" w:pos="994"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Section 4.07</w:t>
      </w:r>
      <w:r>
        <w:rPr>
          <w:rFonts w:ascii="Arial" w:cs="Arial" w:eastAsia="Arial" w:hAnsi="Arial"/>
          <w:sz w:val="20"/>
          <w:szCs w:val="20"/>
          <w:color w:val="auto"/>
        </w:rPr>
        <w:t xml:space="preserve"> of the Indenture is hereby amended and restated in its entirety as follows: “SECTION 4.07 [INTENTIONALLY OMITTED]”</w:t>
      </w:r>
    </w:p>
    <w:p>
      <w:pPr>
        <w:spacing w:after="0" w:line="1" w:lineRule="exact"/>
        <w:rPr>
          <w:rFonts w:ascii="Arial" w:cs="Arial" w:eastAsia="Arial" w:hAnsi="Arial"/>
          <w:sz w:val="20"/>
          <w:szCs w:val="20"/>
          <w:color w:val="auto"/>
        </w:rPr>
      </w:pPr>
    </w:p>
    <w:p>
      <w:pPr>
        <w:ind w:left="660" w:right="3600" w:hanging="4"/>
        <w:spacing w:after="0" w:line="683" w:lineRule="auto"/>
        <w:tabs>
          <w:tab w:leader="none" w:pos="972"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Section 4.08</w:t>
      </w:r>
      <w:r>
        <w:rPr>
          <w:rFonts w:ascii="Arial" w:cs="Arial" w:eastAsia="Arial" w:hAnsi="Arial"/>
          <w:sz w:val="20"/>
          <w:szCs w:val="20"/>
          <w:color w:val="auto"/>
        </w:rPr>
        <w:t xml:space="preserve"> of the Indenture is hereby amended and restated in its entirety as follows: “SECTION 4.08 [INTENTIONALLY OMITTED]”</w:t>
      </w:r>
    </w:p>
    <w:p>
      <w:pPr>
        <w:spacing w:after="0" w:line="1" w:lineRule="exact"/>
        <w:rPr>
          <w:rFonts w:ascii="Arial" w:cs="Arial" w:eastAsia="Arial" w:hAnsi="Arial"/>
          <w:sz w:val="20"/>
          <w:szCs w:val="20"/>
          <w:color w:val="auto"/>
        </w:rPr>
      </w:pPr>
    </w:p>
    <w:p>
      <w:pPr>
        <w:ind w:left="660" w:right="3580" w:hanging="4"/>
        <w:spacing w:after="0" w:line="683" w:lineRule="auto"/>
        <w:tabs>
          <w:tab w:leader="none" w:pos="1005"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Section 4.09</w:t>
      </w:r>
      <w:r>
        <w:rPr>
          <w:rFonts w:ascii="Arial" w:cs="Arial" w:eastAsia="Arial" w:hAnsi="Arial"/>
          <w:sz w:val="20"/>
          <w:szCs w:val="20"/>
          <w:color w:val="auto"/>
        </w:rPr>
        <w:t xml:space="preserve"> of the Indenture is hereby amended and restated in its entirety as follows: “SECTION 4.09 [INTENTIONALLY OMITTED]”</w:t>
      </w:r>
    </w:p>
    <w:p>
      <w:pPr>
        <w:spacing w:after="0" w:line="1" w:lineRule="exact"/>
        <w:rPr>
          <w:rFonts w:ascii="Arial" w:cs="Arial" w:eastAsia="Arial" w:hAnsi="Arial"/>
          <w:sz w:val="20"/>
          <w:szCs w:val="20"/>
          <w:color w:val="auto"/>
        </w:rPr>
      </w:pPr>
    </w:p>
    <w:p>
      <w:pPr>
        <w:ind w:left="660" w:right="3580" w:hanging="4"/>
        <w:spacing w:after="0" w:line="683" w:lineRule="auto"/>
        <w:tabs>
          <w:tab w:leader="none" w:pos="1005"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Section 4.10</w:t>
      </w:r>
      <w:r>
        <w:rPr>
          <w:rFonts w:ascii="Arial" w:cs="Arial" w:eastAsia="Arial" w:hAnsi="Arial"/>
          <w:sz w:val="20"/>
          <w:szCs w:val="20"/>
          <w:color w:val="auto"/>
        </w:rPr>
        <w:t xml:space="preserve"> of the Indenture is hereby amended and restated in its entirety as follows: “SECTION 4.10 [INTENTIONALLY OMITTED]”</w:t>
      </w:r>
    </w:p>
    <w:p>
      <w:pPr>
        <w:spacing w:after="0" w:line="1" w:lineRule="exact"/>
        <w:rPr>
          <w:rFonts w:ascii="Arial" w:cs="Arial" w:eastAsia="Arial" w:hAnsi="Arial"/>
          <w:sz w:val="20"/>
          <w:szCs w:val="20"/>
          <w:color w:val="auto"/>
        </w:rPr>
      </w:pPr>
    </w:p>
    <w:p>
      <w:pPr>
        <w:ind w:left="660" w:right="3620" w:hanging="4"/>
        <w:spacing w:after="0" w:line="683" w:lineRule="auto"/>
        <w:tabs>
          <w:tab w:leader="none" w:pos="961"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Section 4.11</w:t>
      </w:r>
      <w:r>
        <w:rPr>
          <w:rFonts w:ascii="Arial" w:cs="Arial" w:eastAsia="Arial" w:hAnsi="Arial"/>
          <w:sz w:val="20"/>
          <w:szCs w:val="20"/>
          <w:color w:val="auto"/>
        </w:rPr>
        <w:t xml:space="preserve"> of the Indenture is hereby amended and restated in its entirety as follows: “SECTION 4.11 [INTENTIONALLY OMITTED]”</w:t>
      </w:r>
    </w:p>
    <w:p>
      <w:pPr>
        <w:spacing w:after="0" w:line="1" w:lineRule="exact"/>
        <w:rPr>
          <w:rFonts w:ascii="Arial" w:cs="Arial" w:eastAsia="Arial" w:hAnsi="Arial"/>
          <w:sz w:val="20"/>
          <w:szCs w:val="20"/>
          <w:color w:val="auto"/>
        </w:rPr>
      </w:pPr>
    </w:p>
    <w:p>
      <w:pPr>
        <w:ind w:left="660" w:right="3620" w:hanging="4"/>
        <w:spacing w:after="0" w:line="683" w:lineRule="auto"/>
        <w:tabs>
          <w:tab w:leader="none" w:pos="961"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Section 4.12</w:t>
      </w:r>
      <w:r>
        <w:rPr>
          <w:rFonts w:ascii="Arial" w:cs="Arial" w:eastAsia="Arial" w:hAnsi="Arial"/>
          <w:sz w:val="20"/>
          <w:szCs w:val="20"/>
          <w:color w:val="auto"/>
        </w:rPr>
        <w:t xml:space="preserve"> of the Indenture is hereby amended and restated in its entirety as follows: “SECTION 4.12 [INTENTIONALLY OMITTED]”</w:t>
      </w:r>
    </w:p>
    <w:p>
      <w:pPr>
        <w:spacing w:after="0" w:line="1" w:lineRule="exact"/>
        <w:rPr>
          <w:rFonts w:ascii="Arial" w:cs="Arial" w:eastAsia="Arial" w:hAnsi="Arial"/>
          <w:sz w:val="20"/>
          <w:szCs w:val="20"/>
          <w:color w:val="auto"/>
        </w:rPr>
      </w:pPr>
    </w:p>
    <w:p>
      <w:pPr>
        <w:ind w:left="660" w:right="3580" w:hanging="4"/>
        <w:spacing w:after="0" w:line="683" w:lineRule="auto"/>
        <w:tabs>
          <w:tab w:leader="none" w:pos="1005"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Section 4.13</w:t>
      </w:r>
      <w:r>
        <w:rPr>
          <w:rFonts w:ascii="Arial" w:cs="Arial" w:eastAsia="Arial" w:hAnsi="Arial"/>
          <w:sz w:val="20"/>
          <w:szCs w:val="20"/>
          <w:color w:val="auto"/>
        </w:rPr>
        <w:t xml:space="preserve"> of the Indenture is hereby amended and restated in its entirety as follows: “SECTION 4.13 [INTENTIONALLY OMITTED]”</w:t>
      </w:r>
    </w:p>
    <w:p>
      <w:pPr>
        <w:spacing w:after="0" w:line="1" w:lineRule="exact"/>
        <w:rPr>
          <w:rFonts w:ascii="Arial" w:cs="Arial" w:eastAsia="Arial" w:hAnsi="Arial"/>
          <w:sz w:val="20"/>
          <w:szCs w:val="20"/>
          <w:color w:val="auto"/>
        </w:rPr>
      </w:pPr>
    </w:p>
    <w:p>
      <w:pPr>
        <w:ind w:left="3900" w:right="3620" w:hanging="3244"/>
        <w:spacing w:after="0" w:line="716" w:lineRule="auto"/>
        <w:tabs>
          <w:tab w:leader="none" w:pos="959"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Section 4.14</w:t>
      </w:r>
      <w:r>
        <w:rPr>
          <w:rFonts w:ascii="Arial" w:cs="Arial" w:eastAsia="Arial" w:hAnsi="Arial"/>
          <w:sz w:val="20"/>
          <w:szCs w:val="20"/>
          <w:color w:val="auto"/>
        </w:rPr>
        <w:t xml:space="preserve"> of the Indenture is hereby amended and restated in its entirety as follows: 3</w:t>
      </w:r>
    </w:p>
    <w:p>
      <w:pPr>
        <w:sectPr>
          <w:pgSz w:w="11900" w:h="17037" w:orient="portrait"/>
          <w:cols w:equalWidth="0" w:num="1">
            <w:col w:w="11420"/>
          </w:cols>
          <w:pgMar w:left="240" w:top="1028" w:right="239" w:bottom="0" w:gutter="0" w:footer="0" w:header="0"/>
        </w:sectPr>
      </w:pPr>
    </w:p>
    <w:bookmarkStart w:id="58" w:name="page59"/>
    <w:bookmarkEnd w:id="58"/>
    <w:p>
      <w:pPr>
        <w:spacing w:after="0" w:line="716" w:lineRule="auto"/>
        <w:tabs>
          <w:tab w:leader="none" w:pos="959" w:val="left"/>
        </w:tabs>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ind w:left="4"/>
        <w:spacing w:after="0"/>
        <w:tabs>
          <w:tab w:leader="none" w:pos="1503" w:val="left"/>
        </w:tabs>
        <w:rPr>
          <w:sz w:val="20"/>
          <w:szCs w:val="20"/>
          <w:color w:val="auto"/>
        </w:rPr>
      </w:pPr>
      <w:r>
        <w:rPr>
          <w:rFonts w:ascii="Arial" w:cs="Arial" w:eastAsia="Arial" w:hAnsi="Arial"/>
          <w:sz w:val="20"/>
          <w:szCs w:val="20"/>
          <w:color w:val="auto"/>
        </w:rPr>
        <w:t>“SECTION 4.14</w:t>
        <w:tab/>
        <w:t>[INTENTIONALLY OMITTED]”</w:t>
      </w:r>
    </w:p>
    <w:p>
      <w:pPr>
        <w:spacing w:after="0" w:line="200" w:lineRule="exact"/>
        <w:rPr>
          <w:sz w:val="20"/>
          <w:szCs w:val="20"/>
          <w:color w:val="auto"/>
        </w:rPr>
      </w:pPr>
    </w:p>
    <w:p>
      <w:pPr>
        <w:spacing w:after="0" w:line="218" w:lineRule="exact"/>
        <w:rPr>
          <w:sz w:val="20"/>
          <w:szCs w:val="20"/>
          <w:color w:val="auto"/>
        </w:rPr>
      </w:pPr>
    </w:p>
    <w:p>
      <w:pPr>
        <w:ind w:left="4" w:right="3520" w:hanging="4"/>
        <w:spacing w:after="0" w:line="683" w:lineRule="auto"/>
        <w:tabs>
          <w:tab w:leader="none" w:pos="404"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Section 4.16</w:t>
      </w:r>
      <w:r>
        <w:rPr>
          <w:rFonts w:ascii="Arial" w:cs="Arial" w:eastAsia="Arial" w:hAnsi="Arial"/>
          <w:sz w:val="20"/>
          <w:szCs w:val="20"/>
          <w:color w:val="auto"/>
        </w:rPr>
        <w:t xml:space="preserve"> of the Indenture is hereby amended and restated in its entirety as follows: “SECTION 4.16 [INTENTIONALLY OMITTED]”</w:t>
      </w:r>
    </w:p>
    <w:p>
      <w:pPr>
        <w:spacing w:after="0" w:line="1" w:lineRule="exact"/>
        <w:rPr>
          <w:rFonts w:ascii="Arial" w:cs="Arial" w:eastAsia="Arial" w:hAnsi="Arial"/>
          <w:sz w:val="20"/>
          <w:szCs w:val="20"/>
          <w:color w:val="auto"/>
        </w:rPr>
      </w:pPr>
    </w:p>
    <w:p>
      <w:pPr>
        <w:ind w:left="4" w:right="3580" w:hanging="4"/>
        <w:spacing w:after="0" w:line="683" w:lineRule="auto"/>
        <w:tabs>
          <w:tab w:leader="none" w:pos="349"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Section 4.17</w:t>
      </w:r>
      <w:r>
        <w:rPr>
          <w:rFonts w:ascii="Arial" w:cs="Arial" w:eastAsia="Arial" w:hAnsi="Arial"/>
          <w:sz w:val="20"/>
          <w:szCs w:val="20"/>
          <w:color w:val="auto"/>
        </w:rPr>
        <w:t xml:space="preserve"> of the Indenture is hereby amended and restated in its entirety as follows: “SECTION 4.17 [INTENTIONALLY OMITTED]”</w:t>
      </w:r>
    </w:p>
    <w:p>
      <w:pPr>
        <w:spacing w:after="0" w:line="1" w:lineRule="exact"/>
        <w:rPr>
          <w:rFonts w:ascii="Arial" w:cs="Arial" w:eastAsia="Arial" w:hAnsi="Arial"/>
          <w:sz w:val="20"/>
          <w:szCs w:val="20"/>
          <w:color w:val="auto"/>
        </w:rPr>
      </w:pPr>
    </w:p>
    <w:p>
      <w:pPr>
        <w:ind w:left="4" w:right="3580" w:hanging="4"/>
        <w:spacing w:after="0" w:line="683" w:lineRule="auto"/>
        <w:tabs>
          <w:tab w:leader="none" w:pos="349"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Section 4.18</w:t>
      </w:r>
      <w:r>
        <w:rPr>
          <w:rFonts w:ascii="Arial" w:cs="Arial" w:eastAsia="Arial" w:hAnsi="Arial"/>
          <w:sz w:val="20"/>
          <w:szCs w:val="20"/>
          <w:color w:val="auto"/>
        </w:rPr>
        <w:t xml:space="preserve"> of the Indenture is hereby amended and restated in its entirety as follows: “SECTION 4.18 [INTENTIONALLY OMITTED]”</w:t>
      </w:r>
    </w:p>
    <w:p>
      <w:pPr>
        <w:spacing w:after="0" w:line="1" w:lineRule="exact"/>
        <w:rPr>
          <w:rFonts w:ascii="Arial" w:cs="Arial" w:eastAsia="Arial" w:hAnsi="Arial"/>
          <w:sz w:val="20"/>
          <w:szCs w:val="20"/>
          <w:color w:val="auto"/>
        </w:rPr>
      </w:pPr>
    </w:p>
    <w:p>
      <w:pPr>
        <w:ind w:left="4" w:right="3580" w:hanging="4"/>
        <w:spacing w:after="0" w:line="683" w:lineRule="auto"/>
        <w:tabs>
          <w:tab w:leader="none" w:pos="349"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Section 4.19</w:t>
      </w:r>
      <w:r>
        <w:rPr>
          <w:rFonts w:ascii="Arial" w:cs="Arial" w:eastAsia="Arial" w:hAnsi="Arial"/>
          <w:sz w:val="20"/>
          <w:szCs w:val="20"/>
          <w:color w:val="auto"/>
        </w:rPr>
        <w:t xml:space="preserve"> of the Indenture is hereby amended and restated in its entirety as follows: “SECTION 4.19 [INTENTIONALLY OMITTED]”</w:t>
      </w:r>
    </w:p>
    <w:p>
      <w:pPr>
        <w:spacing w:after="0" w:line="1" w:lineRule="exact"/>
        <w:rPr>
          <w:rFonts w:ascii="Arial" w:cs="Arial" w:eastAsia="Arial" w:hAnsi="Arial"/>
          <w:sz w:val="20"/>
          <w:szCs w:val="20"/>
          <w:color w:val="auto"/>
        </w:rPr>
      </w:pPr>
    </w:p>
    <w:p>
      <w:pPr>
        <w:ind w:left="4" w:right="3580" w:hanging="4"/>
        <w:spacing w:after="0" w:line="683" w:lineRule="auto"/>
        <w:tabs>
          <w:tab w:leader="none" w:pos="349"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Section 4.20</w:t>
      </w:r>
      <w:r>
        <w:rPr>
          <w:rFonts w:ascii="Arial" w:cs="Arial" w:eastAsia="Arial" w:hAnsi="Arial"/>
          <w:sz w:val="20"/>
          <w:szCs w:val="20"/>
          <w:color w:val="auto"/>
        </w:rPr>
        <w:t xml:space="preserve"> of the Indenture is hereby amended and restated in its entirety as follows: “SECTION 4.20 [INTENTIONALLY OMITTED]”</w:t>
      </w:r>
    </w:p>
    <w:p>
      <w:pPr>
        <w:spacing w:after="0" w:line="1" w:lineRule="exact"/>
        <w:rPr>
          <w:rFonts w:ascii="Arial" w:cs="Arial" w:eastAsia="Arial" w:hAnsi="Arial"/>
          <w:sz w:val="20"/>
          <w:szCs w:val="20"/>
          <w:color w:val="auto"/>
        </w:rPr>
      </w:pPr>
    </w:p>
    <w:p>
      <w:pPr>
        <w:ind w:left="4" w:right="3600" w:hanging="4"/>
        <w:spacing w:after="0" w:line="683" w:lineRule="auto"/>
        <w:tabs>
          <w:tab w:leader="none" w:pos="316"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Section 4.22</w:t>
      </w:r>
      <w:r>
        <w:rPr>
          <w:rFonts w:ascii="Arial" w:cs="Arial" w:eastAsia="Arial" w:hAnsi="Arial"/>
          <w:sz w:val="20"/>
          <w:szCs w:val="20"/>
          <w:color w:val="auto"/>
        </w:rPr>
        <w:t xml:space="preserve"> of the Indenture is hereby amended and restated in its entirety as follows: “SECTION 4.22 [INTENTIONALLY OMITTED]”</w:t>
      </w:r>
    </w:p>
    <w:p>
      <w:pPr>
        <w:spacing w:after="0" w:line="1" w:lineRule="exact"/>
        <w:rPr>
          <w:rFonts w:ascii="Arial" w:cs="Arial" w:eastAsia="Arial" w:hAnsi="Arial"/>
          <w:sz w:val="20"/>
          <w:szCs w:val="20"/>
          <w:color w:val="auto"/>
        </w:rPr>
      </w:pPr>
    </w:p>
    <w:p>
      <w:pPr>
        <w:ind w:left="4" w:right="3500" w:hanging="4"/>
        <w:spacing w:after="0" w:line="683" w:lineRule="auto"/>
        <w:tabs>
          <w:tab w:leader="none" w:pos="327"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of the Indenture is hereby amended and restated in its entirety as follows: “SECTION 10.04 [INTENTIONALLY OMITTED]”</w:t>
      </w:r>
    </w:p>
    <w:p>
      <w:pPr>
        <w:spacing w:after="0" w:line="1" w:lineRule="exact"/>
        <w:rPr>
          <w:rFonts w:ascii="Arial" w:cs="Arial" w:eastAsia="Arial" w:hAnsi="Arial"/>
          <w:sz w:val="20"/>
          <w:szCs w:val="20"/>
          <w:color w:val="auto"/>
        </w:rPr>
      </w:pPr>
    </w:p>
    <w:p>
      <w:pPr>
        <w:ind w:left="304" w:hanging="304"/>
        <w:spacing w:after="0"/>
        <w:tabs>
          <w:tab w:leader="none" w:pos="304"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of the Indenture is hereby amended and restated in its entirety as follows:</w:t>
      </w:r>
    </w:p>
    <w:p>
      <w:pPr>
        <w:spacing w:after="0" w:line="200" w:lineRule="exact"/>
        <w:rPr>
          <w:sz w:val="20"/>
          <w:szCs w:val="20"/>
          <w:color w:val="auto"/>
        </w:rPr>
      </w:pPr>
    </w:p>
    <w:p>
      <w:pPr>
        <w:spacing w:after="0" w:line="232" w:lineRule="exact"/>
        <w:rPr>
          <w:sz w:val="20"/>
          <w:szCs w:val="20"/>
          <w:color w:val="auto"/>
        </w:rPr>
      </w:pPr>
    </w:p>
    <w:p>
      <w:pPr>
        <w:ind w:left="4"/>
        <w:spacing w:after="0"/>
        <w:tabs>
          <w:tab w:leader="none" w:pos="1503" w:val="left"/>
        </w:tabs>
        <w:rPr>
          <w:sz w:val="20"/>
          <w:szCs w:val="20"/>
          <w:color w:val="auto"/>
        </w:rPr>
      </w:pPr>
      <w:r>
        <w:rPr>
          <w:rFonts w:ascii="Arial" w:cs="Arial" w:eastAsia="Arial" w:hAnsi="Arial"/>
          <w:sz w:val="20"/>
          <w:szCs w:val="20"/>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200" w:lineRule="exact"/>
        <w:rPr>
          <w:sz w:val="20"/>
          <w:szCs w:val="20"/>
          <w:color w:val="auto"/>
        </w:rPr>
      </w:pPr>
    </w:p>
    <w:p>
      <w:pPr>
        <w:spacing w:after="0" w:line="218" w:lineRule="exact"/>
        <w:rPr>
          <w:sz w:val="20"/>
          <w:szCs w:val="20"/>
          <w:color w:val="auto"/>
        </w:rPr>
      </w:pPr>
    </w:p>
    <w:p>
      <w:pPr>
        <w:jc w:val="both"/>
        <w:ind w:left="-656" w:firstLine="656"/>
        <w:spacing w:after="0" w:line="338" w:lineRule="auto"/>
        <w:tabs>
          <w:tab w:leader="none" w:pos="32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shall not: (1) consolidate with or merge with or into another Person (whether or not the Company is the surviving corporation); or (2) directly or indirectly, sell, assign, transfer, convey, lease or otherwise dispose of all or substantially all of the assets of the Company and the Restricted Subsidiaries taken as a whole, in one or more related transactions, to another Person, unless:</w:t>
      </w:r>
    </w:p>
    <w:p>
      <w:pPr>
        <w:spacing w:after="0" w:line="314" w:lineRule="exact"/>
        <w:rPr>
          <w:sz w:val="20"/>
          <w:szCs w:val="20"/>
          <w:color w:val="auto"/>
        </w:rPr>
      </w:pPr>
    </w:p>
    <w:p>
      <w:pPr>
        <w:ind w:left="264" w:hanging="264"/>
        <w:spacing w:after="0"/>
        <w:tabs>
          <w:tab w:leader="none" w:pos="264" w:val="left"/>
        </w:tabs>
        <w:numPr>
          <w:ilvl w:val="0"/>
          <w:numId w:val="39"/>
        </w:numPr>
        <w:rPr>
          <w:rFonts w:ascii="Arial" w:cs="Arial" w:eastAsia="Arial" w:hAnsi="Arial"/>
          <w:sz w:val="20"/>
          <w:szCs w:val="20"/>
          <w:color w:val="auto"/>
        </w:rPr>
      </w:pPr>
      <w:r>
        <w:rPr>
          <w:rFonts w:ascii="Arial" w:cs="Arial" w:eastAsia="Arial" w:hAnsi="Arial"/>
          <w:sz w:val="20"/>
          <w:szCs w:val="20"/>
          <w:color w:val="auto"/>
        </w:rPr>
        <w:t>either:</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924" w:hanging="275"/>
        <w:spacing w:after="0"/>
        <w:tabs>
          <w:tab w:leader="none" w:pos="924"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Company is the surviving corporation; or</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jc w:val="both"/>
        <w:ind w:left="644" w:firstLine="5"/>
        <w:spacing w:after="0" w:line="338" w:lineRule="auto"/>
        <w:tabs>
          <w:tab w:leader="none" w:pos="9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Company) or the Person to which such sale, assignment, transfer, conveyance, lease or other disposition has been made assumes all the obligations of the Company under the Notes and this Indenture pursuant to agreements reasonably satisfactory to the Trustee;</w:t>
      </w:r>
    </w:p>
    <w:p>
      <w:pPr>
        <w:spacing w:after="0" w:line="368" w:lineRule="exact"/>
        <w:rPr>
          <w:sz w:val="20"/>
          <w:szCs w:val="20"/>
          <w:color w:val="auto"/>
        </w:rPr>
      </w:pPr>
    </w:p>
    <w:p>
      <w:pPr>
        <w:ind w:left="324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64"/>
          </w:cols>
          <w:pgMar w:left="896" w:top="1028" w:right="239" w:bottom="160" w:gutter="0" w:footer="0" w:header="0"/>
        </w:sectPr>
      </w:pPr>
    </w:p>
    <w:bookmarkStart w:id="60" w:name="page61"/>
    <w:bookmarkEnd w:id="60"/>
    <w:p>
      <w:pPr>
        <w:ind w:left="660" w:hanging="4"/>
        <w:spacing w:after="0" w:line="303" w:lineRule="auto"/>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Company shall have delivered to the Trustee an Officers’ Certificate and an Opinion of Counsel, each stating that such consolidation, merger or transfer and such supplemental indenture (if any) comply with this Indenture.</w:t>
      </w:r>
    </w:p>
    <w:p>
      <w:pPr>
        <w:spacing w:after="0" w:line="338" w:lineRule="exact"/>
        <w:rPr>
          <w:sz w:val="20"/>
          <w:szCs w:val="20"/>
          <w:color w:val="auto"/>
        </w:rPr>
      </w:pPr>
    </w:p>
    <w:p>
      <w:pPr>
        <w:jc w:val="both"/>
        <w:ind w:firstLine="656"/>
        <w:spacing w:after="0" w:line="381" w:lineRule="auto"/>
        <w:tabs>
          <w:tab w:leader="none" w:pos="1009"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Neither of the Issuers will consolidate or merge with or into another Person (whether or not such Issuer is the surviving corporation) unless either (1) such Issuer is the surviving corporation; or (2) the Person formed by or surviving any such consolidation or merger (if other than such Issuer) or the Person to which such sale, assignment, transfer, conveyance, lease or other disposition has been made assumes all the obligations of such Issuer under the Notes and this Indenture pursuant to agreements reasonably satisfactory to the Trustee.</w:t>
      </w:r>
    </w:p>
    <w:p>
      <w:pPr>
        <w:spacing w:after="0" w:line="290" w:lineRule="exact"/>
        <w:rPr>
          <w:sz w:val="20"/>
          <w:szCs w:val="20"/>
          <w:color w:val="auto"/>
        </w:rPr>
      </w:pPr>
    </w:p>
    <w:p>
      <w:pPr>
        <w:jc w:val="both"/>
        <w:spacing w:after="0" w:line="287" w:lineRule="auto"/>
        <w:rPr>
          <w:sz w:val="20"/>
          <w:szCs w:val="20"/>
          <w:color w:val="auto"/>
        </w:rPr>
      </w:pPr>
      <w:r>
        <w:rPr>
          <w:rFonts w:ascii="Arial" w:cs="Arial" w:eastAsia="Arial" w:hAnsi="Arial"/>
          <w:sz w:val="20"/>
          <w:szCs w:val="20"/>
          <w:u w:val="single" w:color="auto"/>
          <w:color w:val="auto"/>
        </w:rPr>
        <w:t>Section 5.01(A)</w:t>
      </w:r>
      <w:r>
        <w:rPr>
          <w:rFonts w:ascii="Arial" w:cs="Arial" w:eastAsia="Arial" w:hAnsi="Arial"/>
          <w:sz w:val="20"/>
          <w:szCs w:val="20"/>
          <w:color w:val="auto"/>
        </w:rPr>
        <w:t xml:space="preserve"> will not apply to any sale, assignment, transfer, conveyance, lease or other disposition of assets between or among the Company and the Restricted Subsidiaries. </w:t>
      </w:r>
      <w:r>
        <w:rPr>
          <w:rFonts w:ascii="Arial" w:cs="Arial" w:eastAsia="Arial" w:hAnsi="Arial"/>
          <w:sz w:val="20"/>
          <w:szCs w:val="20"/>
          <w:u w:val="single" w:color="auto"/>
          <w:color w:val="auto"/>
        </w:rPr>
        <w:t>Section 5.01(B)</w:t>
      </w:r>
      <w:r>
        <w:rPr>
          <w:rFonts w:ascii="Arial" w:cs="Arial" w:eastAsia="Arial" w:hAnsi="Arial"/>
          <w:sz w:val="20"/>
          <w:szCs w:val="20"/>
          <w:color w:val="auto"/>
        </w:rPr>
        <w:t xml:space="preserve"> will not apply to any merger or consolidation of any Issuer (1) with or into one of the Restricted Subsidiaries for any purpose so long as the surviving corporation becomes a primary obligor of the Notes or (2) with or into an Affiliate solely for the purpose of reincorporating such Issuer in another jurisdiction so long as the surviving corporation becomes a primary obligor of the Notes.</w:t>
      </w:r>
    </w:p>
    <w:p>
      <w:pPr>
        <w:spacing w:after="0" w:line="35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Person formed by or surviving any such consolidation or merger (if other than the Company) or the Person to which such sale, assignment, transfer, conveyance, lease or other disposition has been made will be the successor to the Company and shall succeed to, and be substituted for, and may exercise every right and power of, the Company under this Indenture, and the Company, except in the case of a lease, shall be released from the obligation to pay the principal of and interest on the Notes.”</w:t>
      </w:r>
    </w:p>
    <w:p>
      <w:pPr>
        <w:spacing w:after="0" w:line="355"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u)</w:t>
      </w:r>
      <w:r>
        <w:rPr>
          <w:sz w:val="20"/>
          <w:szCs w:val="20"/>
          <w:color w:val="auto"/>
        </w:rPr>
        <w:tab/>
      </w:r>
      <w:r>
        <w:rPr>
          <w:rFonts w:ascii="Arial" w:cs="Arial" w:eastAsia="Arial" w:hAnsi="Arial"/>
          <w:sz w:val="16"/>
          <w:szCs w:val="16"/>
          <w:u w:val="single" w:color="auto"/>
          <w:color w:val="auto"/>
        </w:rPr>
        <w:t xml:space="preserve">Section 6.01 </w:t>
      </w:r>
      <w:r>
        <w:rPr>
          <w:rFonts w:ascii="Arial" w:cs="Arial" w:eastAsia="Arial" w:hAnsi="Arial"/>
          <w:sz w:val="16"/>
          <w:szCs w:val="16"/>
          <w:color w:val="auto"/>
        </w:rPr>
        <w:t>of the Indenture is hereby amended and restated in its entirety as follows:</w:t>
      </w: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0"/>
          <w:szCs w:val="20"/>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of the following is an “Event of Default”:</w:t>
      </w:r>
    </w:p>
    <w:p>
      <w:pPr>
        <w:spacing w:after="0" w:line="200" w:lineRule="exact"/>
        <w:rPr>
          <w:sz w:val="20"/>
          <w:szCs w:val="20"/>
          <w:color w:val="auto"/>
        </w:rPr>
      </w:pPr>
    </w:p>
    <w:p>
      <w:pPr>
        <w:spacing w:after="0" w:line="218"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default for 30 days in the payment when due of interest and Additional Interest, if any, on the Notes;</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240" w:hanging="584"/>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or otherwise) of the principal of, or premium, if any, on the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Notes;</w:t>
      </w:r>
    </w:p>
    <w:p>
      <w:pPr>
        <w:spacing w:after="0" w:line="200" w:lineRule="exact"/>
        <w:rPr>
          <w:sz w:val="20"/>
          <w:szCs w:val="20"/>
          <w:color w:val="auto"/>
        </w:rPr>
      </w:pPr>
    </w:p>
    <w:p>
      <w:pPr>
        <w:spacing w:after="0" w:line="218" w:lineRule="exact"/>
        <w:rPr>
          <w:sz w:val="20"/>
          <w:szCs w:val="20"/>
          <w:color w:val="auto"/>
        </w:rPr>
      </w:pPr>
    </w:p>
    <w:p>
      <w:pPr>
        <w:ind w:left="1140" w:hanging="484"/>
        <w:spacing w:after="0"/>
        <w:tabs>
          <w:tab w:leader="none" w:pos="11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jc w:val="both"/>
        <w:ind w:firstLine="656"/>
        <w:spacing w:after="0" w:line="288" w:lineRule="auto"/>
        <w:tabs>
          <w:tab w:leader="none" w:pos="1103" w:val="left"/>
        </w:tabs>
        <w:numPr>
          <w:ilvl w:val="0"/>
          <w:numId w:val="43"/>
        </w:numPr>
        <w:rPr>
          <w:rFonts w:ascii="Arial" w:cs="Arial" w:eastAsia="Arial" w:hAnsi="Arial"/>
          <w:sz w:val="20"/>
          <w:szCs w:val="20"/>
          <w:color w:val="auto"/>
        </w:rPr>
      </w:pPr>
      <w:r>
        <w:rPr>
          <w:rFonts w:ascii="Arial" w:cs="Arial" w:eastAsia="Arial" w:hAnsi="Arial"/>
          <w:sz w:val="20"/>
          <w:szCs w:val="20"/>
          <w:color w:val="auto"/>
        </w:rPr>
        <w:t>failure by the Company or any of the Restricted Subsidiaries to comply with any of the other agreements in this Indenture (other than a failure that is the subject of clause (1) or (2)) for 60 days after receipt by the Issuers of written notice of such failure from the Trustee (or receipt by the Issuers and the Trustee of written notice of such failure from the Holders of at least 25% in aggregate principal amount of the Notes then outstanding voting as a single class);</w:t>
      </w:r>
    </w:p>
    <w:p>
      <w:pPr>
        <w:spacing w:after="0" w:line="354" w:lineRule="exact"/>
        <w:rPr>
          <w:rFonts w:ascii="Arial" w:cs="Arial" w:eastAsia="Arial" w:hAnsi="Arial"/>
          <w:sz w:val="20"/>
          <w:szCs w:val="20"/>
          <w:color w:val="auto"/>
        </w:rPr>
      </w:pPr>
    </w:p>
    <w:p>
      <w:pPr>
        <w:ind w:left="1140" w:hanging="484"/>
        <w:spacing w:after="0"/>
        <w:tabs>
          <w:tab w:leader="none" w:pos="11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028" w:right="239" w:bottom="1440" w:gutter="0" w:footer="0" w:header="0"/>
        </w:sectPr>
      </w:pPr>
    </w:p>
    <w:bookmarkStart w:id="61" w:name="page62"/>
    <w:bookmarkEnd w:id="61"/>
    <w:p>
      <w:pPr>
        <w:ind w:left="1140" w:hanging="484"/>
        <w:spacing w:after="0"/>
        <w:tabs>
          <w:tab w:leader="none" w:pos="11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140" w:hanging="484"/>
        <w:spacing w:after="0"/>
        <w:tabs>
          <w:tab w:leader="none" w:pos="11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Company:</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20" w:hanging="315"/>
        <w:spacing w:after="0"/>
        <w:tabs>
          <w:tab w:leader="none" w:pos="1620" w:val="left"/>
        </w:tabs>
        <w:numPr>
          <w:ilvl w:val="1"/>
          <w:numId w:val="44"/>
        </w:numPr>
        <w:rPr>
          <w:rFonts w:ascii="Arial" w:cs="Arial" w:eastAsia="Arial" w:hAnsi="Arial"/>
          <w:sz w:val="20"/>
          <w:szCs w:val="20"/>
          <w:color w:val="auto"/>
        </w:rPr>
      </w:pPr>
      <w:r>
        <w:rPr>
          <w:rFonts w:ascii="Arial" w:cs="Arial" w:eastAsia="Arial" w:hAnsi="Arial"/>
          <w:sz w:val="20"/>
          <w:szCs w:val="20"/>
          <w:color w:val="auto"/>
        </w:rPr>
        <w:t>commences a voluntary insolvency proceeding,</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20" w:hanging="315"/>
        <w:spacing w:after="0"/>
        <w:tabs>
          <w:tab w:leader="none" w:pos="1620" w:val="left"/>
        </w:tabs>
        <w:numPr>
          <w:ilvl w:val="1"/>
          <w:numId w:val="44"/>
        </w:numPr>
        <w:rPr>
          <w:rFonts w:ascii="Arial" w:cs="Arial" w:eastAsia="Arial" w:hAnsi="Arial"/>
          <w:sz w:val="20"/>
          <w:szCs w:val="20"/>
          <w:color w:val="auto"/>
        </w:rPr>
      </w:pPr>
      <w:r>
        <w:rPr>
          <w:rFonts w:ascii="Arial" w:cs="Arial" w:eastAsia="Arial" w:hAnsi="Arial"/>
          <w:sz w:val="20"/>
          <w:szCs w:val="20"/>
          <w:color w:val="auto"/>
        </w:rPr>
        <w:t>consents to the entry of an order for relief against it in an involuntary insolvency proceeding,</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20" w:hanging="315"/>
        <w:spacing w:after="0"/>
        <w:tabs>
          <w:tab w:leader="none" w:pos="1620" w:val="left"/>
        </w:tabs>
        <w:numPr>
          <w:ilvl w:val="1"/>
          <w:numId w:val="44"/>
        </w:numPr>
        <w:rPr>
          <w:rFonts w:ascii="Arial" w:cs="Arial" w:eastAsia="Arial" w:hAnsi="Arial"/>
          <w:sz w:val="20"/>
          <w:szCs w:val="20"/>
          <w:color w:val="auto"/>
        </w:rPr>
      </w:pPr>
      <w:r>
        <w:rPr>
          <w:rFonts w:ascii="Arial" w:cs="Arial" w:eastAsia="Arial" w:hAnsi="Arial"/>
          <w:sz w:val="20"/>
          <w:szCs w:val="20"/>
          <w:color w:val="auto"/>
        </w:rPr>
        <w:t>consents to the appointment of a Bankruptcy Custodian of it or for all or substantially all of its property,</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20" w:hanging="315"/>
        <w:spacing w:after="0"/>
        <w:tabs>
          <w:tab w:leader="none" w:pos="1620" w:val="left"/>
        </w:tabs>
        <w:numPr>
          <w:ilvl w:val="1"/>
          <w:numId w:val="44"/>
        </w:numPr>
        <w:rPr>
          <w:rFonts w:ascii="Arial" w:cs="Arial" w:eastAsia="Arial" w:hAnsi="Arial"/>
          <w:sz w:val="20"/>
          <w:szCs w:val="20"/>
          <w:color w:val="auto"/>
        </w:rPr>
      </w:pPr>
      <w:r>
        <w:rPr>
          <w:rFonts w:ascii="Arial" w:cs="Arial" w:eastAsia="Arial" w:hAnsi="Arial"/>
          <w:sz w:val="20"/>
          <w:szCs w:val="20"/>
          <w:color w:val="auto"/>
        </w:rPr>
        <w:t>makes a general assignment for the benefit of its creditors, or</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00" w:hanging="295"/>
        <w:spacing w:after="0"/>
        <w:tabs>
          <w:tab w:leader="none" w:pos="1600" w:val="left"/>
        </w:tabs>
        <w:numPr>
          <w:ilvl w:val="1"/>
          <w:numId w:val="44"/>
        </w:numPr>
        <w:rPr>
          <w:rFonts w:ascii="Arial" w:cs="Arial" w:eastAsia="Arial" w:hAnsi="Arial"/>
          <w:sz w:val="20"/>
          <w:szCs w:val="20"/>
          <w:color w:val="auto"/>
        </w:rPr>
      </w:pPr>
      <w:r>
        <w:rPr>
          <w:rFonts w:ascii="Arial" w:cs="Arial" w:eastAsia="Arial" w:hAnsi="Arial"/>
          <w:sz w:val="20"/>
          <w:szCs w:val="20"/>
          <w:color w:val="auto"/>
        </w:rPr>
        <w:t>generally is not paying its debts as they become due;</w:t>
      </w:r>
    </w:p>
    <w:p>
      <w:pPr>
        <w:spacing w:after="0" w:line="200" w:lineRule="exact"/>
        <w:rPr>
          <w:sz w:val="20"/>
          <w:szCs w:val="20"/>
          <w:color w:val="auto"/>
        </w:rPr>
      </w:pPr>
    </w:p>
    <w:p>
      <w:pPr>
        <w:spacing w:after="0" w:line="218"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provided, however, that the liquidation of any Restricted Subsidiary into another Restricted Subsidiary, other than as part of a credit reorganization, shall not constitute an Event of Default under this Section 6.01(7)</w:t>
      </w:r>
    </w:p>
    <w:p>
      <w:pPr>
        <w:spacing w:after="0" w:line="338" w:lineRule="exact"/>
        <w:rPr>
          <w:sz w:val="20"/>
          <w:szCs w:val="20"/>
          <w:color w:val="auto"/>
        </w:rPr>
      </w:pPr>
    </w:p>
    <w:p>
      <w:pPr>
        <w:ind w:left="1140" w:hanging="484"/>
        <w:spacing w:after="0"/>
        <w:tabs>
          <w:tab w:leader="none" w:pos="11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 court of competent jurisdiction enters an order or decree under any Bankruptcy Law that:</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20" w:hanging="315"/>
        <w:spacing w:after="0"/>
        <w:tabs>
          <w:tab w:leader="none" w:pos="1620" w:val="left"/>
        </w:tabs>
        <w:numPr>
          <w:ilvl w:val="1"/>
          <w:numId w:val="45"/>
        </w:numPr>
        <w:rPr>
          <w:rFonts w:ascii="Arial" w:cs="Arial" w:eastAsia="Arial" w:hAnsi="Arial"/>
          <w:sz w:val="20"/>
          <w:szCs w:val="20"/>
          <w:color w:val="auto"/>
        </w:rPr>
      </w:pPr>
      <w:r>
        <w:rPr>
          <w:rFonts w:ascii="Arial" w:cs="Arial" w:eastAsia="Arial" w:hAnsi="Arial"/>
          <w:sz w:val="20"/>
          <w:szCs w:val="20"/>
          <w:color w:val="auto"/>
        </w:rPr>
        <w:t>is for relief against the Company in an involuntary insolvency proceeding;</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20" w:hanging="315"/>
        <w:spacing w:after="0"/>
        <w:tabs>
          <w:tab w:leader="none" w:pos="1620" w:val="left"/>
        </w:tabs>
        <w:numPr>
          <w:ilvl w:val="1"/>
          <w:numId w:val="45"/>
        </w:numPr>
        <w:rPr>
          <w:rFonts w:ascii="Arial" w:cs="Arial" w:eastAsia="Arial" w:hAnsi="Arial"/>
          <w:sz w:val="20"/>
          <w:szCs w:val="20"/>
          <w:color w:val="auto"/>
        </w:rPr>
      </w:pPr>
      <w:r>
        <w:rPr>
          <w:rFonts w:ascii="Arial" w:cs="Arial" w:eastAsia="Arial" w:hAnsi="Arial"/>
          <w:sz w:val="20"/>
          <w:szCs w:val="20"/>
          <w:color w:val="auto"/>
        </w:rPr>
        <w:t>appoints a Bankruptcy Custodian of the Company for all or substantially all of the property of the Company; or</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20" w:hanging="315"/>
        <w:spacing w:after="0"/>
        <w:tabs>
          <w:tab w:leader="none" w:pos="1620" w:val="left"/>
        </w:tabs>
        <w:numPr>
          <w:ilvl w:val="1"/>
          <w:numId w:val="45"/>
        </w:numPr>
        <w:rPr>
          <w:rFonts w:ascii="Arial" w:cs="Arial" w:eastAsia="Arial" w:hAnsi="Arial"/>
          <w:sz w:val="20"/>
          <w:szCs w:val="20"/>
          <w:color w:val="auto"/>
        </w:rPr>
      </w:pPr>
      <w:r>
        <w:rPr>
          <w:rFonts w:ascii="Arial" w:cs="Arial" w:eastAsia="Arial" w:hAnsi="Arial"/>
          <w:sz w:val="20"/>
          <w:szCs w:val="20"/>
          <w:color w:val="auto"/>
        </w:rPr>
        <w:t>orders the liquidation of the Company;</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 the order or decree remains unstayed and in effect for 60 consecutive days; and</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(9) [INTENTIONALLY OMITTED]”</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AMENDMENTS TO CERTAIN DEFINITIONS</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hereof,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Indenture is hereby amended by deleting those definitions which appear solely in the text deleted from the Indenture pursuant to the amendments contained in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herein. All cross-references in the Indenture to sections and clauses deleted by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shall also be deleted in their entirety.</w:t>
      </w:r>
    </w:p>
    <w:p>
      <w:pPr>
        <w:spacing w:after="0" w:line="397"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ARTICLE III</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AMENDMENTS TO THE NOTES</w:t>
      </w:r>
    </w:p>
    <w:p>
      <w:pPr>
        <w:spacing w:after="0" w:line="2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 xml:space="preserve">The Notes include certain of the foregoing provisions from the Indenture to be deleted or amended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hereof. Upon the Operative Date, such provisions from the Notes shall be deemed deleted or amended as applicable.</w:t>
      </w:r>
    </w:p>
    <w:p>
      <w:pPr>
        <w:spacing w:after="0" w:line="386"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ARTICLE IV</w:t>
      </w:r>
    </w:p>
    <w:p>
      <w:pPr>
        <w:spacing w:after="0" w:line="54"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MISCELLANEOUS PROVISIONS</w:t>
      </w:r>
    </w:p>
    <w:p>
      <w:pPr>
        <w:spacing w:after="0" w:line="200" w:lineRule="exact"/>
        <w:rPr>
          <w:sz w:val="20"/>
          <w:szCs w:val="20"/>
          <w:color w:val="auto"/>
        </w:rPr>
      </w:pPr>
    </w:p>
    <w:p>
      <w:pPr>
        <w:spacing w:after="0" w:line="30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028" w:right="239" w:bottom="1440" w:gutter="0" w:footer="0" w:header="0"/>
        </w:sectPr>
      </w:pPr>
    </w:p>
    <w:bookmarkStart w:id="62" w:name="page63"/>
    <w:bookmarkEnd w:id="62"/>
    <w:p>
      <w:pPr>
        <w:jc w:val="both"/>
        <w:ind w:firstLine="648"/>
        <w:spacing w:after="0" w:line="293"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u w:val="single" w:color="auto"/>
          <w:color w:val="auto"/>
        </w:rPr>
        <w:t>EFFECT OF SUPPLEMENTAL INDENTURE</w:t>
      </w:r>
      <w:r>
        <w:rPr>
          <w:rFonts w:ascii="Arial" w:cs="Arial" w:eastAsia="Arial" w:hAnsi="Arial"/>
          <w:sz w:val="20"/>
          <w:szCs w:val="20"/>
          <w:color w:val="auto"/>
        </w:rPr>
        <w:t>. Except as amended hereby, all of the terms of the Indenture shall remain and continue in full force and effect and are hereby confirmed in all respects. From and after the date of this Supplemental Indenture, all references to the Indenture (whether in the Indenture or in any other agreements, documents or instruments) shall be deemed to be references to the Indenture as amended and supplemented by this Supplemental Indenture.</w:t>
      </w:r>
    </w:p>
    <w:p>
      <w:pPr>
        <w:spacing w:after="0" w:line="18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EFFECTIVENESS</w:t>
      </w:r>
      <w:r>
        <w:rPr>
          <w:rFonts w:ascii="Arial" w:cs="Arial" w:eastAsia="Arial" w:hAnsi="Arial"/>
          <w:sz w:val="19"/>
          <w:szCs w:val="19"/>
          <w:color w:val="auto"/>
        </w:rPr>
        <w:t xml:space="preserve">. This Supplemental Indenture shall become effective and binding on the Issuers, the Guarantors, the Trustee and every Holder of the Notes heretofore or hereafter authenticated and delivered under the Indenture, upon the execution and delivery by the parties to this Supplemental Indenture; provided that the amendments to the Indenture and the Notes set forth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hereof shall not become operative until the Operative Date. Prior to the Operative Date, the Issuers or the Guarantors may terminate this Supplemental Indenture upon written notice to the Trustee;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if the Tender Offer has been terminated or withdrawn, or if upon the final settlement date of the Tender Offer the Company has not paid the Consideration, this Supplemental Indenture shall be automatically terminated and the Indenture will remain in effect in its current form.</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38" w:right="239" w:bottom="1440" w:gutter="0" w:footer="0" w:header="0"/>
        </w:sectPr>
      </w:pPr>
    </w:p>
    <w:bookmarkStart w:id="63" w:name="page64"/>
    <w:bookmarkEnd w:id="63"/>
    <w:p>
      <w:pPr>
        <w:jc w:val="both"/>
        <w:ind w:firstLine="648"/>
        <w:spacing w:after="0" w:line="299"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u w:val="single" w:color="auto"/>
          <w:color w:val="auto"/>
        </w:rPr>
        <w:t>NEW YORK LAW TO GOVERN; WAIVER OF JURY TRIAL</w:t>
      </w:r>
      <w:r>
        <w:rPr>
          <w:rFonts w:ascii="Arial" w:cs="Arial" w:eastAsia="Arial" w:hAnsi="Arial"/>
          <w:sz w:val="19"/>
          <w:szCs w:val="19"/>
          <w:color w:val="auto"/>
        </w:rPr>
        <w:t>. THIS SUPPLEMENTAL INDENTURE SHALL BE GOVERNED BY, AND CONSTRUED IN ACCORDANCE WITH THE LAWS OF THE STATE OF NEW YORK. THE ISSUERS, THE TRUSTEE AND EACH OF THE GUARANTORS CONSENTS AND IRREVOCABLY SUBMITS TO THE JURISDICTION OF ANY NEW YORK STATE OR U.S. FEDERAL COURT LOCATED IN THE BOROUGH OF MANHATTAN, CITY OF NEW YORK, COUNTY OF NEW YORK, STATE OF NEW YORK IN RELATION TO ANY LEGAL ACTION OR PROCEEDING ARISING OUT OF, RELATING TO OR IN CONNECTION WITH THIS SUPPLEMENTAL INDENTURE AND ANY RELATED DOCUMENTS. THE ISSUERS, THE TRUSTEE AND EACH OF THE GUARANTORS WAIVES ANY OBJECTION TO PROCEEDINGS IN ANY SUCH COURTS, WHETHER ON THE GROUND OF VENUE OR ON THE GROUND THAT THE PROCEEDINGS HAVE BEEN BROUGHT IN AN INCONVENIENT FORUM. THE ISSUERS, THE TRUSTEE AND EACH OF THE GUARANTORS, TO THE EXTENT ORGANIZED OUTSIDE OF THE UNITED STATES, SHALL APPOINT CT CORPORATION SYSTEM, 111 EIGHTH AVENUE, 13TH FLOOR, NEW YORK, NY 10011, AS ITS AGENT FOR SERVICE OF PROCESS IN ANY SUCH SUIT, ACTION OR PROCEEDING AND AGREES THAT SERVICE OF PROCESS UPON SAID AUTHORIZED AGENT SHALL BE DEEMED IN EVERY RESPECT EFFECTIVE SERVICE OF PROCESS UPON IT IN ANY SUCH SUIT, ACTION OR PROCEEDING. THE ISSUERS, THE TRUSTEE AND EACH OF THE GUARANTORS AGREES TO DELIVER, UPON THE EXECUTION AND DELIVERY OF THIS SUPPLEMENTAL INDENTURE, A WRITTEN ACCEPTANCE BY SUCH AGENT OF ITS APPOINTMENT AS SUCH AGENT. THE ISSUERS, THE TRUSTEE AND EACH OF THE GUARANTORS, TO THE EXTENT ORGANIZED OUTSIDE OF THE UNITED STATES, FURTHER AGREES TO TAKE ANY AND ALL ACTION, INCLUDING THE FILING OF ANY AND ALL SUCH DOCUMENTS AND INSTRUMENTS, AS MAY BE REASONABLY NECESSARY TO CONTINUE SUCH DESIGNATION AND APPOINTMENT OF CT CORPORATION SYSTEM IN FULL FORCE AND EFFECT FOR SO LONG AS THE INDENTURE, REMAINS IN FORCE. THE ISSUERS, THE TRUSTEE AND EACH OF THE GUARANTORS HEREBY IRREVOCABLY WAIVES, TO THE FULLEST EXTENT PERMITTED BY APPLICABLE LAW, ANY AND ALL RIGHT TO TRIAL BY JURY IN ANY LEGAL PROCEEDING ARISING OUT OF OR RELATING TO THIS SUPPLEMENTAL INDENTURE OR THE TRANSACTIONS CONTEMPLATED HEREBY.</w:t>
      </w:r>
    </w:p>
    <w:p>
      <w:pPr>
        <w:spacing w:after="0" w:line="18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0"/>
          <w:szCs w:val="20"/>
          <w:color w:val="auto"/>
        </w:rPr>
        <w:t xml:space="preserve">SECTION 4.04. </w:t>
      </w:r>
      <w:r>
        <w:rPr>
          <w:rFonts w:ascii="Arial" w:cs="Arial" w:eastAsia="Arial" w:hAnsi="Arial"/>
          <w:sz w:val="20"/>
          <w:szCs w:val="20"/>
          <w:u w:val="single" w:color="auto"/>
          <w:color w:val="auto"/>
        </w:rPr>
        <w:t>COUNTERPARTS</w:t>
      </w:r>
      <w:r>
        <w:rPr>
          <w:rFonts w:ascii="Arial" w:cs="Arial" w:eastAsia="Arial" w:hAnsi="Arial"/>
          <w:sz w:val="20"/>
          <w:szCs w:val="20"/>
          <w:color w:val="auto"/>
        </w:rPr>
        <w:t>. The parties may sign any number of copies of this Supplemental Indenture. Each signed copy (which may be provided via facsimile or other electronic transmission) shall be an original, but all of them together represent the same agreement.</w:t>
      </w:r>
    </w:p>
    <w:p>
      <w:pPr>
        <w:spacing w:after="0" w:line="180"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20"/>
          <w:szCs w:val="20"/>
          <w:color w:val="auto"/>
        </w:rPr>
        <w:t xml:space="preserve">SECTION 4.05. </w:t>
      </w:r>
      <w:r>
        <w:rPr>
          <w:rFonts w:ascii="Arial" w:cs="Arial" w:eastAsia="Arial" w:hAnsi="Arial"/>
          <w:sz w:val="20"/>
          <w:szCs w:val="20"/>
          <w:u w:val="single" w:color="auto"/>
          <w:color w:val="auto"/>
        </w:rPr>
        <w:t>EFFECT OF HEADINGS</w:t>
      </w:r>
      <w:r>
        <w:rPr>
          <w:rFonts w:ascii="Arial" w:cs="Arial" w:eastAsia="Arial" w:hAnsi="Arial"/>
          <w:sz w:val="20"/>
          <w:szCs w:val="20"/>
          <w:color w:val="auto"/>
        </w:rPr>
        <w:t>. The Article and Section headings herein are for convenience only and shall not affect the construction hereof.</w:t>
      </w:r>
    </w:p>
    <w:p>
      <w:pPr>
        <w:spacing w:after="0" w:line="378"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hereto will execute and deliver such further instruments and do such further acts and things as may be reasonably required to carry out the intent and purpose of this Supplemental Indenture and the Indenture.</w:t>
      </w:r>
    </w:p>
    <w:p>
      <w:pPr>
        <w:spacing w:after="0" w:line="116" w:lineRule="exact"/>
        <w:rPr>
          <w:sz w:val="20"/>
          <w:szCs w:val="20"/>
          <w:color w:val="auto"/>
        </w:rPr>
      </w:pPr>
    </w:p>
    <w:p>
      <w:pPr>
        <w:jc w:val="both"/>
        <w:ind w:right="20" w:firstLine="648"/>
        <w:spacing w:after="0" w:line="317" w:lineRule="auto"/>
        <w:rPr>
          <w:sz w:val="20"/>
          <w:szCs w:val="20"/>
          <w:color w:val="auto"/>
        </w:rPr>
      </w:pPr>
      <w:r>
        <w:rPr>
          <w:rFonts w:ascii="Arial" w:cs="Arial" w:eastAsia="Arial" w:hAnsi="Arial"/>
          <w:sz w:val="20"/>
          <w:szCs w:val="20"/>
          <w:color w:val="auto"/>
        </w:rPr>
        <w:t xml:space="preserve">SECTION 4.07. </w:t>
      </w:r>
      <w:r>
        <w:rPr>
          <w:rFonts w:ascii="Arial" w:cs="Arial" w:eastAsia="Arial" w:hAnsi="Arial"/>
          <w:sz w:val="20"/>
          <w:szCs w:val="20"/>
          <w:u w:val="single" w:color="auto"/>
          <w:color w:val="auto"/>
        </w:rPr>
        <w:t>THE TRUSTEE</w:t>
      </w:r>
      <w:r>
        <w:rPr>
          <w:rFonts w:ascii="Arial" w:cs="Arial" w:eastAsia="Arial" w:hAnsi="Arial"/>
          <w:sz w:val="20"/>
          <w:szCs w:val="20"/>
          <w:color w:val="auto"/>
        </w:rPr>
        <w:t>. The Trustee shall not be responsible in any manner whatsoever for or in respect of the validity or sufficiency of this Supplemental Indenture or for or in respect of the recitals</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839" w:right="239" w:bottom="1440" w:gutter="0" w:footer="0" w:header="0"/>
        </w:sectPr>
      </w:pPr>
    </w:p>
    <w:bookmarkStart w:id="64" w:name="page65"/>
    <w:bookmarkEnd w:id="64"/>
    <w:p>
      <w:pPr>
        <w:spacing w:after="0" w:line="303" w:lineRule="auto"/>
        <w:rPr>
          <w:sz w:val="20"/>
          <w:szCs w:val="20"/>
          <w:color w:val="auto"/>
        </w:rPr>
      </w:pPr>
      <w:r>
        <w:rPr>
          <w:rFonts w:ascii="Arial" w:cs="Arial" w:eastAsia="Arial" w:hAnsi="Arial"/>
          <w:sz w:val="20"/>
          <w:szCs w:val="20"/>
          <w:color w:val="auto"/>
        </w:rPr>
        <w:t>contained herein (other than with respect to the Trustee in the fifth recital contained herein), all of such recitals are made solely by the Issuers and the Guarantors.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838" w:right="239" w:bottom="1440" w:gutter="0" w:footer="0" w:header="0"/>
        </w:sectPr>
      </w:pPr>
    </w:p>
    <w:bookmarkStart w:id="65" w:name="page66"/>
    <w:bookmarkEnd w:id="65"/>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COMPANY:</w:t>
      </w:r>
    </w:p>
    <w:p>
      <w:pPr>
        <w:spacing w:after="0" w:line="200" w:lineRule="exact"/>
        <w:rPr>
          <w:sz w:val="20"/>
          <w:szCs w:val="20"/>
          <w:color w:val="auto"/>
        </w:rPr>
      </w:pPr>
    </w:p>
    <w:p>
      <w:pPr>
        <w:spacing w:after="0" w:line="238"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ENDO FINANCE LLC</w:t>
      </w:r>
    </w:p>
    <w:p>
      <w:pPr>
        <w:spacing w:after="0" w:line="27" w:lineRule="exact"/>
        <w:rPr>
          <w:sz w:val="20"/>
          <w:szCs w:val="20"/>
          <w:color w:val="auto"/>
        </w:rPr>
      </w:pPr>
    </w:p>
    <w:p>
      <w:pPr>
        <w:ind w:left="3580"/>
        <w:spacing w:after="0"/>
        <w:tabs>
          <w:tab w:leader="none" w:pos="4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2576195</wp:posOffset>
            </wp:positionH>
            <wp:positionV relativeFrom="paragraph">
              <wp:posOffset>-14605</wp:posOffset>
            </wp:positionV>
            <wp:extent cx="937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7895" cy="8890"/>
                    </a:xfrm>
                    <a:prstGeom prst="rect">
                      <a:avLst/>
                    </a:prstGeom>
                    <a:noFill/>
                  </pic:spPr>
                </pic:pic>
              </a:graphicData>
            </a:graphic>
          </wp:anchor>
        </w:drawing>
      </w:r>
    </w:p>
    <w:p>
      <w:pPr>
        <w:ind w:left="7540"/>
        <w:spacing w:after="0"/>
        <w:tabs>
          <w:tab w:leader="none" w:pos="8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Deanna Voss</w:t>
      </w:r>
    </w:p>
    <w:p>
      <w:pPr>
        <w:spacing w:after="0" w:line="8" w:lineRule="exact"/>
        <w:rPr>
          <w:sz w:val="20"/>
          <w:szCs w:val="20"/>
          <w:color w:val="auto"/>
        </w:rPr>
      </w:pPr>
    </w:p>
    <w:p>
      <w:pPr>
        <w:ind w:left="7540"/>
        <w:spacing w:after="0"/>
        <w:tabs>
          <w:tab w:leader="none" w:pos="8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Secretary</w:t>
      </w:r>
    </w:p>
    <w:p>
      <w:pPr>
        <w:spacing w:after="0" w:line="200" w:lineRule="exact"/>
        <w:rPr>
          <w:sz w:val="20"/>
          <w:szCs w:val="20"/>
          <w:color w:val="auto"/>
        </w:rPr>
      </w:pPr>
    </w:p>
    <w:p>
      <w:pPr>
        <w:spacing w:after="0" w:line="210"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ISSUER:</w:t>
      </w:r>
    </w:p>
    <w:p>
      <w:pPr>
        <w:spacing w:after="0" w:line="200" w:lineRule="exact"/>
        <w:rPr>
          <w:sz w:val="20"/>
          <w:szCs w:val="20"/>
          <w:color w:val="auto"/>
        </w:rPr>
      </w:pPr>
    </w:p>
    <w:p>
      <w:pPr>
        <w:spacing w:after="0" w:line="238"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ENDO FINCO INC.</w:t>
      </w:r>
    </w:p>
    <w:p>
      <w:pPr>
        <w:spacing w:after="0" w:line="27" w:lineRule="exact"/>
        <w:rPr>
          <w:sz w:val="20"/>
          <w:szCs w:val="20"/>
          <w:color w:val="auto"/>
        </w:rPr>
      </w:pPr>
    </w:p>
    <w:p>
      <w:pPr>
        <w:ind w:left="3580"/>
        <w:spacing w:after="0"/>
        <w:tabs>
          <w:tab w:leader="none" w:pos="4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2576195</wp:posOffset>
            </wp:positionH>
            <wp:positionV relativeFrom="paragraph">
              <wp:posOffset>-14605</wp:posOffset>
            </wp:positionV>
            <wp:extent cx="937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7895" cy="8890"/>
                    </a:xfrm>
                    <a:prstGeom prst="rect">
                      <a:avLst/>
                    </a:prstGeom>
                    <a:noFill/>
                  </pic:spPr>
                </pic:pic>
              </a:graphicData>
            </a:graphic>
          </wp:anchor>
        </w:drawing>
      </w:r>
    </w:p>
    <w:p>
      <w:pPr>
        <w:ind w:left="7540"/>
        <w:spacing w:after="0"/>
        <w:tabs>
          <w:tab w:leader="none" w:pos="8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Deanna Voss</w:t>
      </w:r>
    </w:p>
    <w:p>
      <w:pPr>
        <w:spacing w:after="0" w:line="8" w:lineRule="exact"/>
        <w:rPr>
          <w:sz w:val="20"/>
          <w:szCs w:val="20"/>
          <w:color w:val="auto"/>
        </w:rPr>
      </w:pPr>
    </w:p>
    <w:p>
      <w:pPr>
        <w:ind w:left="7540"/>
        <w:spacing w:after="0"/>
        <w:tabs>
          <w:tab w:leader="none" w:pos="8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Secretary</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11420"/>
          </w:cols>
          <w:pgMar w:left="240" w:top="1028" w:right="239" w:bottom="1440" w:gutter="0" w:footer="0" w:header="0"/>
        </w:sectPr>
      </w:pPr>
    </w:p>
    <w:bookmarkStart w:id="66" w:name="page67"/>
    <w:bookmarkEnd w:id="66"/>
    <w:p>
      <w:pPr>
        <w:spacing w:after="0" w:line="244"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GUARANTORS:</w:t>
      </w:r>
    </w:p>
    <w:p>
      <w:pPr>
        <w:spacing w:after="0" w:line="2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U.S. FINANCE,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ENDO U.S.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67" w:name="page68"/>
    <w:bookmarkEnd w:id="67"/>
    <w:p>
      <w:pPr>
        <w:ind w:left="2380"/>
        <w:spacing w:after="0"/>
        <w:rPr>
          <w:sz w:val="20"/>
          <w:szCs w:val="20"/>
          <w:color w:val="auto"/>
        </w:rPr>
      </w:pPr>
      <w:r>
        <w:rPr>
          <w:rFonts w:ascii="Arial" w:cs="Arial" w:eastAsia="Arial" w:hAnsi="Arial"/>
          <w:sz w:val="22"/>
          <w:szCs w:val="22"/>
          <w:color w:val="auto"/>
        </w:rPr>
        <w:t>ENDO INNOVATION VALERA,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380" w:right="2119"/>
        <w:spacing w:after="0" w:line="246" w:lineRule="auto"/>
        <w:rPr>
          <w:sz w:val="20"/>
          <w:szCs w:val="20"/>
          <w:color w:val="auto"/>
        </w:rPr>
      </w:pPr>
      <w:r>
        <w:rPr>
          <w:rFonts w:ascii="Arial" w:cs="Arial" w:eastAsia="Arial" w:hAnsi="Arial"/>
          <w:sz w:val="22"/>
          <w:szCs w:val="22"/>
          <w:color w:val="auto"/>
        </w:rPr>
        <w:t>by: ENDO PHARMACEUTICALS VALERA INC., its managing member</w:t>
      </w:r>
    </w:p>
    <w:p>
      <w:pPr>
        <w:spacing w:after="0" w:line="200" w:lineRule="exact"/>
        <w:rPr>
          <w:sz w:val="20"/>
          <w:szCs w:val="20"/>
          <w:color w:val="auto"/>
        </w:rPr>
      </w:pP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293" w:right="1440" w:bottom="1440" w:gutter="0" w:footer="0" w:header="0"/>
        </w:sectPr>
      </w:pPr>
    </w:p>
    <w:bookmarkStart w:id="68" w:name="page69"/>
    <w:bookmarkEnd w:id="68"/>
    <w:p>
      <w:pPr>
        <w:ind w:left="2380"/>
        <w:spacing w:after="0"/>
        <w:rPr>
          <w:sz w:val="20"/>
          <w:szCs w:val="20"/>
          <w:color w:val="auto"/>
        </w:rPr>
      </w:pPr>
      <w:r>
        <w:rPr>
          <w:rFonts w:ascii="Arial" w:cs="Arial" w:eastAsia="Arial" w:hAnsi="Arial"/>
          <w:sz w:val="22"/>
          <w:szCs w:val="22"/>
          <w:color w:val="auto"/>
        </w:rPr>
        <w:t>ENDO GLOBAL FINANCE,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2090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Mark T. Bradley</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1293" w:right="1440" w:bottom="1440" w:gutter="0" w:footer="0" w:header="0"/>
        </w:sectPr>
      </w:pPr>
    </w:p>
    <w:bookmarkStart w:id="69" w:name="page70"/>
    <w:bookmarkEnd w:id="69"/>
    <w:p>
      <w:pPr>
        <w:spacing w:after="0" w:line="151" w:lineRule="exact"/>
        <w:rPr>
          <w:sz w:val="20"/>
          <w:szCs w:val="20"/>
          <w:color w:val="auto"/>
        </w:rPr>
      </w:pPr>
    </w:p>
    <w:p>
      <w:pPr>
        <w:ind w:left="2380" w:right="2099"/>
        <w:spacing w:after="0" w:line="246" w:lineRule="auto"/>
        <w:rPr>
          <w:sz w:val="20"/>
          <w:szCs w:val="20"/>
          <w:color w:val="auto"/>
        </w:rPr>
      </w:pPr>
      <w:r>
        <w:rPr>
          <w:rFonts w:ascii="Arial" w:cs="Arial" w:eastAsia="Arial" w:hAnsi="Arial"/>
          <w:sz w:val="22"/>
          <w:szCs w:val="22"/>
          <w:color w:val="auto"/>
        </w:rPr>
        <w:t>ACTIENT THERAPEUTICS, LLC AUXILIUM PHARMACEUTICALS, LLC AUXILIUM INTERNATIONAL HOLDINGS, LLC DAVA PHARMACEUTICALS, LLC ENDO HEALTH SOLUTIONS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PHARMACEUTICALS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1"/>
          <w:szCs w:val="21"/>
          <w:color w:val="auto"/>
        </w:rPr>
        <w:t>ENDO PHARMACEUTICALS SOLUTIONS INC.</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PHARMACEUTICALS VALERA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JHP GROUP HOLDINGS,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PAR,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SLATE PHARMACEUTICALS,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GENERICS HOLDINGS,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PAR STERILE PRODUCTS,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ANCHEN 2 INCORPORATED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ANCHEN INCORPORATED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ANCHEN PHARMACEUTICALS,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ANCHEN PHARMACEUTICALS 2,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GENERICS INTERNATIONAL (US) 2,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GENERICS INTERNATIONAL (US),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INNOTEQ 2,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INNOTEQ,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JHP GROUP HOLDINGS 2,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KALI LABORATORIES 2,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PAR PHARMACEUTICAL 2,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PAR PHARMACEUTICAL COMPANIES,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PAR PHARMACEUTICAL HOLDINGS,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PAR PHARMACEUTICAL,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PAR TWO,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KALI LABORATORIES,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ASTORA WOMEN’S HEALTH,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each, 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70" w:name="page71"/>
    <w:bookmarkEnd w:id="70"/>
    <w:p>
      <w:pPr>
        <w:ind w:left="2380"/>
        <w:spacing w:after="0"/>
        <w:rPr>
          <w:sz w:val="20"/>
          <w:szCs w:val="20"/>
          <w:color w:val="auto"/>
        </w:rPr>
      </w:pPr>
      <w:r>
        <w:rPr>
          <w:rFonts w:ascii="Arial" w:cs="Arial" w:eastAsia="Arial" w:hAnsi="Arial"/>
          <w:sz w:val="22"/>
          <w:szCs w:val="22"/>
          <w:color w:val="auto"/>
        </w:rPr>
        <w:t>JHP ACQUISITION, LLC</w:t>
      </w:r>
    </w:p>
    <w:p>
      <w:pPr>
        <w:spacing w:after="0" w:line="31"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JHP GROUP HOLDINGS,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U.S.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FINANCE OPERATIONS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each, 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GENERICS BIDCO I,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MOORES MILL PROPERTIES,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VINTAGE PHARMACEUTICALS,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each, as a Guarantor</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19"/>
          <w:szCs w:val="19"/>
          <w:color w:val="auto"/>
        </w:rPr>
        <w:t>by: GENERICS INTERNATIONAL (US), INC.,</w:t>
      </w:r>
    </w:p>
    <w:p>
      <w:pPr>
        <w:spacing w:after="0" w:line="38"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131" w:right="1440" w:bottom="1440" w:gutter="0" w:footer="0" w:header="0"/>
        </w:sectPr>
      </w:pPr>
    </w:p>
    <w:bookmarkStart w:id="71" w:name="page72"/>
    <w:bookmarkEnd w:id="71"/>
    <w:p>
      <w:pPr>
        <w:ind w:left="2380"/>
        <w:spacing w:after="0"/>
        <w:rPr>
          <w:sz w:val="20"/>
          <w:szCs w:val="20"/>
          <w:color w:val="auto"/>
        </w:rPr>
      </w:pPr>
      <w:r>
        <w:rPr>
          <w:rFonts w:ascii="Arial" w:cs="Arial" w:eastAsia="Arial" w:hAnsi="Arial"/>
          <w:sz w:val="22"/>
          <w:szCs w:val="22"/>
          <w:color w:val="auto"/>
        </w:rPr>
        <w:t>DAVA INTERNATIONAL,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by: DAVA PHARMACEUTICALS, LLC,</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ACTIENT PHARMACEUTICALS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AUXILIUM PHARMACEUTICALS, LLC,</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AUXILIUM US HOLDINGS,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by: AUXILIUM PHARMACEUTICALS, LLC,</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117" w:right="1440" w:bottom="1440" w:gutter="0" w:footer="0" w:header="0"/>
        </w:sectPr>
      </w:pPr>
    </w:p>
    <w:bookmarkStart w:id="72" w:name="page73"/>
    <w:bookmarkEnd w:id="72"/>
    <w:p>
      <w:pPr>
        <w:ind w:left="2380"/>
        <w:spacing w:after="0"/>
        <w:rPr>
          <w:sz w:val="20"/>
          <w:szCs w:val="20"/>
          <w:color w:val="auto"/>
        </w:rPr>
      </w:pPr>
      <w:r>
        <w:rPr>
          <w:rFonts w:ascii="Arial" w:cs="Arial" w:eastAsia="Arial" w:hAnsi="Arial"/>
          <w:sz w:val="22"/>
          <w:szCs w:val="22"/>
          <w:color w:val="auto"/>
        </w:rPr>
        <w:t>ENDO PHARMACEUTICALS FINANCE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by: GENERICS INTERNATIONAL (US PARENT), INC.</w:t>
      </w:r>
    </w:p>
    <w:p>
      <w:pPr>
        <w:spacing w:after="0" w:line="38"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Terrell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160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Terrell Stevens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GENERICS INTERNATIONAL (US PARENT), INC.</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Terrell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160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Terrell Stevens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117" w:right="1440" w:bottom="1440" w:gutter="0" w:footer="0" w:header="0"/>
        </w:sectPr>
      </w:pPr>
    </w:p>
    <w:bookmarkStart w:id="73" w:name="page74"/>
    <w:bookmarkEnd w:id="73"/>
    <w:p>
      <w:pPr>
        <w:ind w:left="2380"/>
        <w:spacing w:after="0"/>
        <w:rPr>
          <w:sz w:val="20"/>
          <w:szCs w:val="20"/>
          <w:color w:val="auto"/>
        </w:rPr>
      </w:pPr>
      <w:r>
        <w:rPr>
          <w:rFonts w:ascii="Arial" w:cs="Arial" w:eastAsia="Arial" w:hAnsi="Arial"/>
          <w:sz w:val="22"/>
          <w:szCs w:val="22"/>
          <w:color w:val="auto"/>
        </w:rPr>
        <w:t>70 MAPLE AVENUE, LLC</w:t>
      </w:r>
    </w:p>
    <w:p>
      <w:pPr>
        <w:spacing w:after="0" w:line="22"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by: ACTIENT PHARMACEUTICALS LLC,</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its manager</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AUXILIUM PHARMACEUTICALS,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TIMM MEDICAL HOLDINGS,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by: ACTIENT PHARMACEUTICALS LLC,</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its manager</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AUXILIUM PHARMACEUTICALS,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99" w:lineRule="exact"/>
        <w:rPr>
          <w:sz w:val="20"/>
          <w:szCs w:val="20"/>
          <w:color w:val="auto"/>
        </w:rPr>
      </w:pPr>
    </w:p>
    <w:p>
      <w:pPr>
        <w:ind w:left="2380" w:right="1899"/>
        <w:spacing w:after="0" w:line="251" w:lineRule="auto"/>
        <w:rPr>
          <w:sz w:val="20"/>
          <w:szCs w:val="20"/>
          <w:color w:val="auto"/>
        </w:rPr>
      </w:pPr>
      <w:r>
        <w:rPr>
          <w:rFonts w:ascii="Arial" w:cs="Arial" w:eastAsia="Arial" w:hAnsi="Arial"/>
          <w:sz w:val="22"/>
          <w:szCs w:val="22"/>
          <w:color w:val="auto"/>
        </w:rPr>
        <w:t>QUARTZ SPECIALTY PHARMACEUTICALS, LLC as a Guarantor</w:t>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GENERICS BIDCO I,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its manager</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by: GENERICS INTERNATIONAL (US), INC.,</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PAR INNOVATION COMPANY,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by: PAR PHARMACEUTICAL, INC.,</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117" w:right="1440" w:bottom="1440" w:gutter="0" w:footer="0" w:header="0"/>
        </w:sectPr>
      </w:pPr>
    </w:p>
    <w:bookmarkStart w:id="74" w:name="page75"/>
    <w:bookmarkEnd w:id="74"/>
    <w:p>
      <w:pPr>
        <w:ind w:left="2380"/>
        <w:spacing w:after="0"/>
        <w:rPr>
          <w:sz w:val="20"/>
          <w:szCs w:val="20"/>
          <w:color w:val="auto"/>
        </w:rPr>
      </w:pPr>
      <w:r>
        <w:rPr>
          <w:rFonts w:ascii="Arial" w:cs="Arial" w:eastAsia="Arial" w:hAnsi="Arial"/>
          <w:sz w:val="21"/>
          <w:szCs w:val="21"/>
          <w:color w:val="auto"/>
        </w:rPr>
        <w:t>PALADIN LABS CANADIAN HOLDING INC.</w:t>
      </w:r>
    </w:p>
    <w:p>
      <w:pPr>
        <w:spacing w:after="0" w:line="56"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PALADIN LAB INC.</w:t>
      </w:r>
    </w:p>
    <w:p>
      <w:pPr>
        <w:spacing w:after="0" w:line="4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each, as a Guarantor</w:t>
      </w:r>
    </w:p>
    <w:p>
      <w:pPr>
        <w:spacing w:after="0" w:line="328"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Secretary</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131" w:right="1440" w:bottom="1440" w:gutter="0" w:footer="0" w:header="0"/>
        </w:sectPr>
      </w:pPr>
    </w:p>
    <w:bookmarkStart w:id="75" w:name="page76"/>
    <w:bookmarkEnd w:id="75"/>
    <w:p>
      <w:pPr>
        <w:ind w:left="2620" w:right="699" w:hanging="242"/>
        <w:spacing w:after="0" w:line="281" w:lineRule="auto"/>
        <w:rPr>
          <w:sz w:val="20"/>
          <w:szCs w:val="20"/>
          <w:color w:val="auto"/>
        </w:rPr>
      </w:pPr>
      <w:r>
        <w:rPr>
          <w:rFonts w:ascii="Arial" w:cs="Arial" w:eastAsia="Arial" w:hAnsi="Arial"/>
          <w:sz w:val="22"/>
          <w:szCs w:val="22"/>
          <w:color w:val="auto"/>
        </w:rPr>
        <w:t>GENERICS INTERNATIONAL VENTURES ENTERPRISES LLC as a Guarantor</w:t>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ENDO VENTURES LIMITED,</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its sole member</w:t>
      </w:r>
    </w:p>
    <w:p>
      <w:pPr>
        <w:spacing w:after="0" w:line="328"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Marie-Therese Bolger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5506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5067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Marie-Therese Bolger</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131" w:right="1440" w:bottom="1440" w:gutter="0" w:footer="0" w:header="0"/>
        </w:sectPr>
      </w:pPr>
    </w:p>
    <w:bookmarkStart w:id="76" w:name="page77"/>
    <w:bookmarkEnd w:id="76"/>
    <w:p>
      <w:pPr>
        <w:ind w:left="2700"/>
        <w:spacing w:after="0"/>
        <w:rPr>
          <w:sz w:val="20"/>
          <w:szCs w:val="20"/>
          <w:color w:val="auto"/>
        </w:rPr>
      </w:pPr>
      <w:r>
        <w:rPr>
          <w:rFonts w:ascii="Arial" w:cs="Arial" w:eastAsia="Arial" w:hAnsi="Arial"/>
          <w:sz w:val="21"/>
          <w:szCs w:val="21"/>
          <w:color w:val="auto"/>
        </w:rPr>
        <w:t>ENDO GLOBAL AESTHETICS LIMITED</w:t>
      </w:r>
    </w:p>
    <w:p>
      <w:pPr>
        <w:spacing w:after="0" w:line="5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010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Rahul Garella</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1077" w:right="1440" w:bottom="1440" w:gutter="0" w:footer="0" w:header="0"/>
        </w:sectPr>
      </w:pPr>
    </w:p>
    <w:bookmarkStart w:id="77" w:name="page78"/>
    <w:bookmarkEnd w:id="77"/>
    <w:p>
      <w:pPr>
        <w:ind w:left="2700"/>
        <w:spacing w:after="0"/>
        <w:rPr>
          <w:sz w:val="20"/>
          <w:szCs w:val="20"/>
          <w:color w:val="auto"/>
        </w:rPr>
      </w:pPr>
      <w:r>
        <w:rPr>
          <w:rFonts w:ascii="Arial" w:cs="Arial" w:eastAsia="Arial" w:hAnsi="Arial"/>
          <w:sz w:val="21"/>
          <w:szCs w:val="21"/>
          <w:color w:val="auto"/>
        </w:rPr>
        <w:t>ENDO GLOBAL BIOLOGICS LIMITED</w:t>
      </w:r>
    </w:p>
    <w:p>
      <w:pPr>
        <w:spacing w:after="0" w:line="4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317"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3754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5410" cy="8890"/>
                    </a:xfrm>
                    <a:prstGeom prst="rect">
                      <a:avLst/>
                    </a:prstGeom>
                    <a:noFill/>
                  </pic:spPr>
                </pic:pic>
              </a:graphicData>
            </a:graphic>
          </wp:anchor>
        </w:drawing>
      </w:r>
    </w:p>
    <w:p>
      <w:pPr>
        <w:spacing w:after="0" w:line="2" w:lineRule="exact"/>
        <w:rPr>
          <w:sz w:val="20"/>
          <w:szCs w:val="20"/>
          <w:color w:val="auto"/>
        </w:rPr>
      </w:pPr>
    </w:p>
    <w:p>
      <w:pPr>
        <w:ind w:left="2380"/>
        <w:spacing w:after="0"/>
        <w:tabs>
          <w:tab w:leader="none" w:pos="31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Rahul Garella</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[Signature Page to Supplemental Indenture]</w:t>
      </w:r>
    </w:p>
    <w:p>
      <w:pPr>
        <w:sectPr>
          <w:pgSz w:w="11900" w:h="16838" w:orient="portrait"/>
          <w:cols w:equalWidth="0" w:num="1">
            <w:col w:w="9019"/>
          </w:cols>
          <w:pgMar w:left="1440" w:top="834" w:right="1440" w:bottom="1440" w:gutter="0" w:footer="0" w:header="0"/>
        </w:sectPr>
      </w:pPr>
    </w:p>
    <w:bookmarkStart w:id="78" w:name="page79"/>
    <w:bookmarkEnd w:id="78"/>
    <w:p>
      <w:pPr>
        <w:ind w:left="2380" w:right="619"/>
        <w:spacing w:after="0" w:line="289" w:lineRule="auto"/>
        <w:rPr>
          <w:sz w:val="20"/>
          <w:szCs w:val="20"/>
          <w:color w:val="auto"/>
        </w:rPr>
      </w:pPr>
      <w:r>
        <w:rPr>
          <w:rFonts w:ascii="Arial" w:cs="Arial" w:eastAsia="Arial" w:hAnsi="Arial"/>
          <w:sz w:val="22"/>
          <w:szCs w:val="22"/>
          <w:color w:val="auto"/>
        </w:rPr>
        <w:t>OPERATIONS REFINANCING COMPANY BERMUDA LIMITED as a Guarantor</w:t>
      </w:r>
    </w:p>
    <w:p>
      <w:pPr>
        <w:spacing w:after="0" w:line="200" w:lineRule="exact"/>
        <w:rPr>
          <w:sz w:val="20"/>
          <w:szCs w:val="20"/>
          <w:color w:val="auto"/>
        </w:rPr>
      </w:pPr>
    </w:p>
    <w:p>
      <w:pPr>
        <w:spacing w:after="0" w:line="2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3754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5410" cy="8890"/>
                    </a:xfrm>
                    <a:prstGeom prst="rect">
                      <a:avLst/>
                    </a:prstGeom>
                    <a:noFill/>
                  </pic:spPr>
                </pic:pic>
              </a:graphicData>
            </a:graphic>
          </wp:anchor>
        </w:drawing>
      </w:r>
    </w:p>
    <w:p>
      <w:pPr>
        <w:spacing w:after="0" w:line="2" w:lineRule="exact"/>
        <w:rPr>
          <w:sz w:val="20"/>
          <w:szCs w:val="20"/>
          <w:color w:val="auto"/>
        </w:rPr>
      </w:pPr>
    </w:p>
    <w:p>
      <w:pPr>
        <w:ind w:left="2380"/>
        <w:spacing w:after="0"/>
        <w:tabs>
          <w:tab w:leader="none" w:pos="31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Rahul Garella</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306" w:right="1440" w:bottom="1440" w:gutter="0" w:footer="0" w:header="0"/>
        </w:sectPr>
      </w:pPr>
    </w:p>
    <w:bookmarkStart w:id="79" w:name="page80"/>
    <w:bookmarkEnd w:id="79"/>
    <w:p>
      <w:pPr>
        <w:ind w:left="2380"/>
        <w:spacing w:after="0"/>
        <w:rPr>
          <w:sz w:val="20"/>
          <w:szCs w:val="20"/>
          <w:color w:val="auto"/>
        </w:rPr>
      </w:pPr>
      <w:r>
        <w:rPr>
          <w:rFonts w:ascii="Arial" w:cs="Arial" w:eastAsia="Arial" w:hAnsi="Arial"/>
          <w:sz w:val="21"/>
          <w:szCs w:val="21"/>
          <w:color w:val="auto"/>
        </w:rPr>
        <w:t>ENDO DESIGNATED ACTIVITY COMPANY</w:t>
      </w:r>
    </w:p>
    <w:p>
      <w:pPr>
        <w:spacing w:after="0" w:line="4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317"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3754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5410" cy="8890"/>
                    </a:xfrm>
                    <a:prstGeom prst="rect">
                      <a:avLst/>
                    </a:prstGeom>
                    <a:noFill/>
                  </pic:spPr>
                </pic:pic>
              </a:graphicData>
            </a:graphic>
          </wp:anchor>
        </w:drawing>
      </w:r>
    </w:p>
    <w:p>
      <w:pPr>
        <w:spacing w:after="0" w:line="2" w:lineRule="exact"/>
        <w:rPr>
          <w:sz w:val="20"/>
          <w:szCs w:val="20"/>
          <w:color w:val="auto"/>
        </w:rPr>
      </w:pPr>
    </w:p>
    <w:p>
      <w:pPr>
        <w:ind w:left="2380"/>
        <w:spacing w:after="0"/>
        <w:tabs>
          <w:tab w:leader="none" w:pos="31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Rahul Garella</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307" w:right="1440" w:bottom="1440" w:gutter="0" w:footer="0" w:header="0"/>
        </w:sectPr>
      </w:pPr>
    </w:p>
    <w:bookmarkStart w:id="80" w:name="page81"/>
    <w:bookmarkEnd w:id="80"/>
    <w:p>
      <w:pPr>
        <w:spacing w:after="0" w:line="12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INTERNATIONAL PLC</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81" w:name="page82"/>
    <w:bookmarkEnd w:id="81"/>
    <w:p>
      <w:pPr>
        <w:ind w:left="2380"/>
        <w:spacing w:after="0"/>
        <w:rPr>
          <w:sz w:val="20"/>
          <w:szCs w:val="20"/>
          <w:color w:val="auto"/>
        </w:rPr>
      </w:pPr>
      <w:r>
        <w:rPr>
          <w:rFonts w:ascii="Arial" w:cs="Arial" w:eastAsia="Arial" w:hAnsi="Arial"/>
          <w:sz w:val="22"/>
          <w:szCs w:val="22"/>
          <w:color w:val="auto"/>
        </w:rPr>
        <w:t>PAR LABORATORIES EUROPE, LTD.</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668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Rahul Garella</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820" w:right="1440" w:bottom="1440" w:gutter="0" w:footer="0" w:header="0"/>
        </w:sectPr>
      </w:pPr>
    </w:p>
    <w:bookmarkStart w:id="82" w:name="page83"/>
    <w:bookmarkEnd w:id="82"/>
    <w:p>
      <w:pPr>
        <w:ind w:left="2380"/>
        <w:spacing w:after="0"/>
        <w:rPr>
          <w:sz w:val="20"/>
          <w:szCs w:val="20"/>
          <w:color w:val="auto"/>
        </w:rPr>
      </w:pPr>
      <w:r>
        <w:rPr>
          <w:rFonts w:ascii="Arial" w:cs="Arial" w:eastAsia="Arial" w:hAnsi="Arial"/>
          <w:sz w:val="22"/>
          <w:szCs w:val="22"/>
          <w:color w:val="auto"/>
        </w:rPr>
        <w:t>ENDO VENTURES CYPRUS LIMITED</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Jenny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2484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4841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Jenny O’Connell</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1077" w:right="1440" w:bottom="1440" w:gutter="0" w:footer="0" w:header="0"/>
        </w:sectPr>
      </w:pPr>
    </w:p>
    <w:bookmarkStart w:id="83" w:name="page84"/>
    <w:bookmarkEnd w:id="83"/>
    <w:p>
      <w:pPr>
        <w:ind w:left="2380"/>
        <w:spacing w:after="0"/>
        <w:rPr>
          <w:sz w:val="20"/>
          <w:szCs w:val="20"/>
          <w:color w:val="auto"/>
        </w:rPr>
      </w:pPr>
      <w:r>
        <w:rPr>
          <w:rFonts w:ascii="Arial" w:cs="Arial" w:eastAsia="Arial" w:hAnsi="Arial"/>
          <w:sz w:val="22"/>
          <w:szCs w:val="22"/>
          <w:color w:val="auto"/>
        </w:rPr>
        <w:t>ENDO FINANCE LIMITED</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FINANCE II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FINANCE III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FINANCE IV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FINANCE V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IRELAND FINANCE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IRELAND FINANCE II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MANAGEMENT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TOPFIN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VENTURES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1"/>
          <w:szCs w:val="21"/>
          <w:color w:val="auto"/>
        </w:rPr>
        <w:t>HAWK ACQUISITION IRELAND LIMITED</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IRELAND HOLDINGS LIMITED</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each, 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1010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Rahul Garella</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Supplemental Indenture]</w:t>
      </w:r>
    </w:p>
    <w:p>
      <w:pPr>
        <w:sectPr>
          <w:pgSz w:w="11900" w:h="16838" w:orient="portrait"/>
          <w:cols w:equalWidth="0" w:num="1">
            <w:col w:w="9019"/>
          </w:cols>
          <w:pgMar w:left="1440" w:top="820" w:right="1440" w:bottom="1440" w:gutter="0" w:footer="0" w:header="0"/>
        </w:sectPr>
      </w:pPr>
    </w:p>
    <w:bookmarkStart w:id="84" w:name="page85"/>
    <w:bookmarkEnd w:id="84"/>
    <w:p>
      <w:pPr>
        <w:ind w:left="2380"/>
        <w:spacing w:after="0"/>
        <w:rPr>
          <w:sz w:val="20"/>
          <w:szCs w:val="20"/>
          <w:color w:val="auto"/>
        </w:rPr>
      </w:pPr>
      <w:r>
        <w:rPr>
          <w:rFonts w:ascii="Arial" w:cs="Arial" w:eastAsia="Arial" w:hAnsi="Arial"/>
          <w:sz w:val="21"/>
          <w:szCs w:val="21"/>
          <w:color w:val="auto"/>
        </w:rPr>
        <w:t>ENDO VENTURES BERMUDA LIMITED</w:t>
      </w:r>
    </w:p>
    <w:p>
      <w:pPr>
        <w:spacing w:after="0" w:line="33"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Marie-Therese Bolger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5506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5067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Marie-Therese Bolger</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820" w:right="1440" w:bottom="1440" w:gutter="0" w:footer="0" w:header="0"/>
        </w:sectPr>
      </w:pPr>
    </w:p>
    <w:bookmarkStart w:id="85" w:name="page86"/>
    <w:bookmarkEnd w:id="85"/>
    <w:p>
      <w:pPr>
        <w:ind w:left="2380"/>
        <w:spacing w:after="0"/>
        <w:rPr>
          <w:sz w:val="20"/>
          <w:szCs w:val="20"/>
          <w:color w:val="auto"/>
        </w:rPr>
      </w:pPr>
      <w:r>
        <w:rPr>
          <w:rFonts w:ascii="Arial" w:cs="Arial" w:eastAsia="Arial" w:hAnsi="Arial"/>
          <w:sz w:val="22"/>
          <w:szCs w:val="22"/>
          <w:color w:val="auto"/>
        </w:rPr>
        <w:t>ENDO GLOBAL VENTURES</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Marie-Therese Bolger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5506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5067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Marie-Therese Bolger</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1077" w:right="1440" w:bottom="1440" w:gutter="0" w:footer="0" w:header="0"/>
        </w:sectPr>
      </w:pPr>
    </w:p>
    <w:bookmarkStart w:id="86" w:name="page87"/>
    <w:bookmarkEnd w:id="86"/>
    <w:p>
      <w:pPr>
        <w:ind w:left="2380"/>
        <w:spacing w:after="0"/>
        <w:rPr>
          <w:sz w:val="20"/>
          <w:szCs w:val="20"/>
          <w:color w:val="auto"/>
        </w:rPr>
      </w:pPr>
      <w:r>
        <w:rPr>
          <w:rFonts w:ascii="Arial" w:cs="Arial" w:eastAsia="Arial" w:hAnsi="Arial"/>
          <w:sz w:val="22"/>
          <w:szCs w:val="22"/>
          <w:color w:val="auto"/>
        </w:rPr>
        <w:t>ENDO BERMUDA FINANCE LIMITED</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1010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Rahul Garella</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820" w:right="1440" w:bottom="1440" w:gutter="0" w:footer="0" w:header="0"/>
        </w:sectPr>
      </w:pPr>
    </w:p>
    <w:bookmarkStart w:id="87" w:name="page88"/>
    <w:bookmarkEnd w:id="87"/>
    <w:p>
      <w:pPr>
        <w:ind w:left="2380"/>
        <w:spacing w:after="0"/>
        <w:rPr>
          <w:sz w:val="20"/>
          <w:szCs w:val="20"/>
          <w:color w:val="auto"/>
        </w:rPr>
      </w:pPr>
      <w:r>
        <w:rPr>
          <w:rFonts w:ascii="Arial" w:cs="Arial" w:eastAsia="Arial" w:hAnsi="Arial"/>
          <w:sz w:val="22"/>
          <w:szCs w:val="22"/>
          <w:color w:val="auto"/>
        </w:rPr>
        <w:t>ENDO SOMAR HOLDINGS B.V.</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668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Rahul Garella</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Managing Director A</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Gert Jan Rietberg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-17780</wp:posOffset>
            </wp:positionV>
            <wp:extent cx="11023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Gert Jan Rietberg</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Managing Director B</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1036" w:right="1440" w:bottom="1440" w:gutter="0" w:footer="0" w:header="0"/>
        </w:sectPr>
      </w:pPr>
    </w:p>
    <w:bookmarkStart w:id="88" w:name="page89"/>
    <w:bookmarkEnd w:id="88"/>
    <w:p>
      <w:pPr>
        <w:ind w:left="1880"/>
        <w:spacing w:after="0"/>
        <w:rPr>
          <w:sz w:val="20"/>
          <w:szCs w:val="20"/>
          <w:color w:val="auto"/>
        </w:rPr>
      </w:pPr>
      <w:r>
        <w:rPr>
          <w:rFonts w:ascii="Arial" w:cs="Arial" w:eastAsia="Arial" w:hAnsi="Arial"/>
          <w:sz w:val="21"/>
          <w:szCs w:val="21"/>
          <w:color w:val="auto"/>
        </w:rPr>
        <w:t>ENDO LUXEMBOURG HOLDING COMPANY S.À.R.L.</w:t>
      </w:r>
    </w:p>
    <w:p>
      <w:pPr>
        <w:spacing w:after="0" w:line="33"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/s/ Laritza Ferreiro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-17780</wp:posOffset>
            </wp:positionV>
            <wp:extent cx="15773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Laritza Ferreiro</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A Manager</w:t>
      </w:r>
    </w:p>
    <w:p>
      <w:pPr>
        <w:spacing w:after="0" w:line="200" w:lineRule="exact"/>
        <w:rPr>
          <w:sz w:val="20"/>
          <w:szCs w:val="20"/>
          <w:color w:val="auto"/>
        </w:rPr>
      </w:pPr>
    </w:p>
    <w:p>
      <w:pPr>
        <w:spacing w:after="0" w:line="29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/s/ François-Xavier Goossens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-17780</wp:posOffset>
            </wp:positionV>
            <wp:extent cx="18903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90395" cy="8890"/>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François-Xavier Goossens</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B Manager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ENDO LUXEMBOURG FINANCE COMPANY I S.À.R.L.</w:t>
      </w:r>
    </w:p>
    <w:p>
      <w:pPr>
        <w:spacing w:after="0" w:line="33"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/s/ Laritza Ferreiro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-17780</wp:posOffset>
            </wp:positionV>
            <wp:extent cx="15773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Laritza Ferreiro</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A Manager</w:t>
      </w:r>
    </w:p>
    <w:p>
      <w:pPr>
        <w:spacing w:after="0" w:line="200" w:lineRule="exact"/>
        <w:rPr>
          <w:sz w:val="20"/>
          <w:szCs w:val="20"/>
          <w:color w:val="auto"/>
        </w:rPr>
      </w:pPr>
    </w:p>
    <w:p>
      <w:pPr>
        <w:spacing w:after="0" w:line="29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/s/ François-Xavier Goossens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-17780</wp:posOffset>
            </wp:positionV>
            <wp:extent cx="18903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90395" cy="8890"/>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François-Xavier Goossens</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B Manager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ENDO LUXEMBOURG FINANCE COMPANY II S.À.R.L.</w:t>
      </w:r>
    </w:p>
    <w:p>
      <w:pPr>
        <w:spacing w:after="0" w:line="33"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/s/ Laritza Ferreiro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-17780</wp:posOffset>
            </wp:positionV>
            <wp:extent cx="15773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Laritza Ferreiro</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A Manager</w:t>
      </w:r>
    </w:p>
    <w:p>
      <w:pPr>
        <w:spacing w:after="0" w:line="200" w:lineRule="exact"/>
        <w:rPr>
          <w:sz w:val="20"/>
          <w:szCs w:val="20"/>
          <w:color w:val="auto"/>
        </w:rPr>
      </w:pPr>
    </w:p>
    <w:p>
      <w:pPr>
        <w:spacing w:after="0" w:line="29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/s/ François-Xavier Goossens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-17780</wp:posOffset>
            </wp:positionV>
            <wp:extent cx="18903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90395" cy="8890"/>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François-Xavier Goossens</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B Manager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820" w:right="1440" w:bottom="1440" w:gutter="0" w:footer="0" w:header="0"/>
        </w:sectPr>
      </w:pPr>
    </w:p>
    <w:bookmarkStart w:id="89" w:name="page90"/>
    <w:bookmarkEnd w:id="89"/>
    <w:p>
      <w:pPr>
        <w:ind w:left="2380"/>
        <w:spacing w:after="0"/>
        <w:rPr>
          <w:sz w:val="20"/>
          <w:szCs w:val="20"/>
          <w:color w:val="auto"/>
        </w:rPr>
      </w:pPr>
      <w:r>
        <w:rPr>
          <w:rFonts w:ascii="Arial" w:cs="Arial" w:eastAsia="Arial" w:hAnsi="Arial"/>
          <w:sz w:val="19"/>
          <w:szCs w:val="19"/>
          <w:color w:val="auto"/>
        </w:rPr>
        <w:t>ENDO US HOLDINGS LUXEMBOURG I S.À.R.L.</w:t>
      </w:r>
    </w:p>
    <w:p>
      <w:pPr>
        <w:spacing w:after="0" w:line="56"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Laritza Ferreiro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2001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Laritza Ferreiro</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 Manager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François-Xavier Goossens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7875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752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François-Xavier Goossens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B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820" w:right="1440" w:bottom="1440" w:gutter="0" w:footer="0" w:header="0"/>
        </w:sectPr>
      </w:pPr>
    </w:p>
    <w:bookmarkStart w:id="90" w:name="page91"/>
    <w:bookmarkEnd w:id="90"/>
    <w:p>
      <w:pPr>
        <w:ind w:left="2380"/>
        <w:spacing w:after="0"/>
        <w:rPr>
          <w:sz w:val="20"/>
          <w:szCs w:val="20"/>
          <w:color w:val="auto"/>
        </w:rPr>
      </w:pPr>
      <w:r>
        <w:rPr>
          <w:rFonts w:ascii="Arial" w:cs="Arial" w:eastAsia="Arial" w:hAnsi="Arial"/>
          <w:sz w:val="21"/>
          <w:szCs w:val="21"/>
          <w:color w:val="auto"/>
        </w:rPr>
        <w:t>LUXEMBOURG ENDO SPECIALTY PHARMACEUTICALS HOLDING I S.À R.L.</w:t>
      </w:r>
    </w:p>
    <w:p>
      <w:pPr>
        <w:spacing w:after="0" w:line="33"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Laritza Ferreiro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2001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Laritza Ferreiro</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 Manager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François-Xavier Goossens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7875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752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François-Xavier Goossens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B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76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900"/>
          </w:cols>
          <w:pgMar w:left="1440" w:top="820" w:right="559" w:bottom="1440" w:gutter="0" w:footer="0" w:header="0"/>
        </w:sectPr>
      </w:pPr>
    </w:p>
    <w:bookmarkStart w:id="91" w:name="page92"/>
    <w:bookmarkEnd w:id="91"/>
    <w:p>
      <w:pPr>
        <w:ind w:left="2380"/>
        <w:spacing w:after="0"/>
        <w:rPr>
          <w:sz w:val="20"/>
          <w:szCs w:val="20"/>
          <w:color w:val="auto"/>
        </w:rPr>
      </w:pPr>
      <w:r>
        <w:rPr>
          <w:rFonts w:ascii="Arial" w:cs="Arial" w:eastAsia="Arial" w:hAnsi="Arial"/>
          <w:sz w:val="20"/>
          <w:szCs w:val="20"/>
          <w:b w:val="1"/>
          <w:bCs w:val="1"/>
          <w:color w:val="auto"/>
        </w:rPr>
        <w:t>TRUSTEE:</w:t>
      </w:r>
    </w:p>
    <w:p>
      <w:pPr>
        <w:spacing w:after="0" w:line="200" w:lineRule="exact"/>
        <w:rPr>
          <w:sz w:val="20"/>
          <w:szCs w:val="20"/>
          <w:color w:val="auto"/>
        </w:rPr>
      </w:pPr>
    </w:p>
    <w:p>
      <w:pPr>
        <w:spacing w:after="0" w:line="287" w:lineRule="exact"/>
        <w:rPr>
          <w:sz w:val="20"/>
          <w:szCs w:val="20"/>
          <w:color w:val="auto"/>
        </w:rPr>
      </w:pPr>
    </w:p>
    <w:p>
      <w:pPr>
        <w:ind w:left="2380" w:right="1759"/>
        <w:spacing w:after="0" w:line="246" w:lineRule="auto"/>
        <w:rPr>
          <w:sz w:val="20"/>
          <w:szCs w:val="20"/>
          <w:color w:val="auto"/>
        </w:rPr>
      </w:pPr>
      <w:r>
        <w:rPr>
          <w:rFonts w:ascii="Arial" w:cs="Arial" w:eastAsia="Arial" w:hAnsi="Arial"/>
          <w:sz w:val="22"/>
          <w:szCs w:val="22"/>
          <w:color w:val="auto"/>
        </w:rPr>
        <w:t>WELLS FARGO BANK, NATIONAL ASSOCIATION, as Trustee</w:t>
      </w:r>
    </w:p>
    <w:p>
      <w:pPr>
        <w:spacing w:after="0" w:line="1" w:lineRule="exact"/>
        <w:rPr>
          <w:sz w:val="20"/>
          <w:szCs w:val="20"/>
          <w:color w:val="auto"/>
        </w:rPr>
      </w:pPr>
    </w:p>
    <w:p>
      <w:pPr>
        <w:ind w:left="2380"/>
        <w:spacing w:after="0"/>
        <w:tabs>
          <w:tab w:leader="none" w:pos="2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Maddy Hughes</w:t>
      </w:r>
    </w:p>
    <w:p>
      <w:pPr>
        <w:ind w:left="6340"/>
        <w:spacing w:after="0"/>
        <w:tabs>
          <w:tab w:leader="none" w:pos="70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Maddy Hughes</w:t>
      </w:r>
    </w:p>
    <w:p>
      <w:pPr>
        <w:ind w:left="6340"/>
        <w:spacing w:after="0"/>
        <w:tabs>
          <w:tab w:leader="none" w:pos="6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238"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b w:val="1"/>
          <w:bCs w:val="1"/>
          <w:color w:val="auto"/>
        </w:rPr>
        <w:t>Exhibit 4.2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SUPPLEMENTAL INDENTURE</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0"/>
          <w:szCs w:val="20"/>
          <w:color w:val="auto"/>
        </w:rPr>
        <w:t>SUPPLEMENTAL INDENTURE (this “</w:t>
      </w:r>
      <w:r>
        <w:rPr>
          <w:rFonts w:ascii="Arial" w:cs="Arial" w:eastAsia="Arial" w:hAnsi="Arial"/>
          <w:sz w:val="20"/>
          <w:szCs w:val="20"/>
          <w:b w:val="1"/>
          <w:bCs w:val="1"/>
          <w:color w:val="auto"/>
        </w:rPr>
        <w:t>Supplemental Indenture</w:t>
      </w:r>
      <w:r>
        <w:rPr>
          <w:rFonts w:ascii="Arial" w:cs="Arial" w:eastAsia="Arial" w:hAnsi="Arial"/>
          <w:sz w:val="20"/>
          <w:szCs w:val="20"/>
          <w:color w:val="auto"/>
        </w:rPr>
        <w:t>”), dated as of March 27, 2019, among Endo Finance LLC (formerly known as Endo Finance Co.), a Delaware limited liability company (the “</w:t>
      </w:r>
      <w:r>
        <w:rPr>
          <w:rFonts w:ascii="Arial" w:cs="Arial" w:eastAsia="Arial" w:hAnsi="Arial"/>
          <w:sz w:val="20"/>
          <w:szCs w:val="20"/>
          <w:b w:val="1"/>
          <w:bCs w:val="1"/>
          <w:color w:val="auto"/>
        </w:rPr>
        <w:t>Company</w:t>
      </w:r>
      <w:r>
        <w:rPr>
          <w:rFonts w:ascii="Arial" w:cs="Arial" w:eastAsia="Arial" w:hAnsi="Arial"/>
          <w:sz w:val="20"/>
          <w:szCs w:val="20"/>
          <w:color w:val="auto"/>
        </w:rPr>
        <w:t>”), Endo Finco Inc., a Delaware corporation (the “</w:t>
      </w:r>
      <w:r>
        <w:rPr>
          <w:rFonts w:ascii="Arial" w:cs="Arial" w:eastAsia="Arial" w:hAnsi="Arial"/>
          <w:sz w:val="20"/>
          <w:szCs w:val="20"/>
          <w:b w:val="1"/>
          <w:bCs w:val="1"/>
          <w:color w:val="auto"/>
        </w:rPr>
        <w:t>Co-Obligor</w:t>
      </w:r>
      <w:r>
        <w:rPr>
          <w:rFonts w:ascii="Arial" w:cs="Arial" w:eastAsia="Arial" w:hAnsi="Arial"/>
          <w:sz w:val="20"/>
          <w:szCs w:val="20"/>
          <w:color w:val="auto"/>
        </w:rPr>
        <w:t>”), the Guarantors (as defined in the Indenture) and Wells Fargo Bank, National Association, as trustee under the Indenture referred to</w:t>
      </w:r>
      <w:r>
        <w:rPr>
          <w:rFonts w:ascii="Arial" w:cs="Arial" w:eastAsia="Arial" w:hAnsi="Arial"/>
          <w:sz w:val="20"/>
          <w:szCs w:val="20"/>
          <w:b w:val="1"/>
          <w:bCs w:val="1"/>
          <w:color w:val="auto"/>
        </w:rPr>
        <w:t xml:space="preserve"> </w:t>
      </w:r>
      <w:r>
        <w:rPr>
          <w:rFonts w:ascii="Arial" w:cs="Arial" w:eastAsia="Arial" w:hAnsi="Arial"/>
          <w:sz w:val="20"/>
          <w:szCs w:val="20"/>
          <w:color w:val="auto"/>
        </w:rPr>
        <w:t>below (the “</w:t>
      </w:r>
      <w:r>
        <w:rPr>
          <w:rFonts w:ascii="Arial" w:cs="Arial" w:eastAsia="Arial" w:hAnsi="Arial"/>
          <w:sz w:val="20"/>
          <w:szCs w:val="20"/>
          <w:b w:val="1"/>
          <w:bCs w:val="1"/>
          <w:color w:val="auto"/>
        </w:rPr>
        <w:t>Trustee</w:t>
      </w:r>
      <w:r>
        <w:rPr>
          <w:rFonts w:ascii="Arial" w:cs="Arial" w:eastAsia="Arial" w:hAnsi="Arial"/>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WHEREAS, the Company has heretofore executed and delivered to the Trustee an indenture, dated as of December 19, 2013, as supplemented, amended and restated by a supplemental indenture, dated as of February 28, 2014, and as further supplemented by a supplemental indenture, dated as of May 28, 2014, a supplemental indenture, dated as of July 10, 2014, a supplemental indenture, dated as of August 11, 2014, a supplemental indenture, dated as of December 22, 2014, a supplemental indenture, dated as of February 3, 2015, a supplemental indenture, dated as of March 20, 2015, a supplemental indenture, dated as of March 27, 2015, a supplemental indenture, dated as of June 24, 2015, a supplemental indenture, dated as of July 9, 2015, a supplemental indenture, dated as of September 30, 2015, a supplemental indenture, dated as of January 13, 2016, a supplemental indenture, dated as of April 4, 2016, a supplemental indenture, dated as of July 13, 2016, a supplemental indenture, dated as of October 18, 2016, a supplemental indenture, dated as of June 23, 2017, a supplemental indenture, dated as of January 3, 2018, a supplemental indenture, dated as of July 3, 2018, a supplemental indenture, dated as of December 24, 2018 and a supplemental indenture, dated as of March 4, 2019, in each case, among the Company (as successor to Endo Finance Co.), the Co-Obligor, the Guarantors party thereto and the Trustee (as so supplemented, amended and restated, the “</w:t>
      </w:r>
      <w:r>
        <w:rPr>
          <w:rFonts w:ascii="Arial" w:cs="Arial" w:eastAsia="Arial" w:hAnsi="Arial"/>
          <w:sz w:val="19"/>
          <w:szCs w:val="19"/>
          <w:b w:val="1"/>
          <w:bCs w:val="1"/>
          <w:color w:val="auto"/>
        </w:rPr>
        <w:t>Indenture</w:t>
      </w:r>
      <w:r>
        <w:rPr>
          <w:rFonts w:ascii="Arial" w:cs="Arial" w:eastAsia="Arial" w:hAnsi="Arial"/>
          <w:sz w:val="19"/>
          <w:szCs w:val="19"/>
          <w:color w:val="auto"/>
        </w:rPr>
        <w:t>”), providing for the issuance of 5.75% Senior Notes due 2022 (the “</w:t>
      </w:r>
      <w:r>
        <w:rPr>
          <w:rFonts w:ascii="Arial" w:cs="Arial" w:eastAsia="Arial" w:hAnsi="Arial"/>
          <w:sz w:val="19"/>
          <w:szCs w:val="19"/>
          <w:b w:val="1"/>
          <w:bCs w:val="1"/>
          <w:color w:val="auto"/>
        </w:rPr>
        <w:t>Notes</w:t>
      </w:r>
      <w:r>
        <w:rPr>
          <w:rFonts w:ascii="Arial" w:cs="Arial" w:eastAsia="Arial" w:hAnsi="Arial"/>
          <w:sz w:val="19"/>
          <w:szCs w:val="19"/>
          <w:color w:val="auto"/>
        </w:rPr>
        <w:t>”);</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color w:val="auto"/>
        </w:rPr>
        <w:t>WHEREAS, the Company, on behalf of itself and the Co-Obligor, has offered to purchase for cash any and all of the outstanding Notes from the registered holders (the “</w:t>
      </w:r>
      <w:r>
        <w:rPr>
          <w:rFonts w:ascii="Arial" w:cs="Arial" w:eastAsia="Arial" w:hAnsi="Arial"/>
          <w:sz w:val="18"/>
          <w:szCs w:val="18"/>
          <w:b w:val="1"/>
          <w:bCs w:val="1"/>
          <w:color w:val="auto"/>
        </w:rPr>
        <w:t>Holders</w:t>
      </w:r>
      <w:r>
        <w:rPr>
          <w:rFonts w:ascii="Arial" w:cs="Arial" w:eastAsia="Arial" w:hAnsi="Arial"/>
          <w:sz w:val="18"/>
          <w:szCs w:val="18"/>
          <w:color w:val="auto"/>
        </w:rPr>
        <w:t>”) of the Notes (the “</w:t>
      </w:r>
      <w:r>
        <w:rPr>
          <w:rFonts w:ascii="Arial" w:cs="Arial" w:eastAsia="Arial" w:hAnsi="Arial"/>
          <w:sz w:val="18"/>
          <w:szCs w:val="18"/>
          <w:b w:val="1"/>
          <w:bCs w:val="1"/>
          <w:color w:val="auto"/>
        </w:rPr>
        <w:t>Tender Offer</w:t>
      </w:r>
      <w:r>
        <w:rPr>
          <w:rFonts w:ascii="Arial" w:cs="Arial" w:eastAsia="Arial" w:hAnsi="Arial"/>
          <w:sz w:val="18"/>
          <w:szCs w:val="18"/>
          <w:color w:val="auto"/>
        </w:rPr>
        <w:t>”) and, in conjunction with the Tender Offer, has solicited consents from the Holders of the Notes to the amendments to the Indenture contained herein (the “</w:t>
      </w:r>
      <w:r>
        <w:rPr>
          <w:rFonts w:ascii="Arial" w:cs="Arial" w:eastAsia="Arial" w:hAnsi="Arial"/>
          <w:sz w:val="18"/>
          <w:szCs w:val="18"/>
          <w:b w:val="1"/>
          <w:bCs w:val="1"/>
          <w:color w:val="auto"/>
        </w:rPr>
        <w:t>Consent Solicitation</w:t>
      </w:r>
      <w:r>
        <w:rPr>
          <w:rFonts w:ascii="Arial" w:cs="Arial" w:eastAsia="Arial" w:hAnsi="Arial"/>
          <w:sz w:val="18"/>
          <w:szCs w:val="18"/>
          <w:color w:val="auto"/>
        </w:rPr>
        <w:t>”), in each case, upon the terms and subject to the conditions set forth in the offer to purchase and consent solicitation, dated March 14, 2019, as amended on March 14, 2019;</w:t>
      </w:r>
    </w:p>
    <w:p>
      <w:pPr>
        <w:spacing w:after="0" w:line="37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 xml:space="preserve">WHEREAS,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of the Indenture provides that, subject to certain exceptions inapplicable hereto, the Company, the Co-Obligor, the Guarantors and the Trustee may amend or supplement the Indenture with the consent of at least a majority in aggregate principal amount of the outstanding Notes (the “</w:t>
      </w:r>
      <w:r>
        <w:rPr>
          <w:rFonts w:ascii="Arial" w:cs="Arial" w:eastAsia="Arial" w:hAnsi="Arial"/>
          <w:sz w:val="20"/>
          <w:szCs w:val="20"/>
          <w:b w:val="1"/>
          <w:bCs w:val="1"/>
          <w:color w:val="auto"/>
        </w:rPr>
        <w:t>Requisite Consents</w:t>
      </w:r>
      <w:r>
        <w:rPr>
          <w:rFonts w:ascii="Arial" w:cs="Arial" w:eastAsia="Arial" w:hAnsi="Arial"/>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 xml:space="preserve">WHEREAS, the Company has received the Requisite Consents to effect amendments to the Indenture as set forth in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hereof (the “</w:t>
      </w:r>
      <w:r>
        <w:rPr>
          <w:rFonts w:ascii="Arial" w:cs="Arial" w:eastAsia="Arial" w:hAnsi="Arial"/>
          <w:sz w:val="20"/>
          <w:szCs w:val="20"/>
          <w:b w:val="1"/>
          <w:bCs w:val="1"/>
          <w:color w:val="auto"/>
        </w:rPr>
        <w:t>Consented Amendments</w:t>
      </w:r>
      <w:r>
        <w:rPr>
          <w:rFonts w:ascii="Arial" w:cs="Arial" w:eastAsia="Arial" w:hAnsi="Arial"/>
          <w:sz w:val="20"/>
          <w:szCs w:val="20"/>
          <w:color w:val="auto"/>
        </w:rPr>
        <w:t>”), based on reports provided by D.F. King &amp; Co., Inc., as tender agent and information agent in the Tender Offer and Consent Solicitation, and has delivered such Requisite Consents to the Trustee;</w:t>
      </w:r>
    </w:p>
    <w:p>
      <w:pPr>
        <w:sectPr>
          <w:pgSz w:w="11900" w:h="16838" w:orient="portrait"/>
          <w:cols w:equalWidth="0" w:num="1">
            <w:col w:w="11420"/>
          </w:cols>
          <w:pgMar w:left="240" w:top="1049" w:right="239" w:bottom="1440" w:gutter="0" w:footer="0" w:header="0"/>
        </w:sectPr>
      </w:pPr>
    </w:p>
    <w:bookmarkStart w:id="93" w:name="page94"/>
    <w:bookmarkEnd w:id="93"/>
    <w:p>
      <w:pPr>
        <w:jc w:val="both"/>
        <w:ind w:firstLine="648"/>
        <w:spacing w:after="0" w:line="292" w:lineRule="auto"/>
        <w:rPr>
          <w:sz w:val="20"/>
          <w:szCs w:val="20"/>
          <w:color w:val="auto"/>
        </w:rPr>
      </w:pPr>
      <w:r>
        <w:rPr>
          <w:rFonts w:ascii="Arial" w:cs="Arial" w:eastAsia="Arial" w:hAnsi="Arial"/>
          <w:sz w:val="20"/>
          <w:szCs w:val="20"/>
          <w:color w:val="auto"/>
        </w:rPr>
        <w:t>WHEREAS, the execution and delivery of this Supplemental Indenture has been duly authorized by the Company, the Co-Obligor, the Guarantors and the Trustee and all conditions and requirements necessary to make this instrument a valid and binding agreement have been duly performed and complied with;</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WHEREAS, this Supplemental Indenture shall be effective upon its signing by the parties hereto, but the provisions of Article II and III will become operative (the “</w:t>
      </w:r>
      <w:r>
        <w:rPr>
          <w:rFonts w:ascii="Arial" w:cs="Arial" w:eastAsia="Arial" w:hAnsi="Arial"/>
          <w:sz w:val="20"/>
          <w:szCs w:val="20"/>
          <w:b w:val="1"/>
          <w:bCs w:val="1"/>
          <w:color w:val="auto"/>
        </w:rPr>
        <w:t>Operative Date</w:t>
      </w:r>
      <w:r>
        <w:rPr>
          <w:rFonts w:ascii="Arial" w:cs="Arial" w:eastAsia="Arial" w:hAnsi="Arial"/>
          <w:sz w:val="20"/>
          <w:szCs w:val="20"/>
          <w:color w:val="auto"/>
        </w:rPr>
        <w:t>”) upon the payment of the applicable consideration (the “</w:t>
      </w:r>
      <w:r>
        <w:rPr>
          <w:rFonts w:ascii="Arial" w:cs="Arial" w:eastAsia="Arial" w:hAnsi="Arial"/>
          <w:sz w:val="20"/>
          <w:szCs w:val="20"/>
          <w:b w:val="1"/>
          <w:bCs w:val="1"/>
          <w:color w:val="auto"/>
        </w:rPr>
        <w:t>Consideration</w:t>
      </w:r>
      <w:r>
        <w:rPr>
          <w:rFonts w:ascii="Arial" w:cs="Arial" w:eastAsia="Arial" w:hAnsi="Arial"/>
          <w:sz w:val="20"/>
          <w:szCs w:val="20"/>
          <w:color w:val="auto"/>
        </w:rPr>
        <w:t>”) in the Tender Offer in respect of all Notes validly tendered and not validly withdrawn and that are accepted for purchase on the applicable settlement date of the Tender Offer (the “</w:t>
      </w:r>
      <w:r>
        <w:rPr>
          <w:rFonts w:ascii="Arial" w:cs="Arial" w:eastAsia="Arial" w:hAnsi="Arial"/>
          <w:sz w:val="20"/>
          <w:szCs w:val="20"/>
          <w:b w:val="1"/>
          <w:bCs w:val="1"/>
          <w:color w:val="auto"/>
        </w:rPr>
        <w:t>Settlement Date</w:t>
      </w:r>
      <w:r>
        <w:rPr>
          <w:rFonts w:ascii="Arial" w:cs="Arial" w:eastAsia="Arial" w:hAnsi="Arial"/>
          <w:sz w:val="20"/>
          <w:szCs w:val="20"/>
          <w:color w:val="auto"/>
        </w:rPr>
        <w:t>”).</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8"/>
          <w:szCs w:val="18"/>
          <w:color w:val="auto"/>
        </w:rPr>
        <w:t>WHEREAS, if the Tender Offer has been terminated or withdrawn, or if upon the final settlement date of the Tender Offer the Company has not paid the Consideration in respect of all Notes validly tendered and accepted for purchase, the terms hereof shall not become operative, this Supplemental Indenture shall be deemed automatically terminated and the Indenture will remain in effect in its current form.</w:t>
      </w:r>
    </w:p>
    <w:p>
      <w:pPr>
        <w:spacing w:after="0" w:line="36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WHEREAS, the Company, the Co-Obligor and the Guarantors intend to take the position that this Supplemental Indenture does not result in a material modification of the Notes under the Foreign Account Tax Compliance Act.</w:t>
      </w:r>
    </w:p>
    <w:p>
      <w:pPr>
        <w:spacing w:after="0" w:line="39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the Company, the Co-Obligor, the Guarantors and the Trustee mutually covenant and agree for the equal and ratable benefit of the Holders of the Notes as follows:</w:t>
      </w:r>
    </w:p>
    <w:p>
      <w:pPr>
        <w:spacing w:after="0" w:line="397"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w:t>
      </w:r>
    </w:p>
    <w:p>
      <w:pPr>
        <w:spacing w:after="0" w:line="40"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DEFINITIONS</w:t>
      </w:r>
    </w:p>
    <w:p>
      <w:pPr>
        <w:spacing w:after="0" w:line="262"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All capitalized terms used but not defined herein shall have the meanings ascribed to such terms in the Indenture. All definitions in the Indenture shall be read in a manner consistent with the terms of this Supplemental Indenture.</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II</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CONSENTED AMENDMENTS</w:t>
      </w:r>
    </w:p>
    <w:p>
      <w:pPr>
        <w:spacing w:after="0" w:line="2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AMENDMENTS TO CERTAIN COVENANTS OF THE INDENTURE</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hereof, the following Sections of the Indenture are hereby amended to read as follows and any and all references to such sections and provisions of the Indenture which are amended, modified, replaced or deleted and any and all obligations thereunder are hereby deleted throughout the Indenture, and such sections and references shall be of no further force or effect:</w:t>
      </w:r>
    </w:p>
    <w:p>
      <w:pPr>
        <w:spacing w:after="0" w:line="376" w:lineRule="exact"/>
        <w:rPr>
          <w:sz w:val="20"/>
          <w:szCs w:val="20"/>
          <w:color w:val="auto"/>
        </w:rPr>
      </w:pPr>
    </w:p>
    <w:p>
      <w:pPr>
        <w:ind w:left="660" w:right="3580" w:hanging="4"/>
        <w:spacing w:after="0" w:line="711" w:lineRule="auto"/>
        <w:tabs>
          <w:tab w:leader="none" w:pos="994"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Section 3.09</w:t>
      </w:r>
      <w:r>
        <w:rPr>
          <w:rFonts w:ascii="Arial" w:cs="Arial" w:eastAsia="Arial" w:hAnsi="Arial"/>
          <w:sz w:val="20"/>
          <w:szCs w:val="20"/>
          <w:color w:val="auto"/>
        </w:rPr>
        <w:t xml:space="preserve"> of the Indenture is hereby amended and restated in its entirety as follows: “SECTION 3.09 [INTENTIONALLY OMITTED]”</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054" w:right="239" w:bottom="1440" w:gutter="0" w:footer="0" w:header="0"/>
        </w:sectPr>
      </w:pPr>
    </w:p>
    <w:bookmarkStart w:id="94" w:name="page95"/>
    <w:bookmarkEnd w:id="94"/>
    <w:p>
      <w:pPr>
        <w:spacing w:after="0" w:line="162" w:lineRule="exact"/>
        <w:rPr>
          <w:sz w:val="20"/>
          <w:szCs w:val="20"/>
          <w:color w:val="auto"/>
        </w:rPr>
      </w:pPr>
    </w:p>
    <w:p>
      <w:pPr>
        <w:ind w:left="4" w:right="2379" w:hanging="4"/>
        <w:spacing w:after="0" w:line="683" w:lineRule="auto"/>
        <w:tabs>
          <w:tab w:leader="none" w:pos="34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Section 4.03</w:t>
      </w:r>
      <w:r>
        <w:rPr>
          <w:rFonts w:ascii="Arial" w:cs="Arial" w:eastAsia="Arial" w:hAnsi="Arial"/>
          <w:sz w:val="20"/>
          <w:szCs w:val="20"/>
          <w:color w:val="auto"/>
        </w:rPr>
        <w:t xml:space="preserve"> of the Indenture is hereby amended and restated in its entirety as follows: “SECTION 4.03 [INTENTIONALLY OMITTED]”</w:t>
      </w:r>
    </w:p>
    <w:p>
      <w:pPr>
        <w:spacing w:after="0" w:line="1" w:lineRule="exact"/>
        <w:rPr>
          <w:rFonts w:ascii="Arial" w:cs="Arial" w:eastAsia="Arial" w:hAnsi="Arial"/>
          <w:sz w:val="20"/>
          <w:szCs w:val="20"/>
          <w:color w:val="auto"/>
        </w:rPr>
      </w:pPr>
    </w:p>
    <w:p>
      <w:pPr>
        <w:ind w:left="4" w:right="2379" w:hanging="4"/>
        <w:spacing w:after="0" w:line="683" w:lineRule="auto"/>
        <w:tabs>
          <w:tab w:leader="none" w:pos="338"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Section 4.05</w:t>
      </w:r>
      <w:r>
        <w:rPr>
          <w:rFonts w:ascii="Arial" w:cs="Arial" w:eastAsia="Arial" w:hAnsi="Arial"/>
          <w:sz w:val="20"/>
          <w:szCs w:val="20"/>
          <w:color w:val="auto"/>
        </w:rPr>
        <w:t xml:space="preserve"> of the Indenture is hereby amended and restated in its entirety as follows: “SECTION 4.05 [INTENTIONALLY OMITTED]”</w:t>
      </w:r>
    </w:p>
    <w:p>
      <w:pPr>
        <w:spacing w:after="0" w:line="1" w:lineRule="exact"/>
        <w:rPr>
          <w:rFonts w:ascii="Arial" w:cs="Arial" w:eastAsia="Arial" w:hAnsi="Arial"/>
          <w:sz w:val="20"/>
          <w:szCs w:val="20"/>
          <w:color w:val="auto"/>
        </w:rPr>
      </w:pPr>
    </w:p>
    <w:p>
      <w:pPr>
        <w:ind w:left="4" w:right="2379" w:hanging="4"/>
        <w:spacing w:after="0" w:line="683" w:lineRule="auto"/>
        <w:tabs>
          <w:tab w:leader="none" w:pos="34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Section 4.06</w:t>
      </w:r>
      <w:r>
        <w:rPr>
          <w:rFonts w:ascii="Arial" w:cs="Arial" w:eastAsia="Arial" w:hAnsi="Arial"/>
          <w:sz w:val="20"/>
          <w:szCs w:val="20"/>
          <w:color w:val="auto"/>
        </w:rPr>
        <w:t xml:space="preserve"> of the Indenture is hereby amended and restated in its entirety as follows: “SECTION 4.06 [INTENTIONALLY OMITTED]”</w:t>
      </w:r>
    </w:p>
    <w:p>
      <w:pPr>
        <w:spacing w:after="0" w:line="1" w:lineRule="exact"/>
        <w:rPr>
          <w:rFonts w:ascii="Arial" w:cs="Arial" w:eastAsia="Arial" w:hAnsi="Arial"/>
          <w:sz w:val="20"/>
          <w:szCs w:val="20"/>
          <w:color w:val="auto"/>
        </w:rPr>
      </w:pPr>
    </w:p>
    <w:p>
      <w:pPr>
        <w:ind w:left="4" w:right="2379" w:hanging="4"/>
        <w:spacing w:after="0" w:line="683" w:lineRule="auto"/>
        <w:tabs>
          <w:tab w:leader="none" w:pos="338"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Section 4.07</w:t>
      </w:r>
      <w:r>
        <w:rPr>
          <w:rFonts w:ascii="Arial" w:cs="Arial" w:eastAsia="Arial" w:hAnsi="Arial"/>
          <w:sz w:val="20"/>
          <w:szCs w:val="20"/>
          <w:color w:val="auto"/>
        </w:rPr>
        <w:t xml:space="preserve"> of the Indenture is hereby amended and restated in its entirety as follows: “SECTION 4.07 [INTENTIONALLY OMITTED]”</w:t>
      </w:r>
    </w:p>
    <w:p>
      <w:pPr>
        <w:spacing w:after="0" w:line="1" w:lineRule="exact"/>
        <w:rPr>
          <w:rFonts w:ascii="Arial" w:cs="Arial" w:eastAsia="Arial" w:hAnsi="Arial"/>
          <w:sz w:val="20"/>
          <w:szCs w:val="20"/>
          <w:color w:val="auto"/>
        </w:rPr>
      </w:pPr>
    </w:p>
    <w:p>
      <w:pPr>
        <w:ind w:left="4" w:right="2399" w:hanging="4"/>
        <w:spacing w:after="0" w:line="683" w:lineRule="auto"/>
        <w:tabs>
          <w:tab w:leader="none" w:pos="31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Section 4.08</w:t>
      </w:r>
      <w:r>
        <w:rPr>
          <w:rFonts w:ascii="Arial" w:cs="Arial" w:eastAsia="Arial" w:hAnsi="Arial"/>
          <w:sz w:val="20"/>
          <w:szCs w:val="20"/>
          <w:color w:val="auto"/>
        </w:rPr>
        <w:t xml:space="preserve"> of the Indenture is hereby amended and restated in its entirety as follows: “SECTION 4.08 [INTENTIONALLY OMITTED]”</w:t>
      </w:r>
    </w:p>
    <w:p>
      <w:pPr>
        <w:spacing w:after="0" w:line="1" w:lineRule="exact"/>
        <w:rPr>
          <w:rFonts w:ascii="Arial" w:cs="Arial" w:eastAsia="Arial" w:hAnsi="Arial"/>
          <w:sz w:val="20"/>
          <w:szCs w:val="20"/>
          <w:color w:val="auto"/>
        </w:rPr>
      </w:pPr>
    </w:p>
    <w:p>
      <w:pPr>
        <w:ind w:left="4" w:right="2379" w:hanging="4"/>
        <w:spacing w:after="0" w:line="683" w:lineRule="auto"/>
        <w:tabs>
          <w:tab w:leader="none" w:pos="34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Section 4.09</w:t>
      </w:r>
      <w:r>
        <w:rPr>
          <w:rFonts w:ascii="Arial" w:cs="Arial" w:eastAsia="Arial" w:hAnsi="Arial"/>
          <w:sz w:val="20"/>
          <w:szCs w:val="20"/>
          <w:color w:val="auto"/>
        </w:rPr>
        <w:t xml:space="preserve"> of the Indenture is hereby amended and restated in its entirety as follows: “SECTION 4.09 [INTENTIONALLY OMITTED]”</w:t>
      </w:r>
    </w:p>
    <w:p>
      <w:pPr>
        <w:spacing w:after="0" w:line="1" w:lineRule="exact"/>
        <w:rPr>
          <w:rFonts w:ascii="Arial" w:cs="Arial" w:eastAsia="Arial" w:hAnsi="Arial"/>
          <w:sz w:val="20"/>
          <w:szCs w:val="20"/>
          <w:color w:val="auto"/>
        </w:rPr>
      </w:pPr>
    </w:p>
    <w:p>
      <w:pPr>
        <w:ind w:left="4" w:right="2379" w:hanging="4"/>
        <w:spacing w:after="0" w:line="683" w:lineRule="auto"/>
        <w:tabs>
          <w:tab w:leader="none" w:pos="34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Section 4.10</w:t>
      </w:r>
      <w:r>
        <w:rPr>
          <w:rFonts w:ascii="Arial" w:cs="Arial" w:eastAsia="Arial" w:hAnsi="Arial"/>
          <w:sz w:val="20"/>
          <w:szCs w:val="20"/>
          <w:color w:val="auto"/>
        </w:rPr>
        <w:t xml:space="preserve"> of the Indenture is hereby amended and restated in its entirety as follows: “SECTION 4.10 [INTENTIONALLY OMITTED]”</w:t>
      </w:r>
    </w:p>
    <w:p>
      <w:pPr>
        <w:spacing w:after="0" w:line="1" w:lineRule="exact"/>
        <w:rPr>
          <w:rFonts w:ascii="Arial" w:cs="Arial" w:eastAsia="Arial" w:hAnsi="Arial"/>
          <w:sz w:val="20"/>
          <w:szCs w:val="20"/>
          <w:color w:val="auto"/>
        </w:rPr>
      </w:pPr>
    </w:p>
    <w:p>
      <w:pPr>
        <w:ind w:left="4" w:right="2419" w:hanging="4"/>
        <w:spacing w:after="0" w:line="683" w:lineRule="auto"/>
        <w:tabs>
          <w:tab w:leader="none" w:pos="305"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Section 4.11</w:t>
      </w:r>
      <w:r>
        <w:rPr>
          <w:rFonts w:ascii="Arial" w:cs="Arial" w:eastAsia="Arial" w:hAnsi="Arial"/>
          <w:sz w:val="20"/>
          <w:szCs w:val="20"/>
          <w:color w:val="auto"/>
        </w:rPr>
        <w:t xml:space="preserve"> of the Indenture is hereby amended and restated in its entirety as follows: “SECTION 4.11 [INTENTIONALLY OMITTED]”</w:t>
      </w:r>
    </w:p>
    <w:p>
      <w:pPr>
        <w:spacing w:after="0" w:line="1" w:lineRule="exact"/>
        <w:rPr>
          <w:rFonts w:ascii="Arial" w:cs="Arial" w:eastAsia="Arial" w:hAnsi="Arial"/>
          <w:sz w:val="20"/>
          <w:szCs w:val="20"/>
          <w:color w:val="auto"/>
        </w:rPr>
      </w:pPr>
    </w:p>
    <w:p>
      <w:pPr>
        <w:ind w:left="4" w:right="2419" w:hanging="4"/>
        <w:spacing w:after="0" w:line="683" w:lineRule="auto"/>
        <w:tabs>
          <w:tab w:leader="none" w:pos="305"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Section 4.12</w:t>
      </w:r>
      <w:r>
        <w:rPr>
          <w:rFonts w:ascii="Arial" w:cs="Arial" w:eastAsia="Arial" w:hAnsi="Arial"/>
          <w:sz w:val="20"/>
          <w:szCs w:val="20"/>
          <w:color w:val="auto"/>
        </w:rPr>
        <w:t xml:space="preserve"> of the Indenture is hereby amended and restated in its entirety as follows: “SECTION 4.12 [INTENTIONALLY OMITTED]”</w:t>
      </w:r>
    </w:p>
    <w:p>
      <w:pPr>
        <w:spacing w:after="0" w:line="1" w:lineRule="exact"/>
        <w:rPr>
          <w:rFonts w:ascii="Arial" w:cs="Arial" w:eastAsia="Arial" w:hAnsi="Arial"/>
          <w:sz w:val="20"/>
          <w:szCs w:val="20"/>
          <w:color w:val="auto"/>
        </w:rPr>
      </w:pPr>
    </w:p>
    <w:p>
      <w:pPr>
        <w:ind w:left="4" w:right="2379" w:hanging="4"/>
        <w:spacing w:after="0" w:line="683" w:lineRule="auto"/>
        <w:tabs>
          <w:tab w:leader="none" w:pos="34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Section 4.13</w:t>
      </w:r>
      <w:r>
        <w:rPr>
          <w:rFonts w:ascii="Arial" w:cs="Arial" w:eastAsia="Arial" w:hAnsi="Arial"/>
          <w:sz w:val="20"/>
          <w:szCs w:val="20"/>
          <w:color w:val="auto"/>
        </w:rPr>
        <w:t xml:space="preserve"> of the Indenture is hereby amended and restated in its entirety as follows: “SECTION 4.13 [INTENTIONALLY OMITTED]”</w:t>
      </w:r>
    </w:p>
    <w:p>
      <w:pPr>
        <w:spacing w:after="0" w:line="1" w:lineRule="exact"/>
        <w:rPr>
          <w:rFonts w:ascii="Arial" w:cs="Arial" w:eastAsia="Arial" w:hAnsi="Arial"/>
          <w:sz w:val="20"/>
          <w:szCs w:val="20"/>
          <w:color w:val="auto"/>
        </w:rPr>
      </w:pPr>
    </w:p>
    <w:p>
      <w:pPr>
        <w:ind w:left="4" w:right="2419" w:hanging="4"/>
        <w:spacing w:after="0" w:line="683" w:lineRule="auto"/>
        <w:tabs>
          <w:tab w:leader="none" w:pos="305"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Section 4.14</w:t>
      </w:r>
      <w:r>
        <w:rPr>
          <w:rFonts w:ascii="Arial" w:cs="Arial" w:eastAsia="Arial" w:hAnsi="Arial"/>
          <w:sz w:val="20"/>
          <w:szCs w:val="20"/>
          <w:color w:val="auto"/>
        </w:rPr>
        <w:t xml:space="preserve"> of the Indenture is hereby amended and restated in its entirety as follows: “SECTION 4.14 [INTENTIONALLY OMITTED]”</w:t>
      </w:r>
    </w:p>
    <w:p>
      <w:pPr>
        <w:spacing w:after="0" w:line="1" w:lineRule="exact"/>
        <w:rPr>
          <w:rFonts w:ascii="Arial" w:cs="Arial" w:eastAsia="Arial" w:hAnsi="Arial"/>
          <w:sz w:val="20"/>
          <w:szCs w:val="20"/>
          <w:color w:val="auto"/>
        </w:rPr>
      </w:pPr>
    </w:p>
    <w:p>
      <w:pPr>
        <w:ind w:left="4" w:right="2319" w:hanging="4"/>
        <w:spacing w:after="0" w:line="711" w:lineRule="auto"/>
        <w:tabs>
          <w:tab w:leader="none" w:pos="404"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Section 4.16</w:t>
      </w:r>
      <w:r>
        <w:rPr>
          <w:rFonts w:ascii="Arial" w:cs="Arial" w:eastAsia="Arial" w:hAnsi="Arial"/>
          <w:sz w:val="20"/>
          <w:szCs w:val="20"/>
          <w:color w:val="auto"/>
        </w:rPr>
        <w:t xml:space="preserve"> of the Indenture is hereby amended and restated in its entirety as follows: “SECTION 4.16 [INTENTIONALLY OMITTED]”</w:t>
      </w:r>
    </w:p>
    <w:p>
      <w:pPr>
        <w:sectPr>
          <w:pgSz w:w="11900" w:h="17001" w:orient="portrait"/>
          <w:cols w:equalWidth="0" w:num="1">
            <w:col w:w="9563"/>
          </w:cols>
          <w:pgMar w:left="896" w:top="1028" w:right="1440" w:bottom="0" w:gutter="0" w:footer="0" w:header="0"/>
        </w:sectPr>
      </w:pPr>
    </w:p>
    <w:bookmarkStart w:id="95" w:name="page96"/>
    <w:bookmarkEnd w:id="95"/>
    <w:p>
      <w:pPr>
        <w:spacing w:after="0"/>
        <w:tabs>
          <w:tab w:leader="none" w:pos="320" w:val="left"/>
        </w:tabs>
        <w:rPr>
          <w:sz w:val="20"/>
          <w:szCs w:val="20"/>
          <w:color w:val="auto"/>
        </w:rPr>
      </w:pPr>
      <w:r>
        <w:rPr>
          <w:rFonts w:ascii="Arial" w:cs="Arial" w:eastAsia="Arial" w:hAnsi="Arial"/>
          <w:sz w:val="20"/>
          <w:szCs w:val="20"/>
          <w:color w:val="auto"/>
        </w:rPr>
        <w:t>n)</w:t>
      </w:r>
      <w:r>
        <w:rPr>
          <w:sz w:val="20"/>
          <w:szCs w:val="20"/>
          <w:color w:val="auto"/>
        </w:rPr>
        <w:tab/>
      </w:r>
      <w:r>
        <w:rPr>
          <w:rFonts w:ascii="Arial" w:cs="Arial" w:eastAsia="Arial" w:hAnsi="Arial"/>
          <w:sz w:val="16"/>
          <w:szCs w:val="16"/>
          <w:u w:val="single" w:color="auto"/>
          <w:color w:val="auto"/>
        </w:rPr>
        <w:t xml:space="preserve">Section 4.17 </w:t>
      </w:r>
      <w:r>
        <w:rPr>
          <w:rFonts w:ascii="Arial" w:cs="Arial" w:eastAsia="Arial" w:hAnsi="Arial"/>
          <w:sz w:val="16"/>
          <w:szCs w:val="16"/>
          <w:color w:val="auto"/>
        </w:rPr>
        <w:t>of the Indenture is hereby amended and restated in its entirety as follows:</w:t>
      </w:r>
    </w:p>
    <w:p>
      <w:pPr>
        <w:sectPr>
          <w:pgSz w:w="11900" w:h="16838" w:orient="portrait"/>
          <w:cols w:equalWidth="0" w:num="1">
            <w:col w:w="9559"/>
          </w:cols>
          <w:pgMar w:left="900" w:top="339"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559"/>
          </w:cols>
          <w:pgMar w:left="900" w:top="339" w:right="1440" w:bottom="1440" w:gutter="0" w:footer="0" w:header="0"/>
          <w:type w:val="continuous"/>
        </w:sectPr>
      </w:pPr>
    </w:p>
    <w:bookmarkStart w:id="96" w:name="page97"/>
    <w:bookmarkEnd w:id="96"/>
    <w:p>
      <w:pPr>
        <w:ind w:left="660"/>
        <w:spacing w:after="0"/>
        <w:tabs>
          <w:tab w:leader="none" w:pos="2160" w:val="left"/>
        </w:tabs>
        <w:rPr>
          <w:sz w:val="20"/>
          <w:szCs w:val="20"/>
          <w:color w:val="auto"/>
        </w:rPr>
      </w:pPr>
      <w:r>
        <w:rPr>
          <w:rFonts w:ascii="Arial" w:cs="Arial" w:eastAsia="Arial" w:hAnsi="Arial"/>
          <w:sz w:val="20"/>
          <w:szCs w:val="20"/>
          <w:color w:val="auto"/>
        </w:rPr>
        <w:t>“SECTION 4.17</w:t>
        <w:tab/>
        <w:t>[INTENTIONALLY OMITTED]”</w:t>
      </w:r>
    </w:p>
    <w:p>
      <w:pPr>
        <w:spacing w:after="0" w:line="200" w:lineRule="exact"/>
        <w:rPr>
          <w:sz w:val="20"/>
          <w:szCs w:val="20"/>
          <w:color w:val="auto"/>
        </w:rPr>
      </w:pPr>
    </w:p>
    <w:p>
      <w:pPr>
        <w:spacing w:after="0" w:line="218" w:lineRule="exact"/>
        <w:rPr>
          <w:sz w:val="20"/>
          <w:szCs w:val="20"/>
          <w:color w:val="auto"/>
        </w:rPr>
      </w:pPr>
    </w:p>
    <w:p>
      <w:pPr>
        <w:ind w:left="660" w:right="3580" w:hanging="4"/>
        <w:spacing w:after="0" w:line="683" w:lineRule="auto"/>
        <w:tabs>
          <w:tab w:leader="none" w:pos="1005"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Section 4.18</w:t>
      </w:r>
      <w:r>
        <w:rPr>
          <w:rFonts w:ascii="Arial" w:cs="Arial" w:eastAsia="Arial" w:hAnsi="Arial"/>
          <w:sz w:val="20"/>
          <w:szCs w:val="20"/>
          <w:color w:val="auto"/>
        </w:rPr>
        <w:t xml:space="preserve"> of the Indenture is hereby amended and restated in its entirety as follows: “SECTION 4.18 [INTENTIONALLY OMITTED]”</w:t>
      </w:r>
    </w:p>
    <w:p>
      <w:pPr>
        <w:spacing w:after="0" w:line="1" w:lineRule="exact"/>
        <w:rPr>
          <w:rFonts w:ascii="Arial" w:cs="Arial" w:eastAsia="Arial" w:hAnsi="Arial"/>
          <w:sz w:val="20"/>
          <w:szCs w:val="20"/>
          <w:color w:val="auto"/>
        </w:rPr>
      </w:pPr>
    </w:p>
    <w:p>
      <w:pPr>
        <w:ind w:left="660" w:right="3580" w:hanging="4"/>
        <w:spacing w:after="0" w:line="683" w:lineRule="auto"/>
        <w:tabs>
          <w:tab w:leader="none" w:pos="1005"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Section 4.19</w:t>
      </w:r>
      <w:r>
        <w:rPr>
          <w:rFonts w:ascii="Arial" w:cs="Arial" w:eastAsia="Arial" w:hAnsi="Arial"/>
          <w:sz w:val="20"/>
          <w:szCs w:val="20"/>
          <w:color w:val="auto"/>
        </w:rPr>
        <w:t xml:space="preserve"> of the Indenture is hereby amended and restated in its entirety as follows: “SECTION 4.19 [INTENTIONALLY OMITTED]”</w:t>
      </w:r>
    </w:p>
    <w:p>
      <w:pPr>
        <w:spacing w:after="0" w:line="1" w:lineRule="exact"/>
        <w:rPr>
          <w:rFonts w:ascii="Arial" w:cs="Arial" w:eastAsia="Arial" w:hAnsi="Arial"/>
          <w:sz w:val="20"/>
          <w:szCs w:val="20"/>
          <w:color w:val="auto"/>
        </w:rPr>
      </w:pPr>
    </w:p>
    <w:p>
      <w:pPr>
        <w:ind w:left="660" w:right="3580" w:hanging="4"/>
        <w:spacing w:after="0" w:line="683" w:lineRule="auto"/>
        <w:tabs>
          <w:tab w:leader="none" w:pos="1005"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Section 4.20</w:t>
      </w:r>
      <w:r>
        <w:rPr>
          <w:rFonts w:ascii="Arial" w:cs="Arial" w:eastAsia="Arial" w:hAnsi="Arial"/>
          <w:sz w:val="20"/>
          <w:szCs w:val="20"/>
          <w:color w:val="auto"/>
        </w:rPr>
        <w:t xml:space="preserve"> of the Indenture is hereby amended and restated in its entirety as follows: “SECTION 4.20 [INTENTIONALLY OMITTED]”</w:t>
      </w:r>
    </w:p>
    <w:p>
      <w:pPr>
        <w:spacing w:after="0" w:line="1" w:lineRule="exact"/>
        <w:rPr>
          <w:rFonts w:ascii="Arial" w:cs="Arial" w:eastAsia="Arial" w:hAnsi="Arial"/>
          <w:sz w:val="20"/>
          <w:szCs w:val="20"/>
          <w:color w:val="auto"/>
        </w:rPr>
      </w:pPr>
    </w:p>
    <w:p>
      <w:pPr>
        <w:ind w:left="660" w:right="3600" w:hanging="4"/>
        <w:spacing w:after="0" w:line="683" w:lineRule="auto"/>
        <w:tabs>
          <w:tab w:leader="none" w:pos="972"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Section 4.22</w:t>
      </w:r>
      <w:r>
        <w:rPr>
          <w:rFonts w:ascii="Arial" w:cs="Arial" w:eastAsia="Arial" w:hAnsi="Arial"/>
          <w:sz w:val="20"/>
          <w:szCs w:val="20"/>
          <w:color w:val="auto"/>
        </w:rPr>
        <w:t xml:space="preserve"> of the Indenture is hereby amended and restated in its entirety as follows: “SECTION 4.22 [INTENTIONALLY OMITTED]”</w:t>
      </w:r>
    </w:p>
    <w:p>
      <w:pPr>
        <w:spacing w:after="0" w:line="1" w:lineRule="exact"/>
        <w:rPr>
          <w:rFonts w:ascii="Arial" w:cs="Arial" w:eastAsia="Arial" w:hAnsi="Arial"/>
          <w:sz w:val="20"/>
          <w:szCs w:val="20"/>
          <w:color w:val="auto"/>
        </w:rPr>
      </w:pPr>
    </w:p>
    <w:p>
      <w:pPr>
        <w:ind w:left="660" w:right="3500" w:hanging="4"/>
        <w:spacing w:after="0" w:line="683" w:lineRule="auto"/>
        <w:tabs>
          <w:tab w:leader="none" w:pos="983"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of the Indenture is hereby amended and restated in its entirety as follows: “SECTION 10.04 [INTENTIONALLY OMITTED]”</w:t>
      </w:r>
    </w:p>
    <w:p>
      <w:pPr>
        <w:spacing w:after="0" w:line="1" w:lineRule="exact"/>
        <w:rPr>
          <w:rFonts w:ascii="Arial" w:cs="Arial" w:eastAsia="Arial" w:hAnsi="Arial"/>
          <w:sz w:val="20"/>
          <w:szCs w:val="20"/>
          <w:color w:val="auto"/>
        </w:rPr>
      </w:pPr>
    </w:p>
    <w:p>
      <w:pPr>
        <w:ind w:left="960" w:hanging="304"/>
        <w:spacing w:after="0"/>
        <w:tabs>
          <w:tab w:leader="none" w:pos="96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of the Indenture is hereby amended and restated in its entirety as follows:</w:t>
      </w: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0"/>
          <w:szCs w:val="20"/>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color w:val="auto"/>
        </w:rPr>
        <w:t>The Company shall not: (1) consolidate with or merge with or into another Person (whether or not the Company is the surviving corporation); or (2) directly or indirectly, sell, assign, transfer, convey, lease or otherwise dispose of all or substantially all of the assets of the Company and the Restricted Subsidiaries taken as a whole, in one or more related transactions, to another Person, unless:</w:t>
      </w:r>
    </w:p>
    <w:p>
      <w:pPr>
        <w:spacing w:after="0" w:line="331" w:lineRule="exact"/>
        <w:rPr>
          <w:sz w:val="20"/>
          <w:szCs w:val="20"/>
          <w:color w:val="auto"/>
        </w:rPr>
      </w:pPr>
    </w:p>
    <w:p>
      <w:pPr>
        <w:ind w:left="920" w:hanging="264"/>
        <w:spacing w:after="0"/>
        <w:tabs>
          <w:tab w:leader="none" w:pos="9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either:</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260" w:hanging="280"/>
        <w:spacing w:after="0"/>
        <w:tabs>
          <w:tab w:leader="none" w:pos="1260"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Company is the surviving corporation; or</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jc w:val="both"/>
        <w:ind w:firstLine="980"/>
        <w:spacing w:after="0" w:line="292" w:lineRule="auto"/>
        <w:tabs>
          <w:tab w:leader="none" w:pos="1264"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Person formed by or surviving any such consolidation or merger (if other than the Company) or the Person to which such sale, assignment, transfer, conveyance, lease or other disposition has been made assumes all the obligations of the Company under the Notes and this Indenture pursuant to agreements reasonably satisfactory to the Trustee.</w:t>
      </w:r>
    </w:p>
    <w:p>
      <w:pPr>
        <w:spacing w:after="0" w:line="349" w:lineRule="exact"/>
        <w:rPr>
          <w:rFonts w:ascii="Arial" w:cs="Arial" w:eastAsia="Arial" w:hAnsi="Arial"/>
          <w:sz w:val="20"/>
          <w:szCs w:val="20"/>
          <w:color w:val="auto"/>
        </w:rPr>
      </w:pPr>
    </w:p>
    <w:p>
      <w:pPr>
        <w:ind w:firstLine="656"/>
        <w:spacing w:after="0" w:line="303" w:lineRule="auto"/>
        <w:tabs>
          <w:tab w:leader="none" w:pos="968"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Company shall have delivered to the Trustee an Officers’ Certificate and an Opinion of Counsel, each stating that such consolidation, merger or transfer and such supplemental indenture (if any) comply with this Indenture.</w:t>
      </w:r>
    </w:p>
    <w:p>
      <w:pPr>
        <w:spacing w:after="0" w:line="338"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will not apply to any sale, assignment, transfer, conveyance, lease or other disposition of assets between or among the Company and the Restricted Subsidiaries.</w:t>
      </w:r>
    </w:p>
    <w:p>
      <w:pPr>
        <w:spacing w:after="0" w:line="3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028" w:right="239" w:bottom="943" w:gutter="0" w:footer="0" w:header="0"/>
        </w:sectPr>
      </w:pPr>
    </w:p>
    <w:bookmarkStart w:id="97" w:name="page98"/>
    <w:bookmarkEnd w:id="97"/>
    <w:p>
      <w:pPr>
        <w:jc w:val="both"/>
        <w:spacing w:after="0" w:line="288" w:lineRule="auto"/>
        <w:rPr>
          <w:sz w:val="20"/>
          <w:szCs w:val="20"/>
          <w:color w:val="auto"/>
        </w:rPr>
      </w:pPr>
      <w:r>
        <w:rPr>
          <w:rFonts w:ascii="Arial" w:cs="Arial" w:eastAsia="Arial" w:hAnsi="Arial"/>
          <w:sz w:val="20"/>
          <w:szCs w:val="20"/>
          <w:color w:val="auto"/>
        </w:rPr>
        <w:t>The Person formed by or surviving any such consolidation or merger (if other than the Company) or the Person to which such sale, assignment, transfer, conveyance, lease or other disposition has been made will be the successor to the Company and shall succeed to, and be substituted for, and may exercise every right and power of, the Company under this Indenture, and the Company, except in the case of a lease, shall be released from the obligation to pay the principal of and interest on the Notes.”</w:t>
      </w:r>
    </w:p>
    <w:p>
      <w:pPr>
        <w:spacing w:after="0" w:line="355"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u)</w:t>
      </w:r>
      <w:r>
        <w:rPr>
          <w:sz w:val="20"/>
          <w:szCs w:val="20"/>
          <w:color w:val="auto"/>
        </w:rPr>
        <w:tab/>
      </w:r>
      <w:r>
        <w:rPr>
          <w:rFonts w:ascii="Arial" w:cs="Arial" w:eastAsia="Arial" w:hAnsi="Arial"/>
          <w:sz w:val="16"/>
          <w:szCs w:val="16"/>
          <w:u w:val="single" w:color="auto"/>
          <w:color w:val="auto"/>
        </w:rPr>
        <w:t xml:space="preserve">Section 6.01 </w:t>
      </w:r>
      <w:r>
        <w:rPr>
          <w:rFonts w:ascii="Arial" w:cs="Arial" w:eastAsia="Arial" w:hAnsi="Arial"/>
          <w:sz w:val="16"/>
          <w:szCs w:val="16"/>
          <w:color w:val="auto"/>
        </w:rPr>
        <w:t>of the Indenture is hereby amended and restated in its entirety as follows:</w:t>
      </w: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0"/>
          <w:szCs w:val="20"/>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of the following is an “Event of Default”:</w:t>
      </w:r>
    </w:p>
    <w:p>
      <w:pPr>
        <w:spacing w:after="0" w:line="200" w:lineRule="exact"/>
        <w:rPr>
          <w:sz w:val="20"/>
          <w:szCs w:val="20"/>
          <w:color w:val="auto"/>
        </w:rPr>
      </w:pPr>
    </w:p>
    <w:p>
      <w:pPr>
        <w:spacing w:after="0" w:line="218" w:lineRule="exact"/>
        <w:rPr>
          <w:sz w:val="20"/>
          <w:szCs w:val="20"/>
          <w:color w:val="auto"/>
        </w:rPr>
      </w:pPr>
    </w:p>
    <w:p>
      <w:pPr>
        <w:ind w:left="1140" w:hanging="484"/>
        <w:spacing w:after="0"/>
        <w:tabs>
          <w:tab w:leader="none" w:pos="11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default for 30 days in the payment when due of interest on the Notes;</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240" w:hanging="584"/>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or otherwise) of the principal of, or premium, if any, on the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Notes;</w:t>
      </w:r>
    </w:p>
    <w:p>
      <w:pPr>
        <w:spacing w:after="0" w:line="200" w:lineRule="exact"/>
        <w:rPr>
          <w:sz w:val="20"/>
          <w:szCs w:val="20"/>
          <w:color w:val="auto"/>
        </w:rPr>
      </w:pPr>
    </w:p>
    <w:p>
      <w:pPr>
        <w:spacing w:after="0" w:line="218" w:lineRule="exact"/>
        <w:rPr>
          <w:sz w:val="20"/>
          <w:szCs w:val="20"/>
          <w:color w:val="auto"/>
        </w:rPr>
      </w:pPr>
    </w:p>
    <w:p>
      <w:pPr>
        <w:ind w:left="1140" w:hanging="484"/>
        <w:spacing w:after="0"/>
        <w:tabs>
          <w:tab w:leader="none" w:pos="11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jc w:val="both"/>
        <w:ind w:firstLine="656"/>
        <w:spacing w:after="0" w:line="288" w:lineRule="auto"/>
        <w:tabs>
          <w:tab w:leader="none" w:pos="1150" w:val="left"/>
        </w:tabs>
        <w:numPr>
          <w:ilvl w:val="0"/>
          <w:numId w:val="51"/>
        </w:numPr>
        <w:rPr>
          <w:rFonts w:ascii="Arial" w:cs="Arial" w:eastAsia="Arial" w:hAnsi="Arial"/>
          <w:sz w:val="20"/>
          <w:szCs w:val="20"/>
          <w:color w:val="auto"/>
        </w:rPr>
      </w:pPr>
      <w:r>
        <w:rPr>
          <w:rFonts w:ascii="Arial" w:cs="Arial" w:eastAsia="Arial" w:hAnsi="Arial"/>
          <w:sz w:val="20"/>
          <w:szCs w:val="20"/>
          <w:color w:val="auto"/>
        </w:rPr>
        <w:t>failure by the Company or any of the Restricted Subsidiaries to comply with any of the other agreements in this Indenture (other than a failure that is the subject of clause (1) or (2) for 60 days after receipt by the Issuer of written notice of such failure from the Trustee (or receipt by the Issuer and the Trustee of written notice of such failure from the Holders of at least 25% in aggregate principal amount of the Notes then outstanding voting as a single class);</w:t>
      </w:r>
    </w:p>
    <w:p>
      <w:pPr>
        <w:spacing w:after="0" w:line="354" w:lineRule="exact"/>
        <w:rPr>
          <w:rFonts w:ascii="Arial" w:cs="Arial" w:eastAsia="Arial" w:hAnsi="Arial"/>
          <w:sz w:val="20"/>
          <w:szCs w:val="20"/>
          <w:color w:val="auto"/>
        </w:rPr>
      </w:pPr>
    </w:p>
    <w:p>
      <w:pPr>
        <w:ind w:left="1140" w:hanging="484"/>
        <w:spacing w:after="0"/>
        <w:tabs>
          <w:tab w:leader="none" w:pos="11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140" w:hanging="484"/>
        <w:spacing w:after="0"/>
        <w:tabs>
          <w:tab w:leader="none" w:pos="11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140" w:hanging="484"/>
        <w:spacing w:after="0"/>
        <w:tabs>
          <w:tab w:leader="none" w:pos="11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Company:</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20" w:hanging="315"/>
        <w:spacing w:after="0"/>
        <w:tabs>
          <w:tab w:leader="none" w:pos="1620" w:val="left"/>
        </w:tabs>
        <w:numPr>
          <w:ilvl w:val="1"/>
          <w:numId w:val="51"/>
        </w:numPr>
        <w:rPr>
          <w:rFonts w:ascii="Arial" w:cs="Arial" w:eastAsia="Arial" w:hAnsi="Arial"/>
          <w:sz w:val="20"/>
          <w:szCs w:val="20"/>
          <w:color w:val="auto"/>
        </w:rPr>
      </w:pPr>
      <w:r>
        <w:rPr>
          <w:rFonts w:ascii="Arial" w:cs="Arial" w:eastAsia="Arial" w:hAnsi="Arial"/>
          <w:sz w:val="20"/>
          <w:szCs w:val="20"/>
          <w:color w:val="auto"/>
        </w:rPr>
        <w:t>commences a voluntary insolvency proceeding,</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20" w:hanging="315"/>
        <w:spacing w:after="0"/>
        <w:tabs>
          <w:tab w:leader="none" w:pos="1620" w:val="left"/>
        </w:tabs>
        <w:numPr>
          <w:ilvl w:val="1"/>
          <w:numId w:val="51"/>
        </w:numPr>
        <w:rPr>
          <w:rFonts w:ascii="Arial" w:cs="Arial" w:eastAsia="Arial" w:hAnsi="Arial"/>
          <w:sz w:val="20"/>
          <w:szCs w:val="20"/>
          <w:color w:val="auto"/>
        </w:rPr>
      </w:pPr>
      <w:r>
        <w:rPr>
          <w:rFonts w:ascii="Arial" w:cs="Arial" w:eastAsia="Arial" w:hAnsi="Arial"/>
          <w:sz w:val="20"/>
          <w:szCs w:val="20"/>
          <w:color w:val="auto"/>
        </w:rPr>
        <w:t>consents to the entry of an order for relief against it in an involuntary insolvency proceeding,</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20" w:hanging="315"/>
        <w:spacing w:after="0"/>
        <w:tabs>
          <w:tab w:leader="none" w:pos="1620" w:val="left"/>
        </w:tabs>
        <w:numPr>
          <w:ilvl w:val="1"/>
          <w:numId w:val="51"/>
        </w:numPr>
        <w:rPr>
          <w:rFonts w:ascii="Arial" w:cs="Arial" w:eastAsia="Arial" w:hAnsi="Arial"/>
          <w:sz w:val="20"/>
          <w:szCs w:val="20"/>
          <w:color w:val="auto"/>
        </w:rPr>
      </w:pPr>
      <w:r>
        <w:rPr>
          <w:rFonts w:ascii="Arial" w:cs="Arial" w:eastAsia="Arial" w:hAnsi="Arial"/>
          <w:sz w:val="20"/>
          <w:szCs w:val="20"/>
          <w:color w:val="auto"/>
        </w:rPr>
        <w:t>consents to the appointment of a Bankruptcy Custodian of it or for all or substantially all of its property,</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20" w:hanging="315"/>
        <w:spacing w:after="0"/>
        <w:tabs>
          <w:tab w:leader="none" w:pos="1620" w:val="left"/>
        </w:tabs>
        <w:numPr>
          <w:ilvl w:val="1"/>
          <w:numId w:val="51"/>
        </w:numPr>
        <w:rPr>
          <w:rFonts w:ascii="Arial" w:cs="Arial" w:eastAsia="Arial" w:hAnsi="Arial"/>
          <w:sz w:val="20"/>
          <w:szCs w:val="20"/>
          <w:color w:val="auto"/>
        </w:rPr>
      </w:pPr>
      <w:r>
        <w:rPr>
          <w:rFonts w:ascii="Arial" w:cs="Arial" w:eastAsia="Arial" w:hAnsi="Arial"/>
          <w:sz w:val="20"/>
          <w:szCs w:val="20"/>
          <w:color w:val="auto"/>
        </w:rPr>
        <w:t>makes a general assignment for the benefit of its creditors, or</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00" w:hanging="295"/>
        <w:spacing w:after="0"/>
        <w:tabs>
          <w:tab w:leader="none" w:pos="1600" w:val="left"/>
        </w:tabs>
        <w:numPr>
          <w:ilvl w:val="1"/>
          <w:numId w:val="51"/>
        </w:numPr>
        <w:rPr>
          <w:rFonts w:ascii="Arial" w:cs="Arial" w:eastAsia="Arial" w:hAnsi="Arial"/>
          <w:sz w:val="20"/>
          <w:szCs w:val="20"/>
          <w:color w:val="auto"/>
        </w:rPr>
      </w:pPr>
      <w:r>
        <w:rPr>
          <w:rFonts w:ascii="Arial" w:cs="Arial" w:eastAsia="Arial" w:hAnsi="Arial"/>
          <w:sz w:val="20"/>
          <w:szCs w:val="20"/>
          <w:color w:val="auto"/>
        </w:rPr>
        <w:t>generally is not paying its debts as they become due;</w:t>
      </w:r>
    </w:p>
    <w:p>
      <w:pPr>
        <w:spacing w:after="0" w:line="200" w:lineRule="exact"/>
        <w:rPr>
          <w:sz w:val="20"/>
          <w:szCs w:val="20"/>
          <w:color w:val="auto"/>
        </w:rPr>
      </w:pPr>
    </w:p>
    <w:p>
      <w:pPr>
        <w:spacing w:after="0" w:line="218" w:lineRule="exact"/>
        <w:rPr>
          <w:sz w:val="20"/>
          <w:szCs w:val="20"/>
          <w:color w:val="auto"/>
        </w:rPr>
      </w:pPr>
    </w:p>
    <w:p>
      <w:pPr>
        <w:spacing w:after="0" w:line="303" w:lineRule="auto"/>
        <w:rPr>
          <w:sz w:val="20"/>
          <w:szCs w:val="20"/>
          <w:color w:val="auto"/>
        </w:rPr>
      </w:pPr>
      <w:r>
        <w:rPr>
          <w:rFonts w:ascii="Arial" w:cs="Arial" w:eastAsia="Arial" w:hAnsi="Arial"/>
          <w:sz w:val="20"/>
          <w:szCs w:val="20"/>
          <w:i w:val="1"/>
          <w:iCs w:val="1"/>
          <w:color w:val="auto"/>
        </w:rPr>
        <w:t xml:space="preserve">provided, however, </w:t>
      </w:r>
      <w:r>
        <w:rPr>
          <w:rFonts w:ascii="Arial" w:cs="Arial" w:eastAsia="Arial" w:hAnsi="Arial"/>
          <w:sz w:val="20"/>
          <w:szCs w:val="20"/>
          <w:color w:val="auto"/>
        </w:rPr>
        <w:t>that the liquidation of any Restricted Subsidiary into another Restricted Subsidiary, other than as part of a credit</w:t>
      </w:r>
      <w:r>
        <w:rPr>
          <w:rFonts w:ascii="Arial" w:cs="Arial" w:eastAsia="Arial" w:hAnsi="Arial"/>
          <w:sz w:val="20"/>
          <w:szCs w:val="20"/>
          <w:i w:val="1"/>
          <w:iCs w:val="1"/>
          <w:color w:val="auto"/>
        </w:rPr>
        <w:t xml:space="preserve"> </w:t>
      </w:r>
      <w:r>
        <w:rPr>
          <w:rFonts w:ascii="Arial" w:cs="Arial" w:eastAsia="Arial" w:hAnsi="Arial"/>
          <w:sz w:val="20"/>
          <w:szCs w:val="20"/>
          <w:color w:val="auto"/>
        </w:rPr>
        <w:t>reorganization, shall not constitute an Event of Default under this Section 6.01(7);</w:t>
      </w:r>
    </w:p>
    <w:p>
      <w:pPr>
        <w:spacing w:after="0" w:line="338" w:lineRule="exact"/>
        <w:rPr>
          <w:sz w:val="20"/>
          <w:szCs w:val="20"/>
          <w:color w:val="auto"/>
        </w:rPr>
      </w:pPr>
    </w:p>
    <w:p>
      <w:pPr>
        <w:ind w:left="3900" w:right="3080" w:hanging="3244"/>
        <w:spacing w:after="0" w:line="754" w:lineRule="auto"/>
        <w:tabs>
          <w:tab w:leader="none" w:pos="1137" w:val="left"/>
        </w:tabs>
        <w:numPr>
          <w:ilvl w:val="0"/>
          <w:numId w:val="52"/>
        </w:numPr>
        <w:rPr>
          <w:rFonts w:ascii="Arial" w:cs="Arial" w:eastAsia="Arial" w:hAnsi="Arial"/>
          <w:sz w:val="20"/>
          <w:szCs w:val="20"/>
          <w:color w:val="auto"/>
        </w:rPr>
      </w:pPr>
      <w:r>
        <w:rPr>
          <w:rFonts w:ascii="Arial" w:cs="Arial" w:eastAsia="Arial" w:hAnsi="Arial"/>
          <w:sz w:val="20"/>
          <w:szCs w:val="20"/>
          <w:color w:val="auto"/>
        </w:rPr>
        <w:t>a court of competent jurisdiction enters an order or decree under any Bankruptcy Law that: 5</w:t>
      </w:r>
    </w:p>
    <w:p>
      <w:pPr>
        <w:sectPr>
          <w:pgSz w:w="11900" w:h="16838" w:orient="portrait"/>
          <w:cols w:equalWidth="0" w:num="1">
            <w:col w:w="11420"/>
          </w:cols>
          <w:pgMar w:left="240" w:top="1027" w:right="239" w:bottom="606" w:gutter="0" w:footer="0" w:header="0"/>
        </w:sectPr>
      </w:pPr>
    </w:p>
    <w:bookmarkStart w:id="98" w:name="page99"/>
    <w:bookmarkEnd w:id="98"/>
    <w:p>
      <w:pPr>
        <w:ind w:left="1620" w:hanging="315"/>
        <w:spacing w:after="0"/>
        <w:tabs>
          <w:tab w:leader="none" w:pos="16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is for relief against the Company in an involuntary insolvency proceeding;</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20" w:hanging="315"/>
        <w:spacing w:after="0"/>
        <w:tabs>
          <w:tab w:leader="none" w:pos="16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appoints a Bankruptcy Custodian of the Company for all or substantially all of the property of the Company; or</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620" w:hanging="315"/>
        <w:spacing w:after="0"/>
        <w:tabs>
          <w:tab w:leader="none" w:pos="16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orders the liquidation of the Company;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and the order or decree remains unstayed and in effect for 60 consecutive days; and</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(9) [INTENTIONALLY OMITTED].”</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AMENDMENTS TO CERTAIN DEFINITIONS</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hereof,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Indenture is hereby amended by deleting those definitions which appear solely in the text deleted from the Indenture pursuant to the amendments contained in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herein. All cross-references in the Indenture to sections and clauses deleted by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shall also be deleted in their entirety.</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III</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THE NOTES</w:t>
      </w:r>
    </w:p>
    <w:p>
      <w:pPr>
        <w:spacing w:after="0" w:line="2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 xml:space="preserve">The Notes include certain of the foregoing provisions from the Indenture to be deleted or amended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hereof. Upon the Operative Date, such provisions from the Notes shall be deemed deleted or amended as applicable.</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IV</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 PROVISIONS</w:t>
      </w:r>
    </w:p>
    <w:p>
      <w:pPr>
        <w:spacing w:after="0" w:line="2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u w:val="single" w:color="auto"/>
          <w:color w:val="auto"/>
        </w:rPr>
        <w:t>EFFECT OF SUPPLEMENTAL INDENTURE</w:t>
      </w:r>
      <w:r>
        <w:rPr>
          <w:rFonts w:ascii="Arial" w:cs="Arial" w:eastAsia="Arial" w:hAnsi="Arial"/>
          <w:sz w:val="20"/>
          <w:szCs w:val="20"/>
          <w:color w:val="auto"/>
        </w:rPr>
        <w:t>. Except as amended hereby, all of the terms of the Indenture shall remain and continue in full force and effect and are hereby confirmed in all respects. From and after the date of this Supplemental Indenture, all references to the Indenture (whether in the Indenture or in any other agreements, documents or instruments) shall be deemed to be references to the Indenture as amended and supplemented by this Supplemental Indenture.</w:t>
      </w:r>
    </w:p>
    <w:p>
      <w:pPr>
        <w:spacing w:after="0" w:line="18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EFFECTIVENESS</w:t>
      </w:r>
      <w:r>
        <w:rPr>
          <w:rFonts w:ascii="Arial" w:cs="Arial" w:eastAsia="Arial" w:hAnsi="Arial"/>
          <w:sz w:val="18"/>
          <w:szCs w:val="18"/>
          <w:color w:val="auto"/>
        </w:rPr>
        <w:t xml:space="preserve">. This Supplemental Indenture shall become effective and binding on the Company, the Co-Obligor, the Guarantors, the Trustee and every Holder of the Notes heretofore or hereafter authenticated and delivered under the Indenture, upon the execution and delivery by the parties to this Supplemental Indenture; provided that the amendments to the Indenture and the Notes set forth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shall not become operative until the Operative Date. Prior to the Operative Date, the Company, the Co-Obligor or the Guarantors may terminate this Supplemental Indenture upon written notice to the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if the Tender Offer has been terminated or withdrawn, or if upon the final settlement date of the Tender Offer the Company has not paid the Consideration, this Supplemental Indenture shall be automatically terminated and the Indenture will remain in effect in its current form.</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027" w:right="239" w:bottom="1440" w:gutter="0" w:footer="0" w:header="0"/>
        </w:sectPr>
      </w:pPr>
    </w:p>
    <w:bookmarkStart w:id="99" w:name="page100"/>
    <w:bookmarkEnd w:id="99"/>
    <w:p>
      <w:pPr>
        <w:jc w:val="both"/>
        <w:ind w:firstLine="648"/>
        <w:spacing w:after="0" w:line="298"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u w:val="single" w:color="auto"/>
          <w:color w:val="auto"/>
        </w:rPr>
        <w:t>NEW YORK LAW TO GOVERN; WAIVER OF JURY TRIAL</w:t>
      </w:r>
      <w:r>
        <w:rPr>
          <w:rFonts w:ascii="Arial" w:cs="Arial" w:eastAsia="Arial" w:hAnsi="Arial"/>
          <w:sz w:val="19"/>
          <w:szCs w:val="19"/>
          <w:color w:val="auto"/>
        </w:rPr>
        <w:t>. THIS SUPPLEMENTAL INDENTURE SHALL BE GOVERNED BY, AND CONSTRUED IN ACCORDANCE WITH THE LAWS OF THE STATE OF NEW YORK. EACH OF THE COMPANY, CO-OBLIGOR, THE TRUSTEE AND EACH OF THE GUARANTORS CONSENTS AND IRREVOCABLY SUBMITS TO THE JURISDICTION OF ANY NEW YORK STATE OR U.S. FEDERAL COURT LOCATED IN THE BOROUGH OF MANHATTAN, CITY OF NEW YORK, COUNTY OF NEW YORK, STATE OF NEW YORK IN RELATION TO ANY LEGAL ACTION OR PROCEEDING ARISING OUT OF, RELATING TO OR IN CONNECTION WITH THIS SUPPLEMENTAL INDENTURE AND ANY RELATED DOCUMENTS. THE COMPANY, CO-OBLIGOR, THE TRUSTEE AND EACH OF THE GUARANTORS WAIVES ANY OBJECTION TO PROCEEDINGS IN ANY SUCH COURTS, WHETHER ON THE GROUND OF VENUE OR ON THE GROUND THAT THE PROCEEDINGS HAVE BEEN BROUGHT IN AN INCONVENIENT FORUM. THE COMPANY, CO-OBLIGOR, THE TRUSTEE AND EACH OF THE GUARANTORS, TO THE EXTENT ORGANIZED OUTSIDE OF THE UNITED STATES, SHALL APPOINT CT CORPORATION SYSTEM, 111 EIGHTH AVENUE, 13TH FLOOR, NEW YORK, NY 10011, AS ITS AGENT FOR SERVICE OF PROCESS IN ANY SUCH SUIT, ACTION OR PROCEEDING AND AGREES THAT SERVICE OF PROCESS UPON SAID AUTHORIZED AGENT SHALL BE DEEMED IN EVERY RESPECT EFFECTIVE SERVICE OF PROCESS UPON IT IN ANY SUCH SUIT, ACTION OR PROCEEDING. THE COMPANY, CO-OBLIGOR, THE TRUSTEE AND EACH OF THE GUARANTORS AGREES TO DELIVER, UPON THE EXECUTION AND DELIVERY OF THIS SUPPLEMENTAL INDENTURE, A WRITTEN ACCEPTANCE BY SUCH AGENT OF ITS APPOINTMENT AS SUCH AGENT. THE COMPANY, CO-OBLIGOR, THE TRUSTEE AND EACH OF THE GUARANTORS, TO THE EXTENT ORGANIZED OUTSIDE OF THE UNITED STATES, FURTHER AGREES TO TAKE ANY AND ALL ACTION, INCLUDING THE FILING OF ANY AND ALL SUCH DOCUMENTS AND INSTRUMENTS, AS MAY BE REASONABLY NECESSARY TO CONTINUE SUCH DESIGNATION AND APPOINTMENT OF CT CORPORATION SYSTEM IN FULL FORCE AND EFFECT FOR SO LONG AS THE INDENTURE, AS SUPPLEMENTED, REMAINS IN FORCE. THE COMPANY, CO-OBLIGOR, THE TRUSTEE AND EACH OF THE GUARANTORS HEREBY IRREVOCABLY WAIVES, TO THE FULLEST EXTENT PERMITTED BY APPLICABLE LAW, ANY AND ALL RIGHT TO TRIAL BY JURY IN ANY LEGAL PROCEEDING ARISING OUT OF OR RELATING TO THIS SUPPLEMENTAL INDENTURE OR THE TRANSACTIONS CONTEMPLATED HEREBY.</w:t>
      </w:r>
    </w:p>
    <w:p>
      <w:pPr>
        <w:spacing w:after="0" w:line="202"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0"/>
          <w:szCs w:val="20"/>
          <w:color w:val="auto"/>
        </w:rPr>
        <w:t xml:space="preserve">SECTION 4.04. </w:t>
      </w:r>
      <w:r>
        <w:rPr>
          <w:rFonts w:ascii="Arial" w:cs="Arial" w:eastAsia="Arial" w:hAnsi="Arial"/>
          <w:sz w:val="20"/>
          <w:szCs w:val="20"/>
          <w:u w:val="single" w:color="auto"/>
          <w:color w:val="auto"/>
        </w:rPr>
        <w:t>COUNTERPARTS</w:t>
      </w:r>
      <w:r>
        <w:rPr>
          <w:rFonts w:ascii="Arial" w:cs="Arial" w:eastAsia="Arial" w:hAnsi="Arial"/>
          <w:sz w:val="20"/>
          <w:szCs w:val="20"/>
          <w:color w:val="auto"/>
        </w:rPr>
        <w:t>. The parties may sign any number of copies of this Supplemental Indenture. Each signed copy (which may be provided via facsimile or other electronic transmission) shall be an original, but all of them together represent the same agreement.</w:t>
      </w:r>
    </w:p>
    <w:p>
      <w:pPr>
        <w:spacing w:after="0" w:line="180"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20"/>
          <w:szCs w:val="20"/>
          <w:color w:val="auto"/>
        </w:rPr>
        <w:t xml:space="preserve">SECTION 4.05. </w:t>
      </w:r>
      <w:r>
        <w:rPr>
          <w:rFonts w:ascii="Arial" w:cs="Arial" w:eastAsia="Arial" w:hAnsi="Arial"/>
          <w:sz w:val="20"/>
          <w:szCs w:val="20"/>
          <w:u w:val="single" w:color="auto"/>
          <w:color w:val="auto"/>
        </w:rPr>
        <w:t>EFFECT OF HEADINGS</w:t>
      </w:r>
      <w:r>
        <w:rPr>
          <w:rFonts w:ascii="Arial" w:cs="Arial" w:eastAsia="Arial" w:hAnsi="Arial"/>
          <w:sz w:val="20"/>
          <w:szCs w:val="20"/>
          <w:color w:val="auto"/>
        </w:rPr>
        <w:t>. The Article and Section headings herein are for convenience only and shall not affect the construction hereof.</w:t>
      </w:r>
    </w:p>
    <w:p>
      <w:pPr>
        <w:spacing w:after="0" w:line="378"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hereto will execute and deliver such further instruments and do such further acts and things as may be reasonably required to carry out the intent and purpose of this Supplemental Indenture and the Indenture.</w:t>
      </w:r>
    </w:p>
    <w:p>
      <w:pPr>
        <w:spacing w:after="0" w:line="3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38" w:right="239" w:bottom="1440" w:gutter="0" w:footer="0" w:header="0"/>
        </w:sectPr>
      </w:pPr>
    </w:p>
    <w:bookmarkStart w:id="100" w:name="page101"/>
    <w:bookmarkEnd w:id="100"/>
    <w:p>
      <w:pPr>
        <w:jc w:val="both"/>
        <w:ind w:firstLine="648"/>
        <w:spacing w:after="0" w:line="321" w:lineRule="auto"/>
        <w:rPr>
          <w:sz w:val="20"/>
          <w:szCs w:val="20"/>
          <w:color w:val="auto"/>
        </w:rPr>
      </w:pPr>
      <w:r>
        <w:rPr>
          <w:rFonts w:ascii="Arial" w:cs="Arial" w:eastAsia="Arial" w:hAnsi="Arial"/>
          <w:sz w:val="19"/>
          <w:szCs w:val="19"/>
          <w:color w:val="auto"/>
        </w:rPr>
        <w:t xml:space="preserve">SECTION 4.07. </w:t>
      </w:r>
      <w:r>
        <w:rPr>
          <w:rFonts w:ascii="Arial" w:cs="Arial" w:eastAsia="Arial" w:hAnsi="Arial"/>
          <w:sz w:val="19"/>
          <w:szCs w:val="19"/>
          <w:u w:val="single" w:color="auto"/>
          <w:color w:val="auto"/>
        </w:rPr>
        <w:t>THE TRUSTEE</w:t>
      </w:r>
      <w:r>
        <w:rPr>
          <w:rFonts w:ascii="Arial" w:cs="Arial" w:eastAsia="Arial" w:hAnsi="Arial"/>
          <w:sz w:val="19"/>
          <w:szCs w:val="19"/>
          <w:color w:val="auto"/>
        </w:rPr>
        <w:t>. The Trustee shall not be responsible in any manner whatsoever for or in respect of the validity or sufficiency of this Supplemental Indenture or for or in respect of the recitals contained herein (other than with respect to the Trustee in the fifth recital contained herein), all of such recitals are made solely by the Company, the Co-Obligor and the Guarantors.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838" w:right="2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all as of the date first above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ENDO FINANCE LLC</w:t>
      </w:r>
    </w:p>
    <w:p>
      <w:pPr>
        <w:spacing w:after="0" w:line="27" w:lineRule="exact"/>
        <w:rPr>
          <w:sz w:val="20"/>
          <w:szCs w:val="20"/>
          <w:color w:val="auto"/>
        </w:rPr>
      </w:pPr>
    </w:p>
    <w:p>
      <w:pPr>
        <w:ind w:left="3580"/>
        <w:spacing w:after="0"/>
        <w:tabs>
          <w:tab w:leader="none" w:pos="4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2576195</wp:posOffset>
            </wp:positionH>
            <wp:positionV relativeFrom="paragraph">
              <wp:posOffset>-14605</wp:posOffset>
            </wp:positionV>
            <wp:extent cx="10750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ind w:left="7540"/>
        <w:spacing w:after="0"/>
        <w:tabs>
          <w:tab w:leader="none" w:pos="8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Deanna Voss</w:t>
      </w:r>
    </w:p>
    <w:p>
      <w:pPr>
        <w:spacing w:after="0" w:line="8" w:lineRule="exact"/>
        <w:rPr>
          <w:sz w:val="20"/>
          <w:szCs w:val="20"/>
          <w:color w:val="auto"/>
        </w:rPr>
      </w:pPr>
    </w:p>
    <w:p>
      <w:pPr>
        <w:ind w:left="7540"/>
        <w:spacing w:after="0"/>
        <w:tabs>
          <w:tab w:leader="none" w:pos="8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Secretary</w:t>
      </w:r>
    </w:p>
    <w:p>
      <w:pPr>
        <w:spacing w:after="0" w:line="200" w:lineRule="exact"/>
        <w:rPr>
          <w:sz w:val="20"/>
          <w:szCs w:val="20"/>
          <w:color w:val="auto"/>
        </w:rPr>
      </w:pPr>
    </w:p>
    <w:p>
      <w:pPr>
        <w:spacing w:after="0" w:line="210"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CO-OBLIGOR: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ENDO FINCO INC.</w:t>
      </w:r>
    </w:p>
    <w:p>
      <w:pPr>
        <w:spacing w:after="0" w:line="27" w:lineRule="exact"/>
        <w:rPr>
          <w:sz w:val="20"/>
          <w:szCs w:val="20"/>
          <w:color w:val="auto"/>
        </w:rPr>
      </w:pPr>
    </w:p>
    <w:p>
      <w:pPr>
        <w:ind w:left="3580"/>
        <w:spacing w:after="0"/>
        <w:tabs>
          <w:tab w:leader="none" w:pos="4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2576195</wp:posOffset>
            </wp:positionH>
            <wp:positionV relativeFrom="paragraph">
              <wp:posOffset>-14605</wp:posOffset>
            </wp:positionV>
            <wp:extent cx="10750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ind w:left="7540"/>
        <w:spacing w:after="0"/>
        <w:tabs>
          <w:tab w:leader="none" w:pos="8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Deanna Voss</w:t>
      </w:r>
    </w:p>
    <w:p>
      <w:pPr>
        <w:spacing w:after="0" w:line="8" w:lineRule="exact"/>
        <w:rPr>
          <w:sz w:val="20"/>
          <w:szCs w:val="20"/>
          <w:color w:val="auto"/>
        </w:rPr>
      </w:pPr>
    </w:p>
    <w:p>
      <w:pPr>
        <w:ind w:left="7540"/>
        <w:spacing w:after="0"/>
        <w:tabs>
          <w:tab w:leader="none" w:pos="8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Secretary</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11420"/>
          </w:cols>
          <w:pgMar w:left="240" w:top="1028" w:right="239" w:bottom="1440" w:gutter="0" w:footer="0" w:header="0"/>
        </w:sectPr>
      </w:pPr>
    </w:p>
    <w:bookmarkStart w:id="102" w:name="page103"/>
    <w:bookmarkEnd w:id="102"/>
    <w:p>
      <w:pPr>
        <w:spacing w:after="0" w:line="244"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GUARANTORS:</w:t>
      </w:r>
    </w:p>
    <w:p>
      <w:pPr>
        <w:spacing w:after="0" w:line="2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U.S. FINANCE,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ENDO U.S.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103" w:name="page104"/>
    <w:bookmarkEnd w:id="103"/>
    <w:p>
      <w:pPr>
        <w:ind w:left="2380"/>
        <w:spacing w:after="0"/>
        <w:rPr>
          <w:sz w:val="20"/>
          <w:szCs w:val="20"/>
          <w:color w:val="auto"/>
        </w:rPr>
      </w:pPr>
      <w:r>
        <w:rPr>
          <w:rFonts w:ascii="Arial" w:cs="Arial" w:eastAsia="Arial" w:hAnsi="Arial"/>
          <w:sz w:val="22"/>
          <w:szCs w:val="22"/>
          <w:color w:val="auto"/>
        </w:rPr>
        <w:t>ENDO INNOVATION VALERA,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380" w:right="2119"/>
        <w:spacing w:after="0" w:line="246" w:lineRule="auto"/>
        <w:rPr>
          <w:sz w:val="20"/>
          <w:szCs w:val="20"/>
          <w:color w:val="auto"/>
        </w:rPr>
      </w:pPr>
      <w:r>
        <w:rPr>
          <w:rFonts w:ascii="Arial" w:cs="Arial" w:eastAsia="Arial" w:hAnsi="Arial"/>
          <w:sz w:val="22"/>
          <w:szCs w:val="22"/>
          <w:color w:val="auto"/>
        </w:rPr>
        <w:t>by: ENDO PHARMACEUTICALS VALERA INC., its managing member</w:t>
      </w:r>
    </w:p>
    <w:p>
      <w:pPr>
        <w:spacing w:after="0" w:line="200" w:lineRule="exact"/>
        <w:rPr>
          <w:sz w:val="20"/>
          <w:szCs w:val="20"/>
          <w:color w:val="auto"/>
        </w:rPr>
      </w:pPr>
    </w:p>
    <w:p>
      <w:pPr>
        <w:spacing w:after="0" w:line="24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293" w:right="1440" w:bottom="1440" w:gutter="0" w:footer="0" w:header="0"/>
        </w:sectPr>
      </w:pPr>
    </w:p>
    <w:bookmarkStart w:id="104" w:name="page105"/>
    <w:bookmarkEnd w:id="104"/>
    <w:p>
      <w:pPr>
        <w:ind w:left="2380"/>
        <w:spacing w:after="0"/>
        <w:rPr>
          <w:sz w:val="20"/>
          <w:szCs w:val="20"/>
          <w:color w:val="auto"/>
        </w:rPr>
      </w:pPr>
      <w:r>
        <w:rPr>
          <w:rFonts w:ascii="Arial" w:cs="Arial" w:eastAsia="Arial" w:hAnsi="Arial"/>
          <w:sz w:val="22"/>
          <w:szCs w:val="22"/>
          <w:color w:val="auto"/>
        </w:rPr>
        <w:t>ENDO GLOBAL FINANCE,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2090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Mark T. Bradley</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1293" w:right="1440" w:bottom="1440" w:gutter="0" w:footer="0" w:header="0"/>
        </w:sectPr>
      </w:pPr>
    </w:p>
    <w:bookmarkStart w:id="105" w:name="page106"/>
    <w:bookmarkEnd w:id="105"/>
    <w:p>
      <w:pPr>
        <w:ind w:left="2380" w:right="2099"/>
        <w:spacing w:after="0" w:line="246" w:lineRule="auto"/>
        <w:rPr>
          <w:sz w:val="20"/>
          <w:szCs w:val="20"/>
          <w:color w:val="auto"/>
        </w:rPr>
      </w:pPr>
      <w:r>
        <w:rPr>
          <w:rFonts w:ascii="Arial" w:cs="Arial" w:eastAsia="Arial" w:hAnsi="Arial"/>
          <w:sz w:val="22"/>
          <w:szCs w:val="22"/>
          <w:color w:val="auto"/>
        </w:rPr>
        <w:t>ACTIENT THERAPEUTICS, LLC AUXILIUM PHARMACEUTICALS, LLC AUXILIUM INTERNATIONAL HOLDINGS, LLC DAVA PHARMACEUTICALS, LLC ENDO HEALTH SOLUTIONS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PHARMACEUTICALS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1"/>
          <w:szCs w:val="21"/>
          <w:color w:val="auto"/>
        </w:rPr>
        <w:t>ENDO PHARMACEUTICALS SOLUTIONS INC.</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PHARMACEUTICALS VALERA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JHP GROUP HOLDINGS,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PAR,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SLATE PHARMACEUTICALS,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GENERICS HOLDINGS,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PAR STERILE PRODUCTS,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ANCHEN 2 INCORPORATED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ANCHEN INCORPORATED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ANCHEN PHARMACEUTICALS,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ANCHEN PHARMACEUTICALS 2,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GENERICS INTERNATIONAL (US) 2,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GENERICS INTERNATIONAL (US),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INNOTEQ 2,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INNOTEQ,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JHP GROUP HOLDINGS 2,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KALI LABORATORIES 2,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PAR PHARMACEUTICAL 2,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PAR PHARMACEUTICAL COMPANIES,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PAR PHARMACEUTICAL HOLDINGS,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PAR PHARMACEUTICAL,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PAR TWO,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KALI LABORATORIES,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ASTORA WOMEN’S HEALTH,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each, 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293" w:right="1440" w:bottom="1440" w:gutter="0" w:footer="0" w:header="0"/>
        </w:sectPr>
      </w:pPr>
    </w:p>
    <w:bookmarkStart w:id="106" w:name="page107"/>
    <w:bookmarkEnd w:id="106"/>
    <w:p>
      <w:pPr>
        <w:ind w:left="2380"/>
        <w:spacing w:after="0"/>
        <w:rPr>
          <w:sz w:val="20"/>
          <w:szCs w:val="20"/>
          <w:color w:val="auto"/>
        </w:rPr>
      </w:pPr>
      <w:r>
        <w:rPr>
          <w:rFonts w:ascii="Arial" w:cs="Arial" w:eastAsia="Arial" w:hAnsi="Arial"/>
          <w:sz w:val="22"/>
          <w:szCs w:val="22"/>
          <w:color w:val="auto"/>
        </w:rPr>
        <w:t>JHP ACQUISITION, LLC</w:t>
      </w:r>
    </w:p>
    <w:p>
      <w:pPr>
        <w:spacing w:after="0" w:line="31"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JHP GROUP HOLDINGS,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U.S. INC.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FINANCE OPERATIONS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each, 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GENERICS BIDCO I,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MOORES MILL PROPERTIES,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VINTAGE PHARMACEUTICALS,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each, as a Guarantor</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19"/>
          <w:szCs w:val="19"/>
          <w:color w:val="auto"/>
        </w:rPr>
        <w:t>by: GENERICS INTERNATIONAL (US), INC.,</w:t>
      </w:r>
    </w:p>
    <w:p>
      <w:pPr>
        <w:spacing w:after="0" w:line="38"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307" w:right="1440" w:bottom="1440" w:gutter="0" w:footer="0" w:header="0"/>
        </w:sectPr>
      </w:pPr>
    </w:p>
    <w:bookmarkStart w:id="107" w:name="page108"/>
    <w:bookmarkEnd w:id="107"/>
    <w:p>
      <w:pPr>
        <w:ind w:left="3580"/>
        <w:spacing w:after="0"/>
        <w:rPr>
          <w:sz w:val="20"/>
          <w:szCs w:val="20"/>
          <w:color w:val="auto"/>
        </w:rPr>
      </w:pPr>
      <w:r>
        <w:rPr>
          <w:rFonts w:ascii="Arial" w:cs="Arial" w:eastAsia="Arial" w:hAnsi="Arial"/>
          <w:sz w:val="22"/>
          <w:szCs w:val="22"/>
          <w:color w:val="auto"/>
        </w:rPr>
        <w:t>DAVA INTERNATIONAL, LLC</w:t>
      </w:r>
    </w:p>
    <w:p>
      <w:pPr>
        <w:spacing w:after="0" w:line="2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by: DAVA PHARMACEUTICALS, LLC,</w:t>
      </w:r>
    </w:p>
    <w:p>
      <w:pPr>
        <w:spacing w:after="0" w:line="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-17780</wp:posOffset>
            </wp:positionV>
            <wp:extent cx="10458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ACTIENT PHARMACEUTICALS LLC</w:t>
      </w:r>
    </w:p>
    <w:p>
      <w:pPr>
        <w:spacing w:after="0" w:line="2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 AUXILIUM PHARMACEUTICALS, LLC,</w:t>
      </w:r>
    </w:p>
    <w:p>
      <w:pPr>
        <w:spacing w:after="0" w:line="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99"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-17780</wp:posOffset>
            </wp:positionV>
            <wp:extent cx="10458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AUXILIUM US HOLDINGS, LLC</w:t>
      </w:r>
    </w:p>
    <w:p>
      <w:pPr>
        <w:spacing w:after="0" w:line="2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3740"/>
        <w:spacing w:after="0"/>
        <w:rPr>
          <w:sz w:val="20"/>
          <w:szCs w:val="20"/>
          <w:color w:val="auto"/>
        </w:rPr>
      </w:pPr>
      <w:r>
        <w:rPr>
          <w:rFonts w:ascii="Arial" w:cs="Arial" w:eastAsia="Arial" w:hAnsi="Arial"/>
          <w:sz w:val="21"/>
          <w:szCs w:val="21"/>
          <w:color w:val="auto"/>
        </w:rPr>
        <w:t>by: AUXILIUM PHARMACEUTICALS, LLC,</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99"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-17780</wp:posOffset>
            </wp:positionV>
            <wp:extent cx="10458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6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10219"/>
          </w:cols>
          <w:pgMar w:left="240" w:top="1293" w:right="1440" w:bottom="1440" w:gutter="0" w:footer="0" w:header="0"/>
        </w:sectPr>
      </w:pPr>
    </w:p>
    <w:bookmarkStart w:id="108" w:name="page109"/>
    <w:bookmarkEnd w:id="108"/>
    <w:p>
      <w:pPr>
        <w:ind w:left="2380"/>
        <w:spacing w:after="0"/>
        <w:rPr>
          <w:sz w:val="20"/>
          <w:szCs w:val="20"/>
          <w:color w:val="auto"/>
        </w:rPr>
      </w:pPr>
      <w:r>
        <w:rPr>
          <w:rFonts w:ascii="Arial" w:cs="Arial" w:eastAsia="Arial" w:hAnsi="Arial"/>
          <w:sz w:val="22"/>
          <w:szCs w:val="22"/>
          <w:color w:val="auto"/>
        </w:rPr>
        <w:t>ENDO PHARMACEUTICALS FINANCE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by: GENERICS INTERNATIONAL (US PARENT), INC.</w:t>
      </w:r>
    </w:p>
    <w:p>
      <w:pPr>
        <w:spacing w:after="0" w:line="38"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Terrell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1601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Terrell Stevens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GENERICS INTERNATIONAL (US PARENT), INC.</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Terrell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1601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Terrell Stevens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Secretary</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293" w:right="1440" w:bottom="1440" w:gutter="0" w:footer="0" w:header="0"/>
        </w:sectPr>
      </w:pPr>
    </w:p>
    <w:bookmarkStart w:id="109" w:name="page110"/>
    <w:bookmarkEnd w:id="109"/>
    <w:p>
      <w:pPr>
        <w:ind w:left="2380"/>
        <w:spacing w:after="0"/>
        <w:rPr>
          <w:sz w:val="20"/>
          <w:szCs w:val="20"/>
          <w:color w:val="auto"/>
        </w:rPr>
      </w:pPr>
      <w:r>
        <w:rPr>
          <w:rFonts w:ascii="Arial" w:cs="Arial" w:eastAsia="Arial" w:hAnsi="Arial"/>
          <w:sz w:val="22"/>
          <w:szCs w:val="22"/>
          <w:color w:val="auto"/>
        </w:rPr>
        <w:t>70 MAPLE AVENUE, LLC</w:t>
      </w:r>
    </w:p>
    <w:p>
      <w:pPr>
        <w:spacing w:after="0" w:line="22"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by: ACTIENT PHARMACEUTICALS LLC,</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its manager</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AUXILIUM PHARMACEUTICALS,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TIMM MEDICAL HOLDINGS,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by: ACTIENT PHARMACEUTICALS LLC,</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its manager</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AUXILIUM PHARMACEUTICALS,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99" w:lineRule="exact"/>
        <w:rPr>
          <w:sz w:val="20"/>
          <w:szCs w:val="20"/>
          <w:color w:val="auto"/>
        </w:rPr>
      </w:pPr>
    </w:p>
    <w:p>
      <w:pPr>
        <w:ind w:left="2380" w:right="1899"/>
        <w:spacing w:after="0" w:line="251" w:lineRule="auto"/>
        <w:rPr>
          <w:sz w:val="20"/>
          <w:szCs w:val="20"/>
          <w:color w:val="auto"/>
        </w:rPr>
      </w:pPr>
      <w:r>
        <w:rPr>
          <w:rFonts w:ascii="Arial" w:cs="Arial" w:eastAsia="Arial" w:hAnsi="Arial"/>
          <w:sz w:val="22"/>
          <w:szCs w:val="22"/>
          <w:color w:val="auto"/>
        </w:rPr>
        <w:t>QUARTZ SPECIALTY PHARMACEUTICALS, LLC as a Guarantor</w:t>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GENERICS BIDCO I, LLC,</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its manager</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by: GENERICS INTERNATIONAL (US), INC.,</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PAR INNOVATION COMPANY,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by: PAR PHARMACEUTICAL, INC.,</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293" w:right="1440" w:bottom="1440" w:gutter="0" w:footer="0" w:header="0"/>
        </w:sectPr>
      </w:pPr>
    </w:p>
    <w:bookmarkStart w:id="110" w:name="page111"/>
    <w:bookmarkEnd w:id="110"/>
    <w:p>
      <w:pPr>
        <w:ind w:left="2380"/>
        <w:spacing w:after="0"/>
        <w:rPr>
          <w:sz w:val="20"/>
          <w:szCs w:val="20"/>
          <w:color w:val="auto"/>
        </w:rPr>
      </w:pPr>
      <w:r>
        <w:rPr>
          <w:rFonts w:ascii="Arial" w:cs="Arial" w:eastAsia="Arial" w:hAnsi="Arial"/>
          <w:sz w:val="21"/>
          <w:szCs w:val="21"/>
          <w:color w:val="auto"/>
        </w:rPr>
        <w:t>PALADIN LABS CANADIAN HOLDING INC.</w:t>
      </w:r>
    </w:p>
    <w:p>
      <w:pPr>
        <w:spacing w:after="0" w:line="56"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PALADIN LAB INC.</w:t>
      </w:r>
    </w:p>
    <w:p>
      <w:pPr>
        <w:spacing w:after="0" w:line="4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each, as a Guarantor</w:t>
      </w:r>
    </w:p>
    <w:p>
      <w:pPr>
        <w:spacing w:after="0" w:line="328"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131" w:right="1440" w:bottom="1440" w:gutter="0" w:footer="0" w:header="0"/>
        </w:sectPr>
      </w:pPr>
    </w:p>
    <w:bookmarkStart w:id="111" w:name="page112"/>
    <w:bookmarkEnd w:id="111"/>
    <w:p>
      <w:pPr>
        <w:ind w:left="2620" w:right="699" w:hanging="242"/>
        <w:spacing w:after="0" w:line="281" w:lineRule="auto"/>
        <w:rPr>
          <w:sz w:val="20"/>
          <w:szCs w:val="20"/>
          <w:color w:val="auto"/>
        </w:rPr>
      </w:pPr>
      <w:r>
        <w:rPr>
          <w:rFonts w:ascii="Arial" w:cs="Arial" w:eastAsia="Arial" w:hAnsi="Arial"/>
          <w:sz w:val="22"/>
          <w:szCs w:val="22"/>
          <w:color w:val="auto"/>
        </w:rPr>
        <w:t>GENERICS INTERNATIONAL VENTURES ENTERPRISES LLC as a Guarantor</w:t>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ENDO VENTURES LIMITED,</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its sole member</w:t>
      </w:r>
    </w:p>
    <w:p>
      <w:pPr>
        <w:spacing w:after="0" w:line="328"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Marie-Therese Bolger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5506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5067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Marie-Therese Bolger</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090" w:right="1440" w:bottom="1440" w:gutter="0" w:footer="0" w:header="0"/>
        </w:sectPr>
      </w:pPr>
    </w:p>
    <w:bookmarkStart w:id="112" w:name="page113"/>
    <w:bookmarkEnd w:id="112"/>
    <w:p>
      <w:pPr>
        <w:ind w:left="2700"/>
        <w:spacing w:after="0"/>
        <w:rPr>
          <w:sz w:val="20"/>
          <w:szCs w:val="20"/>
          <w:color w:val="auto"/>
        </w:rPr>
      </w:pPr>
      <w:r>
        <w:rPr>
          <w:rFonts w:ascii="Arial" w:cs="Arial" w:eastAsia="Arial" w:hAnsi="Arial"/>
          <w:sz w:val="21"/>
          <w:szCs w:val="21"/>
          <w:color w:val="auto"/>
        </w:rPr>
        <w:t>ENDO GLOBAL AESTHETICS LIMITED</w:t>
      </w:r>
    </w:p>
    <w:p>
      <w:pPr>
        <w:spacing w:after="0" w:line="5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010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Rahul Garella</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834" w:right="1440" w:bottom="1440" w:gutter="0" w:footer="0" w:header="0"/>
        </w:sectPr>
      </w:pPr>
    </w:p>
    <w:bookmarkStart w:id="113" w:name="page114"/>
    <w:bookmarkEnd w:id="113"/>
    <w:p>
      <w:pPr>
        <w:ind w:left="2380"/>
        <w:spacing w:after="0"/>
        <w:rPr>
          <w:sz w:val="20"/>
          <w:szCs w:val="20"/>
          <w:color w:val="auto"/>
        </w:rPr>
      </w:pPr>
      <w:r>
        <w:rPr>
          <w:rFonts w:ascii="Arial" w:cs="Arial" w:eastAsia="Arial" w:hAnsi="Arial"/>
          <w:sz w:val="22"/>
          <w:szCs w:val="22"/>
          <w:color w:val="auto"/>
        </w:rPr>
        <w:t>ENDO GLOBAL BIOLOGICS LIMITED</w:t>
      </w:r>
    </w:p>
    <w:p>
      <w:pPr>
        <w:spacing w:after="0" w:line="31"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317"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3411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41120" cy="8890"/>
                    </a:xfrm>
                    <a:prstGeom prst="rect">
                      <a:avLst/>
                    </a:prstGeom>
                    <a:noFill/>
                  </pic:spPr>
                </pic:pic>
              </a:graphicData>
            </a:graphic>
          </wp:anchor>
        </w:drawing>
      </w:r>
    </w:p>
    <w:p>
      <w:pPr>
        <w:spacing w:after="0" w:line="2" w:lineRule="exact"/>
        <w:rPr>
          <w:sz w:val="20"/>
          <w:szCs w:val="20"/>
          <w:color w:val="auto"/>
        </w:rPr>
      </w:pPr>
    </w:p>
    <w:p>
      <w:pPr>
        <w:ind w:left="2380"/>
        <w:spacing w:after="0"/>
        <w:tabs>
          <w:tab w:leader="none" w:pos="31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Rahul Garella</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834" w:right="1440" w:bottom="1440" w:gutter="0" w:footer="0" w:header="0"/>
        </w:sectPr>
      </w:pPr>
    </w:p>
    <w:bookmarkStart w:id="114" w:name="page115"/>
    <w:bookmarkEnd w:id="114"/>
    <w:p>
      <w:pPr>
        <w:ind w:left="2380" w:right="619"/>
        <w:spacing w:after="0" w:line="289" w:lineRule="auto"/>
        <w:rPr>
          <w:sz w:val="20"/>
          <w:szCs w:val="20"/>
          <w:color w:val="auto"/>
        </w:rPr>
      </w:pPr>
      <w:r>
        <w:rPr>
          <w:rFonts w:ascii="Arial" w:cs="Arial" w:eastAsia="Arial" w:hAnsi="Arial"/>
          <w:sz w:val="22"/>
          <w:szCs w:val="22"/>
          <w:color w:val="auto"/>
        </w:rPr>
        <w:t>OPERATIONS REFINANCING COMPANY BERMUDA LIMITED as a Guarantor</w:t>
      </w:r>
    </w:p>
    <w:p>
      <w:pPr>
        <w:spacing w:after="0" w:line="200" w:lineRule="exact"/>
        <w:rPr>
          <w:sz w:val="20"/>
          <w:szCs w:val="20"/>
          <w:color w:val="auto"/>
        </w:rPr>
      </w:pPr>
    </w:p>
    <w:p>
      <w:pPr>
        <w:spacing w:after="0" w:line="2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3754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5410" cy="8890"/>
                    </a:xfrm>
                    <a:prstGeom prst="rect">
                      <a:avLst/>
                    </a:prstGeom>
                    <a:noFill/>
                  </pic:spPr>
                </pic:pic>
              </a:graphicData>
            </a:graphic>
          </wp:anchor>
        </w:drawing>
      </w:r>
    </w:p>
    <w:p>
      <w:pPr>
        <w:spacing w:after="0" w:line="2" w:lineRule="exact"/>
        <w:rPr>
          <w:sz w:val="20"/>
          <w:szCs w:val="20"/>
          <w:color w:val="auto"/>
        </w:rPr>
      </w:pPr>
    </w:p>
    <w:p>
      <w:pPr>
        <w:ind w:left="2380"/>
        <w:spacing w:after="0"/>
        <w:tabs>
          <w:tab w:leader="none" w:pos="31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Rahul Garella</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834" w:right="1440" w:bottom="1440" w:gutter="0" w:footer="0" w:header="0"/>
        </w:sectPr>
      </w:pPr>
    </w:p>
    <w:bookmarkStart w:id="115" w:name="page116"/>
    <w:bookmarkEnd w:id="115"/>
    <w:p>
      <w:pPr>
        <w:ind w:left="2380"/>
        <w:spacing w:after="0"/>
        <w:rPr>
          <w:sz w:val="20"/>
          <w:szCs w:val="20"/>
          <w:color w:val="auto"/>
        </w:rPr>
      </w:pPr>
      <w:r>
        <w:rPr>
          <w:rFonts w:ascii="Arial" w:cs="Arial" w:eastAsia="Arial" w:hAnsi="Arial"/>
          <w:sz w:val="21"/>
          <w:szCs w:val="21"/>
          <w:color w:val="auto"/>
        </w:rPr>
        <w:t>ENDO DESIGNATED ACTIVITY COMPANY</w:t>
      </w:r>
    </w:p>
    <w:p>
      <w:pPr>
        <w:spacing w:after="0" w:line="4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317"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3754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5410" cy="8890"/>
                    </a:xfrm>
                    <a:prstGeom prst="rect">
                      <a:avLst/>
                    </a:prstGeom>
                    <a:noFill/>
                  </pic:spPr>
                </pic:pic>
              </a:graphicData>
            </a:graphic>
          </wp:anchor>
        </w:drawing>
      </w:r>
    </w:p>
    <w:p>
      <w:pPr>
        <w:spacing w:after="0" w:line="2" w:lineRule="exact"/>
        <w:rPr>
          <w:sz w:val="20"/>
          <w:szCs w:val="20"/>
          <w:color w:val="auto"/>
        </w:rPr>
      </w:pPr>
    </w:p>
    <w:p>
      <w:pPr>
        <w:ind w:left="2380"/>
        <w:spacing w:after="0"/>
        <w:tabs>
          <w:tab w:leader="none" w:pos="31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Rahul Garella</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834" w:right="1440" w:bottom="1440" w:gutter="0" w:footer="0" w:header="0"/>
        </w:sectPr>
      </w:pPr>
    </w:p>
    <w:bookmarkStart w:id="116" w:name="page117"/>
    <w:bookmarkEnd w:id="116"/>
    <w:p>
      <w:pPr>
        <w:ind w:left="2380"/>
        <w:spacing w:after="0"/>
        <w:rPr>
          <w:sz w:val="20"/>
          <w:szCs w:val="20"/>
          <w:color w:val="auto"/>
        </w:rPr>
      </w:pPr>
      <w:r>
        <w:rPr>
          <w:rFonts w:ascii="Arial" w:cs="Arial" w:eastAsia="Arial" w:hAnsi="Arial"/>
          <w:sz w:val="22"/>
          <w:szCs w:val="22"/>
          <w:color w:val="auto"/>
        </w:rPr>
        <w:t>ENDO INTERNATIONAL PLC</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Deanna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458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Deanna Voss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834" w:right="1440" w:bottom="1440" w:gutter="0" w:footer="0" w:header="0"/>
        </w:sectPr>
      </w:pPr>
    </w:p>
    <w:bookmarkStart w:id="117" w:name="page118"/>
    <w:bookmarkEnd w:id="117"/>
    <w:p>
      <w:pPr>
        <w:ind w:left="2380"/>
        <w:spacing w:after="0"/>
        <w:rPr>
          <w:sz w:val="20"/>
          <w:szCs w:val="20"/>
          <w:color w:val="auto"/>
        </w:rPr>
      </w:pPr>
      <w:r>
        <w:rPr>
          <w:rFonts w:ascii="Arial" w:cs="Arial" w:eastAsia="Arial" w:hAnsi="Arial"/>
          <w:sz w:val="22"/>
          <w:szCs w:val="22"/>
          <w:color w:val="auto"/>
        </w:rPr>
        <w:t>PAR LABORATORIES EUROPE, LTD.</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668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Rahul Garella</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820" w:right="1440" w:bottom="1440" w:gutter="0" w:footer="0" w:header="0"/>
        </w:sectPr>
      </w:pPr>
    </w:p>
    <w:bookmarkStart w:id="118" w:name="page119"/>
    <w:bookmarkEnd w:id="118"/>
    <w:p>
      <w:pPr>
        <w:ind w:left="2380"/>
        <w:spacing w:after="0"/>
        <w:rPr>
          <w:sz w:val="20"/>
          <w:szCs w:val="20"/>
          <w:color w:val="auto"/>
        </w:rPr>
      </w:pPr>
      <w:r>
        <w:rPr>
          <w:rFonts w:ascii="Arial" w:cs="Arial" w:eastAsia="Arial" w:hAnsi="Arial"/>
          <w:sz w:val="22"/>
          <w:szCs w:val="22"/>
          <w:color w:val="auto"/>
        </w:rPr>
        <w:t>ENDO VENTURES CYPRUS LIMITED</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Jenny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2484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4841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Jenny O’Connell</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820" w:right="1440" w:bottom="1440" w:gutter="0" w:footer="0" w:header="0"/>
        </w:sectPr>
      </w:pPr>
    </w:p>
    <w:bookmarkStart w:id="119" w:name="page120"/>
    <w:bookmarkEnd w:id="119"/>
    <w:p>
      <w:pPr>
        <w:ind w:left="2380"/>
        <w:spacing w:after="0"/>
        <w:rPr>
          <w:sz w:val="20"/>
          <w:szCs w:val="20"/>
          <w:color w:val="auto"/>
        </w:rPr>
      </w:pPr>
      <w:r>
        <w:rPr>
          <w:rFonts w:ascii="Arial" w:cs="Arial" w:eastAsia="Arial" w:hAnsi="Arial"/>
          <w:sz w:val="22"/>
          <w:szCs w:val="22"/>
          <w:color w:val="auto"/>
        </w:rPr>
        <w:t>ENDO FINANCE LIMITED</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FINANCE II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FINANCE III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FINANCE IV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FINANCE V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IRELAND FINANCE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IRELAND FINANCE II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MANAGEMENT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TOPFIN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VENTURES LIMITED</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1"/>
          <w:szCs w:val="21"/>
          <w:color w:val="auto"/>
        </w:rPr>
        <w:t>HAWK ACQUISITION IRELAND LIMITED</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ENDO IRELAND HOLDINGS LIMITED</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each, 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1010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Rahul Garella</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Supplemental Indenture]</w:t>
      </w:r>
    </w:p>
    <w:p>
      <w:pPr>
        <w:sectPr>
          <w:pgSz w:w="11900" w:h="16838" w:orient="portrait"/>
          <w:cols w:equalWidth="0" w:num="1">
            <w:col w:w="9019"/>
          </w:cols>
          <w:pgMar w:left="1440" w:top="820" w:right="1440" w:bottom="1440" w:gutter="0" w:footer="0" w:header="0"/>
        </w:sectPr>
      </w:pPr>
    </w:p>
    <w:bookmarkStart w:id="120" w:name="page121"/>
    <w:bookmarkEnd w:id="120"/>
    <w:p>
      <w:pPr>
        <w:ind w:left="2380"/>
        <w:spacing w:after="0"/>
        <w:rPr>
          <w:sz w:val="20"/>
          <w:szCs w:val="20"/>
          <w:color w:val="auto"/>
        </w:rPr>
      </w:pPr>
      <w:r>
        <w:rPr>
          <w:rFonts w:ascii="Arial" w:cs="Arial" w:eastAsia="Arial" w:hAnsi="Arial"/>
          <w:sz w:val="21"/>
          <w:szCs w:val="21"/>
          <w:color w:val="auto"/>
        </w:rPr>
        <w:t>ENDO VENTURES BERMUDA LIMITED</w:t>
      </w:r>
    </w:p>
    <w:p>
      <w:pPr>
        <w:spacing w:after="0" w:line="33"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Marie-Therese Bolger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5506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5067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Marie-Therese Bolger</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820" w:right="1440" w:bottom="1440" w:gutter="0" w:footer="0" w:header="0"/>
        </w:sectPr>
      </w:pPr>
    </w:p>
    <w:bookmarkStart w:id="121" w:name="page122"/>
    <w:bookmarkEnd w:id="121"/>
    <w:p>
      <w:pPr>
        <w:ind w:left="2380"/>
        <w:spacing w:after="0"/>
        <w:rPr>
          <w:sz w:val="20"/>
          <w:szCs w:val="20"/>
          <w:color w:val="auto"/>
        </w:rPr>
      </w:pPr>
      <w:r>
        <w:rPr>
          <w:rFonts w:ascii="Arial" w:cs="Arial" w:eastAsia="Arial" w:hAnsi="Arial"/>
          <w:sz w:val="22"/>
          <w:szCs w:val="22"/>
          <w:color w:val="auto"/>
        </w:rPr>
        <w:t>ENDO GLOBAL VENTURES</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Marie-Therese Bolger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5506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5067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Marie-Therese Bolger</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820" w:right="1440" w:bottom="1440" w:gutter="0" w:footer="0" w:header="0"/>
        </w:sectPr>
      </w:pPr>
    </w:p>
    <w:bookmarkStart w:id="122" w:name="page123"/>
    <w:bookmarkEnd w:id="122"/>
    <w:p>
      <w:pPr>
        <w:ind w:left="2380"/>
        <w:spacing w:after="0"/>
        <w:rPr>
          <w:sz w:val="20"/>
          <w:szCs w:val="20"/>
          <w:color w:val="auto"/>
        </w:rPr>
      </w:pPr>
      <w:r>
        <w:rPr>
          <w:rFonts w:ascii="Arial" w:cs="Arial" w:eastAsia="Arial" w:hAnsi="Arial"/>
          <w:sz w:val="22"/>
          <w:szCs w:val="22"/>
          <w:color w:val="auto"/>
        </w:rPr>
        <w:t>ENDO BERMUDA FINANCE LIMITED</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1010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Rahul Garella</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820" w:right="1440" w:bottom="1440" w:gutter="0" w:footer="0" w:header="0"/>
        </w:sectPr>
      </w:pPr>
    </w:p>
    <w:bookmarkStart w:id="123" w:name="page124"/>
    <w:bookmarkEnd w:id="123"/>
    <w:p>
      <w:pPr>
        <w:ind w:left="2380"/>
        <w:spacing w:after="0"/>
        <w:rPr>
          <w:sz w:val="20"/>
          <w:szCs w:val="20"/>
          <w:color w:val="auto"/>
        </w:rPr>
      </w:pPr>
      <w:r>
        <w:rPr>
          <w:rFonts w:ascii="Arial" w:cs="Arial" w:eastAsia="Arial" w:hAnsi="Arial"/>
          <w:sz w:val="22"/>
          <w:szCs w:val="22"/>
          <w:color w:val="auto"/>
        </w:rPr>
        <w:t>ENDO SOMAR HOLDINGS B.V.</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Rahul Garella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0668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Rahul Garella</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Managing Director A</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Gert Jan Rietberg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2661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Gert Jan Rietberg</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Managing Director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9019"/>
          </w:cols>
          <w:pgMar w:left="1440" w:top="820" w:right="1440" w:bottom="1440" w:gutter="0" w:footer="0" w:header="0"/>
        </w:sectPr>
      </w:pPr>
    </w:p>
    <w:bookmarkStart w:id="124" w:name="page125"/>
    <w:bookmarkEnd w:id="124"/>
    <w:p>
      <w:pPr>
        <w:ind w:left="1880"/>
        <w:spacing w:after="0"/>
        <w:rPr>
          <w:sz w:val="20"/>
          <w:szCs w:val="20"/>
          <w:color w:val="auto"/>
        </w:rPr>
      </w:pPr>
      <w:r>
        <w:rPr>
          <w:rFonts w:ascii="Arial" w:cs="Arial" w:eastAsia="Arial" w:hAnsi="Arial"/>
          <w:sz w:val="21"/>
          <w:szCs w:val="21"/>
          <w:color w:val="auto"/>
        </w:rPr>
        <w:t>ENDO LUXEMBOURG HOLDING COMPANY S.À.R.L.</w:t>
      </w:r>
    </w:p>
    <w:p>
      <w:pPr>
        <w:spacing w:after="0" w:line="33"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/s/ Laritza Ferreiro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-17780</wp:posOffset>
            </wp:positionV>
            <wp:extent cx="15773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Laritza Ferreiro</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A Manager</w:t>
      </w:r>
    </w:p>
    <w:p>
      <w:pPr>
        <w:spacing w:after="0" w:line="200" w:lineRule="exact"/>
        <w:rPr>
          <w:sz w:val="20"/>
          <w:szCs w:val="20"/>
          <w:color w:val="auto"/>
        </w:rPr>
      </w:pPr>
    </w:p>
    <w:p>
      <w:pPr>
        <w:spacing w:after="0" w:line="29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/s/ François-Xavier Goossens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-17780</wp:posOffset>
            </wp:positionV>
            <wp:extent cx="18903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90395" cy="8890"/>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François-Xavier Goossens</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B Manager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ENDO LUXEMBOURG FINANCE COMPANY I S.À.R.L.</w:t>
      </w:r>
    </w:p>
    <w:p>
      <w:pPr>
        <w:spacing w:after="0" w:line="33"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/s/ Laritza Ferreiro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-17780</wp:posOffset>
            </wp:positionV>
            <wp:extent cx="15773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Laritza Ferreiro</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A Manager</w:t>
      </w:r>
    </w:p>
    <w:p>
      <w:pPr>
        <w:spacing w:after="0" w:line="200" w:lineRule="exact"/>
        <w:rPr>
          <w:sz w:val="20"/>
          <w:szCs w:val="20"/>
          <w:color w:val="auto"/>
        </w:rPr>
      </w:pPr>
    </w:p>
    <w:p>
      <w:pPr>
        <w:spacing w:after="0" w:line="29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/s/ François-Xavier Goossens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-17780</wp:posOffset>
            </wp:positionV>
            <wp:extent cx="18903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90395" cy="8890"/>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François-Xavier Goossens</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B Manager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ENDO LUXEMBOURG FINANCE COMPANY II S.À.R.L.</w:t>
      </w:r>
    </w:p>
    <w:p>
      <w:pPr>
        <w:spacing w:after="0" w:line="33"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/s/ Laritza Ferreiro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-17780</wp:posOffset>
            </wp:positionV>
            <wp:extent cx="15773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Laritza Ferreiro</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Title: A Manager</w:t>
      </w:r>
    </w:p>
    <w:p>
      <w:pPr>
        <w:spacing w:after="0" w:line="200" w:lineRule="exact"/>
        <w:rPr>
          <w:sz w:val="20"/>
          <w:szCs w:val="20"/>
          <w:color w:val="auto"/>
        </w:rPr>
      </w:pPr>
    </w:p>
    <w:p>
      <w:pPr>
        <w:spacing w:after="0" w:line="29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By: /s/ François-Xavier Goossens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-17780</wp:posOffset>
            </wp:positionV>
            <wp:extent cx="18903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90395" cy="8890"/>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Name: François-Xavier Goossens</w:t>
      </w:r>
    </w:p>
    <w:p>
      <w:pPr>
        <w:spacing w:after="0" w:line="4"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Title: B Manager</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293" w:right="1440" w:bottom="1440" w:gutter="0" w:footer="0" w:header="0"/>
        </w:sectPr>
      </w:pPr>
    </w:p>
    <w:bookmarkStart w:id="125" w:name="page126"/>
    <w:bookmarkEnd w:id="125"/>
    <w:p>
      <w:pPr>
        <w:ind w:left="2380"/>
        <w:spacing w:after="0"/>
        <w:rPr>
          <w:sz w:val="20"/>
          <w:szCs w:val="20"/>
          <w:color w:val="auto"/>
        </w:rPr>
      </w:pPr>
      <w:r>
        <w:rPr>
          <w:rFonts w:ascii="Arial" w:cs="Arial" w:eastAsia="Arial" w:hAnsi="Arial"/>
          <w:sz w:val="19"/>
          <w:szCs w:val="19"/>
          <w:color w:val="auto"/>
        </w:rPr>
        <w:t>ENDO US HOLDINGS LUXEMBOURG I S.À.R.L.</w:t>
      </w:r>
    </w:p>
    <w:p>
      <w:pPr>
        <w:spacing w:after="0" w:line="56"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Laritza Ferreiro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2001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Laritza Ferreiro</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 Manager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François-Xavier Goossens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7875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8752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François-Xavier Goossens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B Manager</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293" w:right="1440" w:bottom="1440" w:gutter="0" w:footer="0" w:header="0"/>
        </w:sectPr>
      </w:pPr>
    </w:p>
    <w:bookmarkStart w:id="126" w:name="page127"/>
    <w:bookmarkEnd w:id="126"/>
    <w:p>
      <w:pPr>
        <w:ind w:left="2380"/>
        <w:spacing w:after="0"/>
        <w:rPr>
          <w:sz w:val="20"/>
          <w:szCs w:val="20"/>
          <w:color w:val="auto"/>
        </w:rPr>
      </w:pPr>
      <w:r>
        <w:rPr>
          <w:rFonts w:ascii="Arial" w:cs="Arial" w:eastAsia="Arial" w:hAnsi="Arial"/>
          <w:sz w:val="21"/>
          <w:szCs w:val="21"/>
          <w:color w:val="auto"/>
        </w:rPr>
        <w:t>LUXEMBOURG ENDO SPECIALTY PHARMACEUTICALS HOLDING I S.À R.L.</w:t>
      </w:r>
    </w:p>
    <w:p>
      <w:pPr>
        <w:spacing w:after="0" w:line="33"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Laritza Ferreiro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2001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Laritza Ferreiro</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 Manager</w:t>
      </w: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 /s/ François-Xavier Goossens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-17780</wp:posOffset>
            </wp:positionV>
            <wp:extent cx="17875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7525" cy="8890"/>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François-Xavier Goossens</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B Manager</w:t>
      </w:r>
    </w:p>
    <w:p>
      <w:pPr>
        <w:spacing w:after="0" w:line="200" w:lineRule="exact"/>
        <w:rPr>
          <w:sz w:val="20"/>
          <w:szCs w:val="20"/>
          <w:color w:val="auto"/>
        </w:rPr>
      </w:pPr>
    </w:p>
    <w:p>
      <w:pPr>
        <w:spacing w:after="0" w:line="304" w:lineRule="exact"/>
        <w:rPr>
          <w:sz w:val="20"/>
          <w:szCs w:val="20"/>
          <w:color w:val="auto"/>
        </w:rPr>
      </w:pPr>
    </w:p>
    <w:p>
      <w:pPr>
        <w:ind w:left="276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900"/>
          </w:cols>
          <w:pgMar w:left="1440" w:top="1293" w:right="559" w:bottom="1440" w:gutter="0" w:footer="0" w:header="0"/>
        </w:sectPr>
      </w:pPr>
    </w:p>
    <w:bookmarkStart w:id="127" w:name="page128"/>
    <w:bookmarkEnd w:id="127"/>
    <w:p>
      <w:pPr>
        <w:ind w:left="2380"/>
        <w:spacing w:after="0"/>
        <w:rPr>
          <w:sz w:val="20"/>
          <w:szCs w:val="20"/>
          <w:color w:val="auto"/>
        </w:rPr>
      </w:pPr>
      <w:r>
        <w:rPr>
          <w:rFonts w:ascii="Arial" w:cs="Arial" w:eastAsia="Arial" w:hAnsi="Arial"/>
          <w:sz w:val="20"/>
          <w:szCs w:val="20"/>
          <w:b w:val="1"/>
          <w:bCs w:val="1"/>
          <w:color w:val="auto"/>
        </w:rPr>
        <w:t>TRUSTEE:</w:t>
      </w:r>
    </w:p>
    <w:p>
      <w:pPr>
        <w:spacing w:after="0" w:line="200" w:lineRule="exact"/>
        <w:rPr>
          <w:sz w:val="20"/>
          <w:szCs w:val="20"/>
          <w:color w:val="auto"/>
        </w:rPr>
      </w:pPr>
    </w:p>
    <w:p>
      <w:pPr>
        <w:spacing w:after="0" w:line="287" w:lineRule="exact"/>
        <w:rPr>
          <w:sz w:val="20"/>
          <w:szCs w:val="20"/>
          <w:color w:val="auto"/>
        </w:rPr>
      </w:pPr>
    </w:p>
    <w:p>
      <w:pPr>
        <w:ind w:left="2380" w:right="1759"/>
        <w:spacing w:after="0" w:line="246" w:lineRule="auto"/>
        <w:rPr>
          <w:sz w:val="20"/>
          <w:szCs w:val="20"/>
          <w:color w:val="auto"/>
        </w:rPr>
      </w:pPr>
      <w:r>
        <w:rPr>
          <w:rFonts w:ascii="Arial" w:cs="Arial" w:eastAsia="Arial" w:hAnsi="Arial"/>
          <w:sz w:val="22"/>
          <w:szCs w:val="22"/>
          <w:color w:val="auto"/>
        </w:rPr>
        <w:t>WELLS FARGO BANK, NATIONAL ASSOCIATION, as Trustee</w:t>
      </w:r>
    </w:p>
    <w:p>
      <w:pPr>
        <w:spacing w:after="0" w:line="1" w:lineRule="exact"/>
        <w:rPr>
          <w:sz w:val="20"/>
          <w:szCs w:val="20"/>
          <w:color w:val="auto"/>
        </w:rPr>
      </w:pPr>
    </w:p>
    <w:p>
      <w:pPr>
        <w:ind w:left="2380"/>
        <w:spacing w:after="0"/>
        <w:tabs>
          <w:tab w:leader="none" w:pos="2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Maddy Hughes</w:t>
      </w:r>
    </w:p>
    <w:p>
      <w:pPr>
        <w:ind w:left="6340"/>
        <w:spacing w:after="0"/>
        <w:tabs>
          <w:tab w:leader="none" w:pos="70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Maddy Hughes</w:t>
      </w:r>
    </w:p>
    <w:p>
      <w:pPr>
        <w:ind w:left="6340"/>
        <w:spacing w:after="0"/>
        <w:tabs>
          <w:tab w:leader="none" w:pos="6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to Supplemental Indenture]</w:t>
      </w:r>
    </w:p>
    <w:p>
      <w:pPr>
        <w:sectPr>
          <w:pgSz w:w="11900" w:h="16838" w:orient="portrait"/>
          <w:cols w:equalWidth="0" w:num="1">
            <w:col w:w="9019"/>
          </w:cols>
          <w:pgMar w:left="1440" w:top="1278"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Paul V. Campanelli, certify that:</w:t>
      </w:r>
    </w:p>
    <w:p>
      <w:pPr>
        <w:spacing w:after="0" w:line="90" w:lineRule="exact"/>
        <w:rPr>
          <w:sz w:val="20"/>
          <w:szCs w:val="20"/>
          <w:color w:val="auto"/>
        </w:rPr>
      </w:pPr>
    </w:p>
    <w:p>
      <w:pPr>
        <w:ind w:left="600" w:hanging="187"/>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40" w:hanging="7"/>
        <w:spacing w:after="0" w:line="334" w:lineRule="auto"/>
        <w:tabs>
          <w:tab w:leader="none" w:pos="6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20" w:right="320" w:hanging="7"/>
        <w:spacing w:after="0" w:line="308" w:lineRule="auto"/>
        <w:tabs>
          <w:tab w:leader="none" w:pos="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20" w:right="120" w:hanging="7"/>
        <w:spacing w:after="0" w:line="264" w:lineRule="auto"/>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20" w:right="120" w:firstLine="479"/>
        <w:spacing w:after="0" w:line="264" w:lineRule="auto"/>
        <w:tabs>
          <w:tab w:leader="none" w:pos="1091"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20" w:right="480" w:firstLine="479"/>
        <w:spacing w:after="0" w:line="264" w:lineRule="auto"/>
        <w:tabs>
          <w:tab w:leader="none" w:pos="1101"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20" w:right="640" w:firstLine="479"/>
        <w:spacing w:after="0" w:line="334" w:lineRule="auto"/>
        <w:tabs>
          <w:tab w:leader="none" w:pos="1091"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20" w:firstLine="479"/>
        <w:spacing w:after="0" w:line="264" w:lineRule="auto"/>
        <w:tabs>
          <w:tab w:leader="none" w:pos="1101"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20" w:right="240" w:hanging="7"/>
        <w:spacing w:after="0" w:line="308" w:lineRule="auto"/>
        <w:tabs>
          <w:tab w:leader="none" w:pos="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420" w:right="20" w:firstLine="479"/>
        <w:spacing w:after="0" w:line="277" w:lineRule="auto"/>
        <w:tabs>
          <w:tab w:leader="none" w:pos="1091"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20" w:right="520" w:firstLine="479"/>
        <w:spacing w:after="0" w:line="277" w:lineRule="auto"/>
        <w:tabs>
          <w:tab w:leader="none" w:pos="1101"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673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V. Campanelli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2019</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Blaise Coleman, certify that:</w:t>
      </w:r>
    </w:p>
    <w:p>
      <w:pPr>
        <w:spacing w:after="0" w:line="90" w:lineRule="exact"/>
        <w:rPr>
          <w:sz w:val="20"/>
          <w:szCs w:val="20"/>
          <w:color w:val="auto"/>
        </w:rPr>
      </w:pPr>
    </w:p>
    <w:p>
      <w:pPr>
        <w:ind w:left="600" w:hanging="187"/>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40" w:hanging="7"/>
        <w:spacing w:after="0" w:line="334" w:lineRule="auto"/>
        <w:tabs>
          <w:tab w:leader="none" w:pos="6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20" w:right="320" w:hanging="7"/>
        <w:spacing w:after="0" w:line="308" w:lineRule="auto"/>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20" w:right="120" w:hanging="7"/>
        <w:spacing w:after="0" w:line="264" w:lineRule="auto"/>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20" w:right="120" w:firstLine="479"/>
        <w:spacing w:after="0" w:line="264" w:lineRule="auto"/>
        <w:tabs>
          <w:tab w:leader="none" w:pos="109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20" w:right="480" w:firstLine="479"/>
        <w:spacing w:after="0" w:line="264" w:lineRule="auto"/>
        <w:tabs>
          <w:tab w:leader="none" w:pos="110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20" w:right="640" w:firstLine="479"/>
        <w:spacing w:after="0" w:line="334" w:lineRule="auto"/>
        <w:tabs>
          <w:tab w:leader="none" w:pos="1091"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20" w:firstLine="479"/>
        <w:spacing w:after="0" w:line="264" w:lineRule="auto"/>
        <w:tabs>
          <w:tab w:leader="none" w:pos="110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20" w:right="240" w:hanging="7"/>
        <w:spacing w:after="0" w:line="308" w:lineRule="auto"/>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420" w:right="20" w:firstLine="479"/>
        <w:spacing w:after="0" w:line="277" w:lineRule="auto"/>
        <w:tabs>
          <w:tab w:leader="none" w:pos="1091"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20" w:right="520" w:firstLine="479"/>
        <w:spacing w:after="0" w:line="277" w:lineRule="auto"/>
        <w:tabs>
          <w:tab w:leader="none" w:pos="1101"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673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Blaise Coleman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37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2019</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Paul V. Campanelli, as President and Chief Executive Officer of Endo International plc (the Company),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p>
    <w:p>
      <w:pPr>
        <w:spacing w:after="0" w:line="76" w:lineRule="exact"/>
        <w:rPr>
          <w:sz w:val="20"/>
          <w:szCs w:val="20"/>
          <w:color w:val="auto"/>
        </w:rPr>
      </w:pPr>
    </w:p>
    <w:p>
      <w:pPr>
        <w:ind w:left="420" w:right="200" w:firstLine="398"/>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2019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680" w:firstLine="398"/>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 PAUL V. CAMPANELLI</w:t>
            </w:r>
          </w:p>
        </w:tc>
        <w:tc>
          <w:tcPr>
            <w:tcW w:w="660" w:type="dxa"/>
            <w:vAlign w:val="bottom"/>
          </w:tcPr>
          <w:p>
            <w:pPr>
              <w:spacing w:after="0"/>
              <w:rPr>
                <w:sz w:val="17"/>
                <w:szCs w:val="17"/>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2740" w:type="dxa"/>
            <w:vAlign w:val="bottom"/>
            <w:gridSpan w:val="2"/>
          </w:tcPr>
          <w:p>
            <w:pPr>
              <w:spacing w:after="0"/>
              <w:rPr>
                <w:sz w:val="20"/>
                <w:szCs w:val="20"/>
                <w:color w:val="auto"/>
              </w:rPr>
            </w:pPr>
            <w:r>
              <w:rPr>
                <w:rFonts w:ascii="Arial" w:cs="Arial" w:eastAsia="Arial" w:hAnsi="Arial"/>
                <w:sz w:val="18"/>
                <w:szCs w:val="18"/>
                <w:color w:val="auto"/>
              </w:rPr>
              <w:t>Paul V. Campanelli</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9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 Blaise Coleman, as Chief Financial Officer of Endo International plc (the Company), hereby certify, pursuant to 18 U.S.C. Section 1350, as adopted pursuant to Section 906 of the Sarbanes-Oxley Act of 2002, that:</w:t>
      </w:r>
    </w:p>
    <w:p>
      <w:pPr>
        <w:spacing w:after="0" w:line="35" w:lineRule="exact"/>
        <w:rPr>
          <w:sz w:val="20"/>
          <w:szCs w:val="20"/>
          <w:color w:val="auto"/>
        </w:rPr>
      </w:pPr>
    </w:p>
    <w:p>
      <w:pPr>
        <w:ind w:left="420" w:right="200" w:firstLine="398"/>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2019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680" w:firstLine="398"/>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/S/ BLAISE COLEMAN</w:t>
            </w: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Blaise Coleman</w:t>
            </w:r>
          </w:p>
        </w:tc>
        <w:tc>
          <w:tcPr>
            <w:tcW w:w="1760" w:type="dxa"/>
            <w:vAlign w:val="bottom"/>
          </w:tcPr>
          <w:p>
            <w:pPr>
              <w:spacing w:after="0"/>
              <w:rPr>
                <w:sz w:val="24"/>
                <w:szCs w:val="24"/>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gridSpan w:val="2"/>
          </w:tcPr>
          <w:p>
            <w:pPr>
              <w:spacing w:after="0"/>
              <w:rPr>
                <w:sz w:val="20"/>
                <w:szCs w:val="20"/>
                <w:color w:val="auto"/>
              </w:rPr>
            </w:pPr>
            <w:r>
              <w:rPr>
                <w:rFonts w:ascii="Arial" w:cs="Arial" w:eastAsia="Arial" w:hAnsi="Arial"/>
                <w:sz w:val="18"/>
                <w:szCs w:val="18"/>
                <w:color w:val="auto"/>
                <w:w w:val="91"/>
              </w:rPr>
              <w:t>Executive Vice President, Chief Financial Officer</w:t>
            </w:r>
          </w:p>
        </w:tc>
      </w:tr>
      <w:tr>
        <w:trPr>
          <w:trHeight w:val="230"/>
        </w:trPr>
        <w:tc>
          <w:tcPr>
            <w:tcW w:w="9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decimal"/>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2"/>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6"/>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1)"/>
      <w:numFmt w:val="decimal"/>
      <w:start w:val="2"/>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lowerRoman"/>
      <w:start w:val="2"/>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2"/>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2"/>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1)"/>
      <w:numFmt w:val="lowerLetter"/>
      <w:start w:val="3"/>
    </w:lvl>
  </w:abstractNum>
  <w:abstractNum w:abstractNumId="36">
    <w:nsid w:val="6DE91B18"/>
    <w:multiLevelType w:val="hybridMultilevel"/>
    <w:lvl w:ilvl="0">
      <w:lvlJc w:val="left"/>
      <w:lvlText w:val="%1)"/>
      <w:numFmt w:val="lowerLetter"/>
      <w:start w:val="13"/>
    </w:lvl>
  </w:abstractNum>
  <w:abstractNum w:abstractNumId="37">
    <w:nsid w:val="38437FDB"/>
    <w:multiLevelType w:val="hybridMultilevel"/>
    <w:lvl w:ilvl="0">
      <w:lvlJc w:val="left"/>
      <w:lvlText w:val="(%1)"/>
      <w:numFmt w:val="upperLetter"/>
      <w:start w:val="1"/>
    </w:lvl>
  </w:abstractNum>
  <w:abstractNum w:abstractNumId="38">
    <w:nsid w:val="7644A45C"/>
    <w:multiLevelType w:val="hybridMultilevel"/>
    <w:lvl w:ilvl="0">
      <w:lvlJc w:val="left"/>
      <w:lvlText w:val="(%1)"/>
      <w:numFmt w:val="lowerLetter"/>
      <w:start w:val="1"/>
    </w:lvl>
    <w:lvl w:ilvl="1">
      <w:lvlJc w:val="left"/>
      <w:lvlText w:val="(%2)"/>
      <w:numFmt w:val="decimal"/>
      <w:start w:val="1"/>
    </w:lvl>
  </w:abstractNum>
  <w:abstractNum w:abstractNumId="39">
    <w:nsid w:val="32FFF902"/>
    <w:multiLevelType w:val="hybridMultilevel"/>
    <w:lvl w:ilvl="0">
      <w:lvlJc w:val="left"/>
      <w:lvlText w:val="(%1)"/>
      <w:numFmt w:val="lowerLetter"/>
      <w:start w:val="2"/>
    </w:lvl>
  </w:abstractNum>
  <w:abstractNum w:abstractNumId="40">
    <w:nsid w:val="684A481A"/>
    <w:multiLevelType w:val="hybridMultilevel"/>
    <w:lvl w:ilvl="0">
      <w:lvlJc w:val="left"/>
      <w:lvlText w:val="(%1)"/>
      <w:numFmt w:val="upperLetter"/>
      <w:start w:val="2"/>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3"/>
    </w:lvl>
  </w:abstractNum>
  <w:abstractNum w:abstractNumId="43">
    <w:nsid w:val="3DC240FB"/>
    <w:multiLevelType w:val="hybridMultilevel"/>
    <w:lvl w:ilvl="0">
      <w:lvlJc w:val="left"/>
      <w:lvlText w:val="(%1)"/>
      <w:numFmt w:val="decimal"/>
      <w:start w:val="6"/>
    </w:lvl>
    <w:lvl w:ilvl="1">
      <w:lvlJc w:val="left"/>
      <w:lvlText w:val="(%2)"/>
      <w:numFmt w:val="upperLetter"/>
      <w:start w:val="1"/>
    </w:lvl>
  </w:abstractNum>
  <w:abstractNum w:abstractNumId="44">
    <w:nsid w:val="1BA026FA"/>
    <w:multiLevelType w:val="hybridMultilevel"/>
    <w:lvl w:ilvl="0">
      <w:lvlJc w:val="left"/>
      <w:lvlText w:val="(%1)"/>
      <w:numFmt w:val="decimal"/>
      <w:start w:val="8"/>
    </w:lvl>
    <w:lvl w:ilvl="1">
      <w:lvlJc w:val="left"/>
      <w:lvlText w:val="(%2)"/>
      <w:numFmt w:val="upp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2"/>
    </w:lvl>
  </w:abstractNum>
  <w:abstractNum w:abstractNumId="47">
    <w:nsid w:val="12E685FB"/>
    <w:multiLevelType w:val="hybridMultilevel"/>
    <w:lvl w:ilvl="0">
      <w:lvlJc w:val="left"/>
      <w:lvlText w:val="%1)"/>
      <w:numFmt w:val="lowerLetter"/>
      <w:start w:val="15"/>
    </w:lvl>
  </w:abstractNum>
  <w:abstractNum w:abstractNumId="48">
    <w:nsid w:val="70C6A529"/>
    <w:multiLevelType w:val="hybridMultilevel"/>
    <w:lvl w:ilvl="0">
      <w:lvlJc w:val="left"/>
      <w:lvlText w:val="(%1)"/>
      <w:numFmt w:val="lowerLetter"/>
      <w:start w:val="1"/>
    </w:lvl>
    <w:lvl w:ilvl="1">
      <w:lvlJc w:val="left"/>
      <w:lvlText w:val="(%2)"/>
      <w:numFmt w:val="decimal"/>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3"/>
    </w:lvl>
    <w:lvl w:ilvl="1">
      <w:lvlJc w:val="left"/>
      <w:lvlText w:val="(%2)"/>
      <w:numFmt w:val="upperLetter"/>
      <w:start w:val="1"/>
    </w:lvl>
  </w:abstractNum>
  <w:abstractNum w:abstractNumId="51">
    <w:nsid w:val="4F4EF005"/>
    <w:multiLevelType w:val="hybridMultilevel"/>
    <w:lvl w:ilvl="0">
      <w:lvlJc w:val="left"/>
      <w:lvlText w:val="(%1)"/>
      <w:numFmt w:val="decimal"/>
      <w:start w:val="8"/>
    </w:lvl>
  </w:abstractNum>
  <w:abstractNum w:abstractNumId="52">
    <w:nsid w:val="23F9C13C"/>
    <w:multiLevelType w:val="hybridMultilevel"/>
    <w:lvl w:ilvl="0">
      <w:lvlJc w:val="left"/>
      <w:lvlText w:val="(%1)"/>
      <w:numFmt w:val="upperLetter"/>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2019-12-28T02:53:36Z</dcterms:created>
  <dcterms:modified xsi:type="dcterms:W3CDTF">2019-12-28T02:53:36Z</dcterms:modified>
</cp:coreProperties>
</file>